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B806" w14:textId="739F37F7" w:rsidR="00EF3DFB" w:rsidRDefault="00D27C17">
      <w:pPr>
        <w:pStyle w:val="BodyText"/>
        <w:spacing w:line="60" w:lineRule="exact"/>
        <w:ind w:left="180"/>
        <w:rPr>
          <w:sz w:val="6"/>
        </w:rPr>
      </w:pPr>
      <w:bookmarkStart w:id="0" w:name="_GoBack"/>
      <w:bookmarkEnd w:id="0"/>
      <w:r>
        <w:rPr>
          <w:noProof/>
          <w:sz w:val="6"/>
        </w:rPr>
        <mc:AlternateContent>
          <mc:Choice Requires="wpg">
            <w:drawing>
              <wp:inline distT="0" distB="0" distL="0" distR="0" wp14:anchorId="7326D6C3" wp14:editId="22676520">
                <wp:extent cx="6743700" cy="38100"/>
                <wp:effectExtent l="12700" t="8255" r="15875" b="1270"/>
                <wp:docPr id="586"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8100"/>
                          <a:chOff x="0" y="0"/>
                          <a:chExt cx="10620" cy="60"/>
                        </a:xfrm>
                      </wpg:grpSpPr>
                      <wps:wsp>
                        <wps:cNvPr id="587" name="Line 571"/>
                        <wps:cNvCnPr>
                          <a:cxnSpLocks noChangeShapeType="1"/>
                        </wps:cNvCnPr>
                        <wps:spPr bwMode="auto">
                          <a:xfrm>
                            <a:off x="0" y="10"/>
                            <a:ext cx="106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570"/>
                        <wps:cNvCnPr>
                          <a:cxnSpLocks noChangeShapeType="1"/>
                        </wps:cNvCnPr>
                        <wps:spPr bwMode="auto">
                          <a:xfrm>
                            <a:off x="0" y="50"/>
                            <a:ext cx="106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E10906" id="Group 569" o:spid="_x0000_s1026" style="width:531pt;height:3pt;mso-position-horizontal-relative:char;mso-position-vertical-relative:line" coordsize="10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">
                <v:line id="Line 571" o:spid="_x0000_s1027" style="position:absolute;visibility:visible;mso-wrap-style:square" from="0,10" to="106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" strokeweight="1pt"/>
                <v:line id="Line 570" o:spid="_x0000_s1028" style="position:absolute;visibility:visible;mso-wrap-style:square" from="0,50" to="106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" strokeweight="1pt"/>
                <w10:anchorlock/>
              </v:group>
            </w:pict>
          </mc:Fallback>
        </mc:AlternateContent>
      </w:r>
    </w:p>
    <w:p w14:paraId="7326B807" w14:textId="77777777" w:rsidR="00EF3DFB" w:rsidRDefault="00EF3DFB">
      <w:pPr>
        <w:pStyle w:val="BodyText"/>
        <w:spacing w:before="8"/>
        <w:rPr>
          <w:sz w:val="28"/>
        </w:rPr>
      </w:pPr>
    </w:p>
    <w:p w14:paraId="7326B808" w14:textId="77777777" w:rsidR="00EF3DFB" w:rsidRDefault="00D27C17">
      <w:pPr>
        <w:spacing w:before="84"/>
        <w:ind w:left="137" w:right="116"/>
        <w:jc w:val="center"/>
        <w:rPr>
          <w:b/>
          <w:sz w:val="36"/>
        </w:rPr>
      </w:pPr>
      <w:bookmarkStart w:id="1" w:name="Cover"/>
      <w:bookmarkEnd w:id="1"/>
      <w:r>
        <w:rPr>
          <w:b/>
          <w:sz w:val="36"/>
        </w:rPr>
        <w:t>UNITED STATES</w:t>
      </w:r>
    </w:p>
    <w:p w14:paraId="7326B809" w14:textId="77777777" w:rsidR="00EF3DFB" w:rsidRDefault="00D27C17">
      <w:pPr>
        <w:spacing w:before="18"/>
        <w:ind w:left="138" w:right="116"/>
        <w:jc w:val="center"/>
        <w:rPr>
          <w:b/>
          <w:sz w:val="36"/>
        </w:rPr>
      </w:pPr>
      <w:r>
        <w:rPr>
          <w:b/>
          <w:sz w:val="36"/>
        </w:rPr>
        <w:t>SECURITIES AND EXCHANGE COMMISSION</w:t>
      </w:r>
    </w:p>
    <w:p w14:paraId="7326B80A" w14:textId="77777777" w:rsidR="00EF3DFB" w:rsidRDefault="00D27C17">
      <w:pPr>
        <w:spacing w:before="39"/>
        <w:ind w:left="136" w:right="116"/>
        <w:jc w:val="center"/>
        <w:rPr>
          <w:b/>
          <w:sz w:val="28"/>
        </w:rPr>
      </w:pPr>
      <w:r>
        <w:rPr>
          <w:b/>
          <w:sz w:val="28"/>
        </w:rPr>
        <w:t>Washington, D.C. 20549</w:t>
      </w:r>
    </w:p>
    <w:p w14:paraId="7326B80B" w14:textId="089657A9" w:rsidR="00EF3DFB" w:rsidRDefault="00D27C17">
      <w:pPr>
        <w:pStyle w:val="BodyText"/>
        <w:spacing w:before="3"/>
        <w:rPr>
          <w:b/>
          <w:sz w:val="24"/>
        </w:rPr>
      </w:pPr>
      <w:r>
        <w:rPr>
          <w:noProof/>
        </w:rPr>
        <mc:AlternateContent>
          <mc:Choice Requires="wps">
            <w:drawing>
              <wp:anchor distT="0" distB="0" distL="0" distR="0" simplePos="0" relativeHeight="1048" behindDoc="0" locked="0" layoutInCell="1" allowOverlap="1" wp14:anchorId="7326D6C5" wp14:editId="63211E5A">
                <wp:simplePos x="0" y="0"/>
                <wp:positionH relativeFrom="page">
                  <wp:posOffset>3041650</wp:posOffset>
                </wp:positionH>
                <wp:positionV relativeFrom="paragraph">
                  <wp:posOffset>207645</wp:posOffset>
                </wp:positionV>
                <wp:extent cx="1689100" cy="0"/>
                <wp:effectExtent l="12700" t="14605" r="12700" b="13970"/>
                <wp:wrapTopAndBottom/>
                <wp:docPr id="585"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11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CD5FA" id="Line 56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5pt,16.35pt" to="37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" strokeweight=".31114mm">
                <w10:wrap type="topAndBottom" anchorx="page"/>
              </v:line>
            </w:pict>
          </mc:Fallback>
        </mc:AlternateContent>
      </w:r>
    </w:p>
    <w:p w14:paraId="7326B80C" w14:textId="77777777" w:rsidR="00EF3DFB" w:rsidRDefault="00EF3DFB">
      <w:pPr>
        <w:pStyle w:val="BodyText"/>
        <w:rPr>
          <w:b/>
          <w:sz w:val="18"/>
        </w:rPr>
      </w:pPr>
    </w:p>
    <w:p w14:paraId="7326B80D" w14:textId="77777777" w:rsidR="00EF3DFB" w:rsidRDefault="00D27C17">
      <w:pPr>
        <w:spacing w:before="83"/>
        <w:ind w:left="136" w:right="116"/>
        <w:jc w:val="center"/>
        <w:rPr>
          <w:b/>
          <w:sz w:val="40"/>
        </w:rPr>
      </w:pPr>
      <w:r>
        <w:rPr>
          <w:b/>
          <w:sz w:val="40"/>
        </w:rPr>
        <w:t>FORM 10-K</w:t>
      </w:r>
    </w:p>
    <w:p w14:paraId="7326B80E" w14:textId="52AA8648" w:rsidR="00EF3DFB" w:rsidRDefault="00D27C17">
      <w:pPr>
        <w:pStyle w:val="BodyText"/>
        <w:spacing w:before="5"/>
        <w:rPr>
          <w:b/>
          <w:sz w:val="27"/>
        </w:rPr>
      </w:pPr>
      <w:r>
        <w:rPr>
          <w:noProof/>
        </w:rPr>
        <mc:AlternateContent>
          <mc:Choice Requires="wps">
            <w:drawing>
              <wp:anchor distT="0" distB="0" distL="0" distR="0" simplePos="0" relativeHeight="1072" behindDoc="0" locked="0" layoutInCell="1" allowOverlap="1" wp14:anchorId="7326D6C6" wp14:editId="0CB33951">
                <wp:simplePos x="0" y="0"/>
                <wp:positionH relativeFrom="page">
                  <wp:posOffset>3041650</wp:posOffset>
                </wp:positionH>
                <wp:positionV relativeFrom="paragraph">
                  <wp:posOffset>231140</wp:posOffset>
                </wp:positionV>
                <wp:extent cx="1689100" cy="0"/>
                <wp:effectExtent l="12700" t="9525" r="12700" b="9525"/>
                <wp:wrapTopAndBottom/>
                <wp:docPr id="584"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11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65D1" id="Line 56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5pt,18.2pt" to="37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" strokeweight=".31114mm">
                <w10:wrap type="topAndBottom" anchorx="page"/>
              </v:line>
            </w:pict>
          </mc:Fallback>
        </mc:AlternateContent>
      </w:r>
    </w:p>
    <w:p w14:paraId="7326B80F" w14:textId="77777777" w:rsidR="00EF3DFB" w:rsidRDefault="00D27C17">
      <w:pPr>
        <w:pStyle w:val="Heading1"/>
        <w:spacing w:before="55" w:line="249" w:lineRule="auto"/>
        <w:ind w:left="3300" w:right="3276" w:hanging="1"/>
        <w:jc w:val="center"/>
      </w:pPr>
      <w:r>
        <w:t>ANNUAL REPORT PURSUANT TO SECTION 13 OR 15(d) OF THE SECURITIES EXCHANGE ACT OF 1934</w:t>
      </w:r>
    </w:p>
    <w:p w14:paraId="7326B810" w14:textId="77777777" w:rsidR="00EF3DFB" w:rsidRDefault="00D27C17">
      <w:pPr>
        <w:tabs>
          <w:tab w:val="left" w:pos="5255"/>
        </w:tabs>
        <w:spacing w:before="44"/>
        <w:ind w:right="116"/>
        <w:jc w:val="center"/>
        <w:rPr>
          <w:b/>
          <w:sz w:val="24"/>
        </w:rPr>
      </w:pPr>
      <w:r>
        <w:rPr>
          <w:b/>
          <w:sz w:val="24"/>
        </w:rPr>
        <w:t>FOR THE FISCAL</w:t>
      </w:r>
      <w:r>
        <w:rPr>
          <w:b/>
          <w:spacing w:val="-5"/>
          <w:sz w:val="24"/>
        </w:rPr>
        <w:t xml:space="preserve"> </w:t>
      </w:r>
      <w:r>
        <w:rPr>
          <w:b/>
          <w:sz w:val="24"/>
        </w:rPr>
        <w:t>YEAR</w:t>
      </w:r>
      <w:r>
        <w:rPr>
          <w:b/>
          <w:spacing w:val="-3"/>
          <w:sz w:val="24"/>
        </w:rPr>
        <w:t xml:space="preserve"> </w:t>
      </w:r>
      <w:r>
        <w:rPr>
          <w:b/>
          <w:sz w:val="24"/>
        </w:rPr>
        <w:t>ENDED</w:t>
      </w:r>
      <w:r>
        <w:rPr>
          <w:b/>
          <w:sz w:val="24"/>
        </w:rPr>
        <w:tab/>
        <w:t>COMMISSION FILE</w:t>
      </w:r>
      <w:r>
        <w:rPr>
          <w:b/>
          <w:spacing w:val="-2"/>
          <w:sz w:val="24"/>
        </w:rPr>
        <w:t xml:space="preserve"> </w:t>
      </w:r>
      <w:r>
        <w:rPr>
          <w:b/>
          <w:sz w:val="24"/>
        </w:rPr>
        <w:t>NUMBE</w:t>
      </w:r>
      <w:r>
        <w:rPr>
          <w:b/>
          <w:sz w:val="24"/>
        </w:rPr>
        <w:t>R</w:t>
      </w:r>
    </w:p>
    <w:p w14:paraId="7326B811" w14:textId="77777777" w:rsidR="00EF3DFB" w:rsidRDefault="00D27C17">
      <w:pPr>
        <w:tabs>
          <w:tab w:val="left" w:pos="7717"/>
        </w:tabs>
        <w:spacing w:before="9"/>
        <w:ind w:left="1973"/>
        <w:rPr>
          <w:b/>
          <w:sz w:val="24"/>
        </w:rPr>
      </w:pPr>
      <w:r>
        <w:rPr>
          <w:b/>
          <w:sz w:val="24"/>
        </w:rPr>
        <w:t>December</w:t>
      </w:r>
      <w:r>
        <w:rPr>
          <w:b/>
          <w:spacing w:val="-1"/>
          <w:sz w:val="24"/>
        </w:rPr>
        <w:t xml:space="preserve"> </w:t>
      </w:r>
      <w:r>
        <w:rPr>
          <w:b/>
          <w:sz w:val="24"/>
        </w:rPr>
        <w:t>31,</w:t>
      </w:r>
      <w:r>
        <w:rPr>
          <w:b/>
          <w:spacing w:val="-1"/>
          <w:sz w:val="24"/>
        </w:rPr>
        <w:t xml:space="preserve"> </w:t>
      </w:r>
      <w:r>
        <w:rPr>
          <w:b/>
          <w:sz w:val="24"/>
        </w:rPr>
        <w:t>2020</w:t>
      </w:r>
      <w:r>
        <w:rPr>
          <w:b/>
          <w:sz w:val="24"/>
        </w:rPr>
        <w:tab/>
        <w:t>1-9608</w:t>
      </w:r>
    </w:p>
    <w:p w14:paraId="7326B812" w14:textId="7C2169A0" w:rsidR="00EF3DFB" w:rsidRDefault="00D27C17">
      <w:pPr>
        <w:pStyle w:val="BodyText"/>
        <w:spacing w:before="9"/>
        <w:rPr>
          <w:b/>
        </w:rPr>
      </w:pPr>
      <w:r>
        <w:rPr>
          <w:noProof/>
        </w:rPr>
        <mc:AlternateContent>
          <mc:Choice Requires="wps">
            <w:drawing>
              <wp:anchor distT="0" distB="0" distL="0" distR="0" simplePos="0" relativeHeight="1096" behindDoc="0" locked="0" layoutInCell="1" allowOverlap="1" wp14:anchorId="7326D6C7" wp14:editId="4F4DF0F3">
                <wp:simplePos x="0" y="0"/>
                <wp:positionH relativeFrom="page">
                  <wp:posOffset>3343275</wp:posOffset>
                </wp:positionH>
                <wp:positionV relativeFrom="paragraph">
                  <wp:posOffset>180975</wp:posOffset>
                </wp:positionV>
                <wp:extent cx="1085850" cy="0"/>
                <wp:effectExtent l="9525" t="9525" r="9525" b="9525"/>
                <wp:wrapTopAndBottom/>
                <wp:docPr id="583"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8EF8D" id="Line 56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3.25pt,14.25pt" to="34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" strokeweight=".20003mm">
                <w10:wrap type="topAndBottom" anchorx="page"/>
              </v:line>
            </w:pict>
          </mc:Fallback>
        </mc:AlternateContent>
      </w:r>
    </w:p>
    <w:p w14:paraId="7326B813" w14:textId="77777777" w:rsidR="00EF3DFB" w:rsidRDefault="00D27C17">
      <w:pPr>
        <w:spacing w:before="23"/>
        <w:ind w:left="136" w:right="116"/>
        <w:jc w:val="center"/>
        <w:rPr>
          <w:b/>
          <w:sz w:val="48"/>
        </w:rPr>
      </w:pPr>
      <w:r>
        <w:rPr>
          <w:b/>
          <w:sz w:val="48"/>
        </w:rPr>
        <w:t>NEWELL BRANDS INC.</w:t>
      </w:r>
    </w:p>
    <w:p w14:paraId="7326B814" w14:textId="77777777" w:rsidR="00EF3DFB" w:rsidRDefault="00D27C17">
      <w:pPr>
        <w:pStyle w:val="Heading1"/>
        <w:spacing w:before="85"/>
        <w:ind w:left="140" w:right="116"/>
        <w:jc w:val="center"/>
      </w:pPr>
      <w:r>
        <w:t>(EXACT NAME OF REGISTRANT AS SPECIFIED IN ITS CHARTER)</w:t>
      </w:r>
    </w:p>
    <w:p w14:paraId="7326B815" w14:textId="337518E3" w:rsidR="00EF3DFB" w:rsidRDefault="00D27C17">
      <w:pPr>
        <w:pStyle w:val="BodyText"/>
        <w:rPr>
          <w:b/>
          <w:sz w:val="16"/>
        </w:rPr>
      </w:pPr>
      <w:r>
        <w:rPr>
          <w:noProof/>
        </w:rPr>
        <mc:AlternateContent>
          <mc:Choice Requires="wps">
            <w:drawing>
              <wp:anchor distT="0" distB="0" distL="0" distR="0" simplePos="0" relativeHeight="1120" behindDoc="0" locked="0" layoutInCell="1" allowOverlap="1" wp14:anchorId="7326D6C8" wp14:editId="6339977A">
                <wp:simplePos x="0" y="0"/>
                <wp:positionH relativeFrom="page">
                  <wp:posOffset>3343275</wp:posOffset>
                </wp:positionH>
                <wp:positionV relativeFrom="paragraph">
                  <wp:posOffset>145415</wp:posOffset>
                </wp:positionV>
                <wp:extent cx="1085850" cy="0"/>
                <wp:effectExtent l="9525" t="6350" r="9525" b="12700"/>
                <wp:wrapTopAndBottom/>
                <wp:docPr id="582"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9C85" id="Line 56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3.25pt,11.45pt" to="348.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" strokeweight=".20003mm">
                <w10:wrap type="topAndBottom" anchorx="page"/>
              </v:line>
            </w:pict>
          </mc:Fallback>
        </mc:AlternateContent>
      </w:r>
    </w:p>
    <w:p w14:paraId="7326B816" w14:textId="77777777" w:rsidR="00EF3DFB" w:rsidRDefault="00D27C17">
      <w:pPr>
        <w:tabs>
          <w:tab w:val="left" w:pos="7282"/>
        </w:tabs>
        <w:spacing w:before="117"/>
        <w:ind w:left="2261"/>
        <w:rPr>
          <w:b/>
          <w:sz w:val="24"/>
        </w:rPr>
      </w:pPr>
      <w:r>
        <w:rPr>
          <w:b/>
          <w:sz w:val="24"/>
        </w:rPr>
        <w:t>Delaware</w:t>
      </w:r>
      <w:r>
        <w:rPr>
          <w:b/>
          <w:sz w:val="24"/>
        </w:rPr>
        <w:tab/>
        <w:t>36-3514169</w:t>
      </w:r>
    </w:p>
    <w:p w14:paraId="7326B817" w14:textId="77777777" w:rsidR="00EF3DFB" w:rsidRDefault="00D27C17">
      <w:pPr>
        <w:tabs>
          <w:tab w:val="left" w:pos="6486"/>
        </w:tabs>
        <w:spacing w:before="165"/>
        <w:ind w:left="427"/>
        <w:rPr>
          <w:b/>
          <w:sz w:val="18"/>
        </w:rPr>
      </w:pPr>
      <w:r>
        <w:rPr>
          <w:b/>
          <w:sz w:val="18"/>
        </w:rPr>
        <w:t>(State or other jurisdiction of incorporation</w:t>
      </w:r>
      <w:r>
        <w:rPr>
          <w:b/>
          <w:spacing w:val="-8"/>
          <w:sz w:val="18"/>
        </w:rPr>
        <w:t xml:space="preserve"> </w:t>
      </w:r>
      <w:r>
        <w:rPr>
          <w:b/>
          <w:sz w:val="18"/>
        </w:rPr>
        <w:t>or</w:t>
      </w:r>
      <w:r>
        <w:rPr>
          <w:b/>
          <w:spacing w:val="-1"/>
          <w:sz w:val="18"/>
        </w:rPr>
        <w:t xml:space="preserve"> </w:t>
      </w:r>
      <w:r>
        <w:rPr>
          <w:b/>
          <w:sz w:val="18"/>
        </w:rPr>
        <w:t>organization)</w:t>
      </w:r>
      <w:r>
        <w:rPr>
          <w:b/>
          <w:sz w:val="18"/>
        </w:rPr>
        <w:tab/>
        <w:t>(I.R.S. Employer Identification</w:t>
      </w:r>
      <w:r>
        <w:rPr>
          <w:b/>
          <w:spacing w:val="-2"/>
          <w:sz w:val="18"/>
        </w:rPr>
        <w:t xml:space="preserve"> </w:t>
      </w:r>
      <w:r>
        <w:rPr>
          <w:b/>
          <w:sz w:val="18"/>
        </w:rPr>
        <w:t>No.)</w:t>
      </w:r>
    </w:p>
    <w:p w14:paraId="7326B818" w14:textId="77777777" w:rsidR="00EF3DFB" w:rsidRDefault="00EF3DFB">
      <w:pPr>
        <w:pStyle w:val="BodyText"/>
        <w:rPr>
          <w:b/>
          <w:sz w:val="23"/>
        </w:rPr>
      </w:pPr>
    </w:p>
    <w:p w14:paraId="7326B819" w14:textId="77777777" w:rsidR="00EF3DFB" w:rsidRDefault="00D27C17">
      <w:pPr>
        <w:pStyle w:val="Heading1"/>
        <w:tabs>
          <w:tab w:val="left" w:pos="7737"/>
          <w:tab w:val="left" w:pos="7854"/>
        </w:tabs>
        <w:spacing w:line="261" w:lineRule="auto"/>
        <w:ind w:left="2387" w:right="2405" w:hanging="1138"/>
        <w:rPr>
          <w:sz w:val="18"/>
        </w:rPr>
      </w:pPr>
      <w:r>
        <w:t>6655 Peachtree</w:t>
      </w:r>
      <w:r>
        <w:rPr>
          <w:spacing w:val="-4"/>
        </w:rPr>
        <w:t xml:space="preserve"> </w:t>
      </w:r>
      <w:r>
        <w:t>Dunwoody</w:t>
      </w:r>
      <w:r>
        <w:rPr>
          <w:spacing w:val="-2"/>
        </w:rPr>
        <w:t xml:space="preserve"> </w:t>
      </w:r>
      <w:r>
        <w:t>Road,</w:t>
      </w:r>
      <w:r>
        <w:tab/>
      </w:r>
      <w:r>
        <w:tab/>
        <w:t>30328 Atlanta,</w:t>
      </w:r>
      <w:r>
        <w:rPr>
          <w:spacing w:val="42"/>
        </w:rPr>
        <w:t xml:space="preserve"> </w:t>
      </w:r>
      <w:r>
        <w:t>Georgia</w:t>
      </w:r>
      <w:r>
        <w:tab/>
      </w:r>
      <w:r>
        <w:rPr>
          <w:position w:val="4"/>
          <w:sz w:val="18"/>
        </w:rPr>
        <w:t>(Zip</w:t>
      </w:r>
      <w:r>
        <w:rPr>
          <w:spacing w:val="-3"/>
          <w:position w:val="4"/>
          <w:sz w:val="18"/>
        </w:rPr>
        <w:t xml:space="preserve"> </w:t>
      </w:r>
      <w:r>
        <w:rPr>
          <w:position w:val="4"/>
          <w:sz w:val="18"/>
        </w:rPr>
        <w:t>Code)</w:t>
      </w:r>
    </w:p>
    <w:p w14:paraId="7326B81A" w14:textId="77777777" w:rsidR="00EF3DFB" w:rsidRDefault="00D27C17">
      <w:pPr>
        <w:spacing w:before="10"/>
        <w:ind w:left="1454"/>
        <w:rPr>
          <w:b/>
          <w:sz w:val="18"/>
        </w:rPr>
      </w:pPr>
      <w:r>
        <w:rPr>
          <w:b/>
          <w:sz w:val="18"/>
        </w:rPr>
        <w:t>(Address of principal executive offices)</w:t>
      </w:r>
    </w:p>
    <w:p w14:paraId="7326B81B" w14:textId="77777777" w:rsidR="00EF3DFB" w:rsidRDefault="00D27C17">
      <w:pPr>
        <w:pStyle w:val="Heading2"/>
        <w:spacing w:before="90"/>
        <w:ind w:left="135" w:right="116"/>
        <w:jc w:val="center"/>
      </w:pPr>
      <w:r>
        <w:rPr>
          <w:sz w:val="18"/>
        </w:rPr>
        <w:t>R</w:t>
      </w:r>
      <w:r>
        <w:t>egistrant’s telephone number, including area code: (770) 418-7000</w:t>
      </w:r>
    </w:p>
    <w:p w14:paraId="7326B81C" w14:textId="77777777" w:rsidR="00EF3DFB" w:rsidRDefault="00EF3DFB">
      <w:pPr>
        <w:pStyle w:val="BodyText"/>
        <w:spacing w:before="9"/>
        <w:rPr>
          <w:b/>
          <w:sz w:val="21"/>
        </w:rPr>
      </w:pPr>
    </w:p>
    <w:p w14:paraId="7326B81D" w14:textId="77777777" w:rsidR="00EF3DFB" w:rsidRDefault="00D27C17">
      <w:pPr>
        <w:ind w:left="136" w:right="116"/>
        <w:jc w:val="center"/>
        <w:rPr>
          <w:b/>
          <w:sz w:val="20"/>
        </w:rPr>
      </w:pPr>
      <w:r>
        <w:rPr>
          <w:b/>
          <w:sz w:val="20"/>
        </w:rPr>
        <w:t>Securities registered pursuant to Section 12(b) of the Act:</w:t>
      </w:r>
    </w:p>
    <w:p w14:paraId="7326B81E" w14:textId="77777777" w:rsidR="00EF3DFB" w:rsidRDefault="00D27C17">
      <w:pPr>
        <w:spacing w:before="166" w:line="208" w:lineRule="exact"/>
        <w:ind w:left="6615"/>
        <w:rPr>
          <w:b/>
          <w:sz w:val="20"/>
        </w:rPr>
      </w:pPr>
      <w:r>
        <w:rPr>
          <w:b/>
          <w:sz w:val="20"/>
          <w:u w:val="single"/>
        </w:rPr>
        <w:t>NAME OF EACH EXCHANGE ON WHICH</w:t>
      </w:r>
    </w:p>
    <w:p w14:paraId="7326B81F" w14:textId="77777777" w:rsidR="00EF3DFB" w:rsidRDefault="00D27C17">
      <w:pPr>
        <w:tabs>
          <w:tab w:val="left" w:pos="4404"/>
          <w:tab w:val="left" w:pos="7912"/>
        </w:tabs>
        <w:spacing w:line="222" w:lineRule="exact"/>
        <w:ind w:left="1137"/>
        <w:rPr>
          <w:b/>
          <w:sz w:val="20"/>
        </w:rPr>
      </w:pPr>
      <w:r>
        <w:rPr>
          <w:b/>
          <w:sz w:val="20"/>
          <w:u w:val="single"/>
        </w:rPr>
        <w:t>TITLE OF</w:t>
      </w:r>
      <w:r>
        <w:rPr>
          <w:b/>
          <w:spacing w:val="-7"/>
          <w:sz w:val="20"/>
          <w:u w:val="single"/>
        </w:rPr>
        <w:t xml:space="preserve"> </w:t>
      </w:r>
      <w:r>
        <w:rPr>
          <w:b/>
          <w:sz w:val="20"/>
          <w:u w:val="single"/>
        </w:rPr>
        <w:t>EACH</w:t>
      </w:r>
      <w:r>
        <w:rPr>
          <w:b/>
          <w:spacing w:val="-4"/>
          <w:sz w:val="20"/>
          <w:u w:val="single"/>
        </w:rPr>
        <w:t xml:space="preserve"> </w:t>
      </w:r>
      <w:r>
        <w:rPr>
          <w:b/>
          <w:sz w:val="20"/>
          <w:u w:val="single"/>
        </w:rPr>
        <w:t>CLASS</w:t>
      </w:r>
      <w:r>
        <w:rPr>
          <w:b/>
          <w:sz w:val="20"/>
        </w:rPr>
        <w:tab/>
      </w:r>
      <w:r>
        <w:rPr>
          <w:b/>
          <w:sz w:val="20"/>
          <w:u w:val="single"/>
        </w:rPr>
        <w:t>TRADING</w:t>
      </w:r>
      <w:r>
        <w:rPr>
          <w:b/>
          <w:spacing w:val="-5"/>
          <w:sz w:val="20"/>
          <w:u w:val="single"/>
        </w:rPr>
        <w:t xml:space="preserve"> </w:t>
      </w:r>
      <w:r>
        <w:rPr>
          <w:b/>
          <w:sz w:val="20"/>
          <w:u w:val="single"/>
        </w:rPr>
        <w:t>SYMBOL</w:t>
      </w:r>
      <w:r>
        <w:rPr>
          <w:b/>
          <w:sz w:val="20"/>
        </w:rPr>
        <w:tab/>
      </w:r>
      <w:r>
        <w:rPr>
          <w:b/>
          <w:sz w:val="20"/>
          <w:u w:val="single"/>
        </w:rPr>
        <w:t>REGISTERED</w:t>
      </w:r>
    </w:p>
    <w:p w14:paraId="7326B820" w14:textId="77777777" w:rsidR="00EF3DFB" w:rsidRDefault="00D27C17">
      <w:pPr>
        <w:tabs>
          <w:tab w:val="left" w:pos="5096"/>
          <w:tab w:val="left" w:pos="7404"/>
        </w:tabs>
        <w:spacing w:before="31"/>
        <w:ind w:left="604"/>
        <w:rPr>
          <w:b/>
          <w:sz w:val="20"/>
        </w:rPr>
      </w:pPr>
      <w:r>
        <w:rPr>
          <w:b/>
          <w:sz w:val="20"/>
        </w:rPr>
        <w:t>Common Stock, $1 par value</w:t>
      </w:r>
      <w:r>
        <w:rPr>
          <w:b/>
          <w:spacing w:val="-11"/>
          <w:sz w:val="20"/>
        </w:rPr>
        <w:t xml:space="preserve"> </w:t>
      </w:r>
      <w:r>
        <w:rPr>
          <w:b/>
          <w:sz w:val="20"/>
        </w:rPr>
        <w:t>per</w:t>
      </w:r>
      <w:r>
        <w:rPr>
          <w:b/>
          <w:spacing w:val="-3"/>
          <w:sz w:val="20"/>
        </w:rPr>
        <w:t xml:space="preserve"> </w:t>
      </w:r>
      <w:r>
        <w:rPr>
          <w:b/>
          <w:sz w:val="20"/>
        </w:rPr>
        <w:t>share</w:t>
      </w:r>
      <w:r>
        <w:rPr>
          <w:b/>
          <w:sz w:val="20"/>
        </w:rPr>
        <w:tab/>
        <w:t>NWL</w:t>
      </w:r>
      <w:r>
        <w:rPr>
          <w:b/>
          <w:sz w:val="20"/>
        </w:rPr>
        <w:tab/>
        <w:t>Nasdaq Stock Market</w:t>
      </w:r>
      <w:r>
        <w:rPr>
          <w:b/>
          <w:spacing w:val="-4"/>
          <w:sz w:val="20"/>
        </w:rPr>
        <w:t xml:space="preserve"> </w:t>
      </w:r>
      <w:r>
        <w:rPr>
          <w:b/>
          <w:sz w:val="20"/>
        </w:rPr>
        <w:t>LLC</w:t>
      </w:r>
    </w:p>
    <w:p w14:paraId="7326B821" w14:textId="77777777" w:rsidR="00EF3DFB" w:rsidRDefault="00EF3DFB">
      <w:pPr>
        <w:pStyle w:val="BodyText"/>
        <w:spacing w:before="2"/>
        <w:rPr>
          <w:b/>
          <w:sz w:val="30"/>
        </w:rPr>
      </w:pPr>
    </w:p>
    <w:p w14:paraId="7326B822" w14:textId="77777777" w:rsidR="00EF3DFB" w:rsidRDefault="00D27C17">
      <w:pPr>
        <w:ind w:left="3080"/>
        <w:rPr>
          <w:b/>
          <w:sz w:val="18"/>
        </w:rPr>
      </w:pPr>
      <w:r>
        <w:rPr>
          <w:b/>
          <w:sz w:val="18"/>
        </w:rPr>
        <w:t>Securities registered pursuant to Section 12(g) of the Act: None</w:t>
      </w:r>
    </w:p>
    <w:p w14:paraId="7326B823" w14:textId="0510E2AE" w:rsidR="00EF3DFB" w:rsidRDefault="00D27C17">
      <w:pPr>
        <w:pStyle w:val="BodyText"/>
        <w:spacing w:before="5"/>
        <w:rPr>
          <w:b/>
          <w:sz w:val="11"/>
        </w:rPr>
      </w:pPr>
      <w:r>
        <w:rPr>
          <w:noProof/>
        </w:rPr>
        <mc:AlternateContent>
          <mc:Choice Requires="wps">
            <w:drawing>
              <wp:anchor distT="0" distB="0" distL="0" distR="0" simplePos="0" relativeHeight="1144" behindDoc="0" locked="0" layoutInCell="1" allowOverlap="1" wp14:anchorId="7326D6C9" wp14:editId="1E88E6F4">
                <wp:simplePos x="0" y="0"/>
                <wp:positionH relativeFrom="page">
                  <wp:posOffset>3463925</wp:posOffset>
                </wp:positionH>
                <wp:positionV relativeFrom="paragraph">
                  <wp:posOffset>111760</wp:posOffset>
                </wp:positionV>
                <wp:extent cx="844550" cy="0"/>
                <wp:effectExtent l="6350" t="6985" r="6350" b="12065"/>
                <wp:wrapTopAndBottom/>
                <wp:docPr id="581"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331E" id="Line 56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75pt,8.8pt" to="339.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" strokeweight=".15558mm">
                <w10:wrap type="topAndBottom" anchorx="page"/>
              </v:line>
            </w:pict>
          </mc:Fallback>
        </mc:AlternateContent>
      </w:r>
    </w:p>
    <w:p w14:paraId="7326B824" w14:textId="77777777" w:rsidR="00EF3DFB" w:rsidRDefault="00EF3DFB">
      <w:pPr>
        <w:pStyle w:val="BodyText"/>
        <w:spacing w:before="11"/>
        <w:rPr>
          <w:b/>
          <w:sz w:val="7"/>
        </w:rPr>
      </w:pPr>
    </w:p>
    <w:p w14:paraId="7326B825" w14:textId="77777777" w:rsidR="00EF3DFB" w:rsidRDefault="00D27C17">
      <w:pPr>
        <w:spacing w:before="98"/>
        <w:ind w:left="190"/>
        <w:rPr>
          <w:rFonts w:ascii="Segoe UI Emoji" w:hAnsi="Segoe UI Emoji"/>
          <w:sz w:val="18"/>
        </w:rPr>
      </w:pPr>
      <w:r>
        <w:rPr>
          <w:sz w:val="18"/>
        </w:rPr>
        <w:t>Indicate by check mark if the registrant is a well-known seasoned issuer, as</w:t>
      </w:r>
      <w:r>
        <w:rPr>
          <w:sz w:val="18"/>
        </w:rPr>
        <w:t xml:space="preserve"> defined in Rule 405 of the Securities Act. Yes </w:t>
      </w:r>
      <w:r>
        <w:rPr>
          <w:rFonts w:ascii="Segoe UI Emoji" w:hAnsi="Segoe UI Emoji"/>
          <w:sz w:val="18"/>
        </w:rPr>
        <w:t xml:space="preserve">☒ </w:t>
      </w:r>
      <w:r>
        <w:rPr>
          <w:sz w:val="18"/>
        </w:rPr>
        <w:t xml:space="preserve">No </w:t>
      </w:r>
      <w:r>
        <w:rPr>
          <w:rFonts w:ascii="Segoe UI Emoji" w:hAnsi="Segoe UI Emoji"/>
          <w:sz w:val="18"/>
        </w:rPr>
        <w:t>☐</w:t>
      </w:r>
    </w:p>
    <w:p w14:paraId="7326B826" w14:textId="77777777" w:rsidR="00EF3DFB" w:rsidRDefault="00EF3DFB">
      <w:pPr>
        <w:pStyle w:val="BodyText"/>
        <w:spacing w:before="4"/>
        <w:rPr>
          <w:rFonts w:ascii="Segoe UI Emoji"/>
          <w:sz w:val="16"/>
        </w:rPr>
      </w:pPr>
    </w:p>
    <w:p w14:paraId="7326B827" w14:textId="77777777" w:rsidR="00EF3DFB" w:rsidRDefault="00D27C17">
      <w:pPr>
        <w:ind w:left="190"/>
        <w:rPr>
          <w:rFonts w:ascii="Segoe UI Emoji" w:hAnsi="Segoe UI Emoji"/>
          <w:sz w:val="18"/>
        </w:rPr>
      </w:pPr>
      <w:r>
        <w:rPr>
          <w:sz w:val="18"/>
        </w:rPr>
        <w:t xml:space="preserve">Indicate by check mark if the registrant is not required to file reports pursuant to Section 13 or 15(d) of the Act. Yes </w:t>
      </w:r>
      <w:r>
        <w:rPr>
          <w:rFonts w:ascii="Segoe UI Emoji" w:hAnsi="Segoe UI Emoji"/>
          <w:sz w:val="18"/>
        </w:rPr>
        <w:t xml:space="preserve">☐ </w:t>
      </w:r>
      <w:r>
        <w:rPr>
          <w:sz w:val="18"/>
        </w:rPr>
        <w:t xml:space="preserve">No </w:t>
      </w:r>
      <w:r>
        <w:rPr>
          <w:rFonts w:ascii="Segoe UI Emoji" w:hAnsi="Segoe UI Emoji"/>
          <w:sz w:val="18"/>
        </w:rPr>
        <w:t>☒</w:t>
      </w:r>
    </w:p>
    <w:p w14:paraId="7326B828" w14:textId="77777777" w:rsidR="00EF3DFB" w:rsidRDefault="00EF3DFB">
      <w:pPr>
        <w:pStyle w:val="BodyText"/>
        <w:spacing w:before="10"/>
        <w:rPr>
          <w:rFonts w:ascii="Segoe UI Emoji"/>
          <w:sz w:val="17"/>
        </w:rPr>
      </w:pPr>
    </w:p>
    <w:p w14:paraId="7326B829" w14:textId="77777777" w:rsidR="00EF3DFB" w:rsidRDefault="00D27C17">
      <w:pPr>
        <w:spacing w:before="1"/>
        <w:ind w:left="190" w:right="166"/>
        <w:jc w:val="both"/>
        <w:rPr>
          <w:rFonts w:ascii="Segoe UI Emoji" w:hAnsi="Segoe UI Emoji"/>
          <w:sz w:val="18"/>
        </w:rPr>
      </w:pPr>
      <w:r>
        <w:rPr>
          <w:sz w:val="18"/>
        </w:rPr>
        <w:t>Indicate by check mark whether the Registrant (1) has filed all reports</w:t>
      </w:r>
      <w:r>
        <w:rPr>
          <w:sz w:val="18"/>
        </w:rPr>
        <w:t xml:space="preserve"> required to be filed by Section 13 or 15(d) of the Securities Exchange Act of 1934 during the preceding 12 months (or for such shorter period that the Registrant was required to file such reports), and (2) has been subject to such filing requirements for </w:t>
      </w:r>
      <w:r>
        <w:rPr>
          <w:sz w:val="18"/>
        </w:rPr>
        <w:t xml:space="preserve">the past 90 days. Yes </w:t>
      </w:r>
      <w:r>
        <w:rPr>
          <w:rFonts w:ascii="Segoe UI Emoji" w:hAnsi="Segoe UI Emoji"/>
          <w:sz w:val="18"/>
        </w:rPr>
        <w:t xml:space="preserve">☒ </w:t>
      </w:r>
      <w:r>
        <w:rPr>
          <w:sz w:val="18"/>
        </w:rPr>
        <w:t xml:space="preserve">No </w:t>
      </w:r>
      <w:r>
        <w:rPr>
          <w:rFonts w:ascii="Segoe UI Emoji" w:hAnsi="Segoe UI Emoji"/>
          <w:sz w:val="18"/>
        </w:rPr>
        <w:t>☐</w:t>
      </w:r>
    </w:p>
    <w:p w14:paraId="7326B82A" w14:textId="77777777" w:rsidR="00EF3DFB" w:rsidRDefault="00EF3DFB">
      <w:pPr>
        <w:pStyle w:val="BodyText"/>
        <w:spacing w:before="8"/>
        <w:rPr>
          <w:rFonts w:ascii="Segoe UI Emoji"/>
          <w:sz w:val="17"/>
        </w:rPr>
      </w:pPr>
    </w:p>
    <w:p w14:paraId="7326B82B" w14:textId="77777777" w:rsidR="00EF3DFB" w:rsidRDefault="00D27C17">
      <w:pPr>
        <w:ind w:left="190" w:right="164"/>
        <w:jc w:val="both"/>
        <w:rPr>
          <w:rFonts w:ascii="Segoe UI Emoji" w:hAnsi="Segoe UI Emoji"/>
          <w:sz w:val="18"/>
        </w:rPr>
      </w:pPr>
      <w:r>
        <w:rPr>
          <w:sz w:val="18"/>
        </w:rPr>
        <w:t>Indicate by check mark whether the registrant has submitted electronically every Interactive Data File required to be submitted pursuant to Rule 405 of Regulation S-T (§ 232.405 of this chapter) during the preceding 12 months (or for such shorter period th</w:t>
      </w:r>
      <w:r>
        <w:rPr>
          <w:sz w:val="18"/>
        </w:rPr>
        <w:t xml:space="preserve">at the registrant was required to submit such files). Yes </w:t>
      </w:r>
      <w:r>
        <w:rPr>
          <w:rFonts w:ascii="Segoe UI Emoji" w:hAnsi="Segoe UI Emoji"/>
          <w:sz w:val="18"/>
        </w:rPr>
        <w:t xml:space="preserve">☒ </w:t>
      </w:r>
      <w:r>
        <w:rPr>
          <w:sz w:val="18"/>
        </w:rPr>
        <w:t xml:space="preserve">No </w:t>
      </w:r>
      <w:r>
        <w:rPr>
          <w:rFonts w:ascii="Segoe UI Emoji" w:hAnsi="Segoe UI Emoji"/>
          <w:sz w:val="18"/>
        </w:rPr>
        <w:t>☐</w:t>
      </w:r>
    </w:p>
    <w:p w14:paraId="7326B82C" w14:textId="77777777" w:rsidR="00EF3DFB" w:rsidRDefault="00EF3DFB">
      <w:pPr>
        <w:jc w:val="both"/>
        <w:rPr>
          <w:rFonts w:ascii="Segoe UI Emoji" w:hAnsi="Segoe UI Emoji"/>
          <w:sz w:val="18"/>
        </w:rPr>
        <w:sectPr w:rsidR="00EF3DFB">
          <w:type w:val="continuous"/>
          <w:pgSz w:w="12240" w:h="15840"/>
          <w:pgMar w:top="760" w:right="640" w:bottom="280" w:left="620" w:header="720" w:footer="720" w:gutter="0"/>
          <w:cols w:space="720"/>
        </w:sectPr>
      </w:pPr>
    </w:p>
    <w:p w14:paraId="7326B82D" w14:textId="77777777" w:rsidR="00EF3DFB" w:rsidRDefault="00D27C17">
      <w:pPr>
        <w:spacing w:before="76" w:line="249" w:lineRule="auto"/>
        <w:ind w:left="190" w:right="160"/>
        <w:jc w:val="both"/>
        <w:rPr>
          <w:sz w:val="18"/>
        </w:rPr>
      </w:pPr>
      <w:r>
        <w:rPr>
          <w:sz w:val="18"/>
        </w:rPr>
        <w:lastRenderedPageBreak/>
        <w:t>Indicate by check mark whether the registrant is a large accelerated filer, an accelerated filer, a non-accelerated filer, a smaller reporting company, or emerging growth company.</w:t>
      </w:r>
      <w:r>
        <w:rPr>
          <w:sz w:val="18"/>
        </w:rPr>
        <w:t xml:space="preserve"> See the definitions of “large accelerated filer,” “accelerated filer”, “smaller reporting company” and “emerging growth company” in Rule 12b-2 of the Exchange Act.</w:t>
      </w:r>
    </w:p>
    <w:p w14:paraId="7326B82E" w14:textId="77777777" w:rsidR="00EF3DFB" w:rsidRDefault="00EF3DFB">
      <w:pPr>
        <w:pStyle w:val="BodyText"/>
        <w:spacing w:before="2"/>
        <w:rPr>
          <w:sz w:val="16"/>
        </w:rPr>
      </w:pPr>
    </w:p>
    <w:tbl>
      <w:tblPr>
        <w:tblW w:w="0" w:type="auto"/>
        <w:tblInd w:w="192" w:type="dxa"/>
        <w:tblLayout w:type="fixed"/>
        <w:tblCellMar>
          <w:left w:w="0" w:type="dxa"/>
          <w:right w:w="0" w:type="dxa"/>
        </w:tblCellMar>
        <w:tblLook w:val="01E0" w:firstRow="1" w:lastRow="1" w:firstColumn="1" w:lastColumn="1" w:noHBand="0" w:noVBand="0"/>
      </w:tblPr>
      <w:tblGrid>
        <w:gridCol w:w="2109"/>
        <w:gridCol w:w="2999"/>
        <w:gridCol w:w="4711"/>
        <w:gridCol w:w="396"/>
      </w:tblGrid>
      <w:tr w:rsidR="00EF3DFB" w14:paraId="7326B833" w14:textId="77777777">
        <w:trPr>
          <w:trHeight w:val="270"/>
        </w:trPr>
        <w:tc>
          <w:tcPr>
            <w:tcW w:w="2109" w:type="dxa"/>
          </w:tcPr>
          <w:p w14:paraId="7326B82F" w14:textId="77777777" w:rsidR="00EF3DFB" w:rsidRDefault="00D27C17">
            <w:pPr>
              <w:pStyle w:val="TableParagraph"/>
              <w:spacing w:before="23"/>
              <w:ind w:left="50"/>
              <w:rPr>
                <w:sz w:val="18"/>
              </w:rPr>
            </w:pPr>
            <w:r>
              <w:rPr>
                <w:sz w:val="18"/>
              </w:rPr>
              <w:t>Large accelerated filer</w:t>
            </w:r>
          </w:p>
        </w:tc>
        <w:tc>
          <w:tcPr>
            <w:tcW w:w="2999" w:type="dxa"/>
          </w:tcPr>
          <w:p w14:paraId="7326B830" w14:textId="77777777" w:rsidR="00EF3DFB" w:rsidRDefault="00D27C17">
            <w:pPr>
              <w:pStyle w:val="TableParagraph"/>
              <w:spacing w:line="238" w:lineRule="exact"/>
              <w:ind w:left="439"/>
              <w:rPr>
                <w:rFonts w:ascii="Segoe UI Emoji" w:hAnsi="Segoe UI Emoji"/>
                <w:sz w:val="18"/>
              </w:rPr>
            </w:pPr>
            <w:r>
              <w:rPr>
                <w:rFonts w:ascii="Segoe UI Emoji" w:hAnsi="Segoe UI Emoji"/>
                <w:w w:val="85"/>
                <w:sz w:val="18"/>
              </w:rPr>
              <w:t>☒</w:t>
            </w:r>
          </w:p>
        </w:tc>
        <w:tc>
          <w:tcPr>
            <w:tcW w:w="4711" w:type="dxa"/>
          </w:tcPr>
          <w:p w14:paraId="7326B831" w14:textId="77777777" w:rsidR="00EF3DFB" w:rsidRDefault="00D27C17">
            <w:pPr>
              <w:pStyle w:val="TableParagraph"/>
              <w:spacing w:before="23"/>
              <w:ind w:left="2427"/>
              <w:rPr>
                <w:sz w:val="18"/>
              </w:rPr>
            </w:pPr>
            <w:r>
              <w:rPr>
                <w:sz w:val="18"/>
              </w:rPr>
              <w:t>Accelerated Filer</w:t>
            </w:r>
          </w:p>
        </w:tc>
        <w:tc>
          <w:tcPr>
            <w:tcW w:w="396" w:type="dxa"/>
          </w:tcPr>
          <w:p w14:paraId="7326B832" w14:textId="77777777" w:rsidR="00EF3DFB" w:rsidRDefault="00D27C17">
            <w:pPr>
              <w:pStyle w:val="TableParagraph"/>
              <w:spacing w:line="238" w:lineRule="exact"/>
              <w:ind w:right="47"/>
              <w:jc w:val="right"/>
              <w:rPr>
                <w:rFonts w:ascii="Segoe UI Emoji" w:hAnsi="Segoe UI Emoji"/>
                <w:sz w:val="18"/>
              </w:rPr>
            </w:pPr>
            <w:r>
              <w:rPr>
                <w:rFonts w:ascii="Segoe UI Emoji" w:hAnsi="Segoe UI Emoji"/>
                <w:w w:val="85"/>
                <w:sz w:val="18"/>
              </w:rPr>
              <w:t>☐</w:t>
            </w:r>
          </w:p>
        </w:tc>
      </w:tr>
      <w:tr w:rsidR="00EF3DFB" w14:paraId="7326B838" w14:textId="77777777">
        <w:trPr>
          <w:trHeight w:val="300"/>
        </w:trPr>
        <w:tc>
          <w:tcPr>
            <w:tcW w:w="2109" w:type="dxa"/>
          </w:tcPr>
          <w:p w14:paraId="7326B834" w14:textId="77777777" w:rsidR="00EF3DFB" w:rsidRDefault="00D27C17">
            <w:pPr>
              <w:pStyle w:val="TableParagraph"/>
              <w:spacing w:before="52"/>
              <w:ind w:left="50"/>
              <w:rPr>
                <w:sz w:val="18"/>
              </w:rPr>
            </w:pPr>
            <w:r>
              <w:rPr>
                <w:sz w:val="18"/>
              </w:rPr>
              <w:t>Non-Accelerated Filer</w:t>
            </w:r>
          </w:p>
        </w:tc>
        <w:tc>
          <w:tcPr>
            <w:tcW w:w="2999" w:type="dxa"/>
          </w:tcPr>
          <w:p w14:paraId="7326B835" w14:textId="77777777" w:rsidR="00EF3DFB" w:rsidRDefault="00D27C17">
            <w:pPr>
              <w:pStyle w:val="TableParagraph"/>
              <w:spacing w:before="27"/>
              <w:ind w:left="439"/>
              <w:rPr>
                <w:rFonts w:ascii="Segoe UI Emoji" w:hAnsi="Segoe UI Emoji"/>
                <w:sz w:val="18"/>
              </w:rPr>
            </w:pPr>
            <w:r>
              <w:rPr>
                <w:rFonts w:ascii="Segoe UI Emoji" w:hAnsi="Segoe UI Emoji"/>
                <w:w w:val="85"/>
                <w:sz w:val="18"/>
              </w:rPr>
              <w:t>☐</w:t>
            </w:r>
          </w:p>
        </w:tc>
        <w:tc>
          <w:tcPr>
            <w:tcW w:w="4711" w:type="dxa"/>
          </w:tcPr>
          <w:p w14:paraId="7326B836" w14:textId="77777777" w:rsidR="00EF3DFB" w:rsidRDefault="00D27C17">
            <w:pPr>
              <w:pStyle w:val="TableParagraph"/>
              <w:spacing w:before="52"/>
              <w:ind w:left="2427"/>
              <w:rPr>
                <w:sz w:val="18"/>
              </w:rPr>
            </w:pPr>
            <w:r>
              <w:rPr>
                <w:sz w:val="18"/>
              </w:rPr>
              <w:t>Smaller Reporting Company</w:t>
            </w:r>
          </w:p>
        </w:tc>
        <w:tc>
          <w:tcPr>
            <w:tcW w:w="396" w:type="dxa"/>
          </w:tcPr>
          <w:p w14:paraId="7326B837" w14:textId="77777777" w:rsidR="00EF3DFB" w:rsidRDefault="00D27C17">
            <w:pPr>
              <w:pStyle w:val="TableParagraph"/>
              <w:spacing w:before="27"/>
              <w:ind w:right="47"/>
              <w:jc w:val="right"/>
              <w:rPr>
                <w:rFonts w:ascii="Segoe UI Emoji" w:hAnsi="Segoe UI Emoji"/>
                <w:sz w:val="18"/>
              </w:rPr>
            </w:pPr>
            <w:r>
              <w:rPr>
                <w:rFonts w:ascii="Segoe UI Emoji" w:hAnsi="Segoe UI Emoji"/>
                <w:w w:val="85"/>
                <w:sz w:val="18"/>
              </w:rPr>
              <w:t>☐</w:t>
            </w:r>
          </w:p>
        </w:tc>
      </w:tr>
      <w:tr w:rsidR="00EF3DFB" w14:paraId="7326B83D" w14:textId="77777777">
        <w:trPr>
          <w:trHeight w:val="270"/>
        </w:trPr>
        <w:tc>
          <w:tcPr>
            <w:tcW w:w="2109" w:type="dxa"/>
          </w:tcPr>
          <w:p w14:paraId="7326B839" w14:textId="77777777" w:rsidR="00EF3DFB" w:rsidRDefault="00EF3DFB">
            <w:pPr>
              <w:pStyle w:val="TableParagraph"/>
              <w:rPr>
                <w:sz w:val="18"/>
              </w:rPr>
            </w:pPr>
          </w:p>
        </w:tc>
        <w:tc>
          <w:tcPr>
            <w:tcW w:w="2999" w:type="dxa"/>
          </w:tcPr>
          <w:p w14:paraId="7326B83A" w14:textId="77777777" w:rsidR="00EF3DFB" w:rsidRDefault="00EF3DFB">
            <w:pPr>
              <w:pStyle w:val="TableParagraph"/>
              <w:rPr>
                <w:sz w:val="18"/>
              </w:rPr>
            </w:pPr>
          </w:p>
        </w:tc>
        <w:tc>
          <w:tcPr>
            <w:tcW w:w="4711" w:type="dxa"/>
          </w:tcPr>
          <w:p w14:paraId="7326B83B" w14:textId="77777777" w:rsidR="00EF3DFB" w:rsidRDefault="00D27C17">
            <w:pPr>
              <w:pStyle w:val="TableParagraph"/>
              <w:spacing w:before="52" w:line="198" w:lineRule="exact"/>
              <w:ind w:left="2427"/>
              <w:rPr>
                <w:sz w:val="18"/>
              </w:rPr>
            </w:pPr>
            <w:r>
              <w:rPr>
                <w:sz w:val="18"/>
              </w:rPr>
              <w:t>Emerging Growth Company</w:t>
            </w:r>
          </w:p>
        </w:tc>
        <w:tc>
          <w:tcPr>
            <w:tcW w:w="396" w:type="dxa"/>
          </w:tcPr>
          <w:p w14:paraId="7326B83C" w14:textId="77777777" w:rsidR="00EF3DFB" w:rsidRDefault="00D27C17">
            <w:pPr>
              <w:pStyle w:val="TableParagraph"/>
              <w:spacing w:before="27" w:line="223" w:lineRule="exact"/>
              <w:ind w:right="47"/>
              <w:jc w:val="right"/>
              <w:rPr>
                <w:rFonts w:ascii="Segoe UI Emoji" w:hAnsi="Segoe UI Emoji"/>
                <w:sz w:val="18"/>
              </w:rPr>
            </w:pPr>
            <w:r>
              <w:rPr>
                <w:rFonts w:ascii="Segoe UI Emoji" w:hAnsi="Segoe UI Emoji"/>
                <w:w w:val="85"/>
                <w:sz w:val="18"/>
              </w:rPr>
              <w:t>☐</w:t>
            </w:r>
          </w:p>
        </w:tc>
      </w:tr>
    </w:tbl>
    <w:p w14:paraId="7326B83E" w14:textId="77777777" w:rsidR="00EF3DFB" w:rsidRDefault="00EF3DFB">
      <w:pPr>
        <w:pStyle w:val="BodyText"/>
      </w:pPr>
    </w:p>
    <w:p w14:paraId="7326B83F" w14:textId="77777777" w:rsidR="00EF3DFB" w:rsidRDefault="00D27C17">
      <w:pPr>
        <w:spacing w:before="170" w:line="228" w:lineRule="auto"/>
        <w:ind w:left="190" w:right="333"/>
        <w:rPr>
          <w:rFonts w:ascii="Segoe UI Emoji" w:hAnsi="Segoe UI Emoji"/>
          <w:sz w:val="18"/>
        </w:rPr>
      </w:pPr>
      <w:r>
        <w:rPr>
          <w:sz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Emoji" w:hAnsi="Segoe UI Emoji"/>
          <w:sz w:val="18"/>
        </w:rPr>
        <w:t>☐</w:t>
      </w:r>
    </w:p>
    <w:p w14:paraId="7326B840" w14:textId="77777777" w:rsidR="00EF3DFB" w:rsidRDefault="00EF3DFB">
      <w:pPr>
        <w:pStyle w:val="BodyText"/>
        <w:spacing w:before="6"/>
        <w:rPr>
          <w:rFonts w:ascii="Segoe UI Emoji"/>
          <w:sz w:val="16"/>
        </w:rPr>
      </w:pPr>
    </w:p>
    <w:p w14:paraId="7326B841" w14:textId="77777777" w:rsidR="00EF3DFB" w:rsidRDefault="00D27C17">
      <w:pPr>
        <w:ind w:left="190"/>
        <w:rPr>
          <w:rFonts w:ascii="Segoe UI Emoji" w:hAnsi="Segoe UI Emoji"/>
          <w:sz w:val="18"/>
        </w:rPr>
      </w:pPr>
      <w:r>
        <w:rPr>
          <w:sz w:val="18"/>
        </w:rPr>
        <w:t>In</w:t>
      </w:r>
      <w:r>
        <w:rPr>
          <w:sz w:val="18"/>
        </w:rPr>
        <w:t xml:space="preserve">dicate by check mark whether the registrant is a shell company (as defined in Rule 12b-2 of the Act). Yes </w:t>
      </w:r>
      <w:r>
        <w:rPr>
          <w:rFonts w:ascii="Segoe UI Emoji" w:hAnsi="Segoe UI Emoji"/>
          <w:sz w:val="18"/>
        </w:rPr>
        <w:t xml:space="preserve">☐ </w:t>
      </w:r>
      <w:r>
        <w:rPr>
          <w:sz w:val="18"/>
        </w:rPr>
        <w:t xml:space="preserve">No </w:t>
      </w:r>
      <w:r>
        <w:rPr>
          <w:rFonts w:ascii="Segoe UI Emoji" w:hAnsi="Segoe UI Emoji"/>
          <w:sz w:val="18"/>
        </w:rPr>
        <w:t>☒</w:t>
      </w:r>
    </w:p>
    <w:p w14:paraId="7326B842" w14:textId="77777777" w:rsidR="00EF3DFB" w:rsidRDefault="00EF3DFB">
      <w:pPr>
        <w:pStyle w:val="BodyText"/>
        <w:spacing w:before="11"/>
        <w:rPr>
          <w:rFonts w:ascii="Segoe UI Emoji"/>
          <w:sz w:val="17"/>
        </w:rPr>
      </w:pPr>
    </w:p>
    <w:p w14:paraId="7326B843" w14:textId="77777777" w:rsidR="00EF3DFB" w:rsidRDefault="00D27C17">
      <w:pPr>
        <w:ind w:left="190" w:right="165"/>
        <w:jc w:val="both"/>
        <w:rPr>
          <w:rFonts w:ascii="Segoe UI Emoji" w:hAnsi="Segoe UI Emoji"/>
          <w:sz w:val="18"/>
        </w:rPr>
      </w:pPr>
      <w:r>
        <w:rPr>
          <w:sz w:val="18"/>
        </w:rPr>
        <w:t>Indicate by check mark whether the registrant has filed a report on and attestation to its management's assessment of the effectiveness of its</w:t>
      </w:r>
      <w:r>
        <w:rPr>
          <w:sz w:val="18"/>
        </w:rPr>
        <w:t xml:space="preserve"> internal control over financial reporting under Section 404(b) of the Sarbanes-Oxley Act (15 U.S.C. 7262(b)) by the registered public accounting firm that prepared or issued its audit report. Yes </w:t>
      </w:r>
      <w:r>
        <w:rPr>
          <w:rFonts w:ascii="Segoe UI Emoji" w:hAnsi="Segoe UI Emoji"/>
          <w:sz w:val="18"/>
        </w:rPr>
        <w:t xml:space="preserve">☒ </w:t>
      </w:r>
      <w:r>
        <w:rPr>
          <w:sz w:val="18"/>
        </w:rPr>
        <w:t>No</w:t>
      </w:r>
      <w:r>
        <w:rPr>
          <w:spacing w:val="32"/>
          <w:sz w:val="18"/>
        </w:rPr>
        <w:t xml:space="preserve"> </w:t>
      </w:r>
      <w:r>
        <w:rPr>
          <w:rFonts w:ascii="Segoe UI Emoji" w:hAnsi="Segoe UI Emoji"/>
          <w:sz w:val="18"/>
        </w:rPr>
        <w:t>☐</w:t>
      </w:r>
    </w:p>
    <w:p w14:paraId="7326B844" w14:textId="77777777" w:rsidR="00EF3DFB" w:rsidRDefault="00EF3DFB">
      <w:pPr>
        <w:pStyle w:val="BodyText"/>
        <w:spacing w:before="8"/>
        <w:rPr>
          <w:rFonts w:ascii="Segoe UI Emoji"/>
          <w:sz w:val="17"/>
        </w:rPr>
      </w:pPr>
    </w:p>
    <w:p w14:paraId="7326B845" w14:textId="77777777" w:rsidR="00EF3DFB" w:rsidRDefault="00D27C17">
      <w:pPr>
        <w:spacing w:line="249" w:lineRule="auto"/>
        <w:ind w:left="190" w:right="163"/>
        <w:jc w:val="both"/>
        <w:rPr>
          <w:sz w:val="18"/>
        </w:rPr>
      </w:pPr>
      <w:r>
        <w:rPr>
          <w:sz w:val="18"/>
        </w:rPr>
        <w:t>There were 424.6 million shares of the Registrant’s</w:t>
      </w:r>
      <w:r>
        <w:rPr>
          <w:sz w:val="18"/>
        </w:rPr>
        <w:t xml:space="preserve"> Common Stock outstanding (net of treasury shares) at February 12, 2021. The aggregate market value of the shares of Common Stock on June 30, 2020 (based upon the share count and closing price on the Nasdaq Stock Exchange on such date) beneficially owned b</w:t>
      </w:r>
      <w:r>
        <w:rPr>
          <w:sz w:val="18"/>
        </w:rPr>
        <w:t>y non-affiliates of the Registrant was approximately $6.7 billion. For purposes of the foregoing calculation only, which is required by Form 10-K, the Registrant has included in the shares owned by affiliates those shares owned by directors and officers of</w:t>
      </w:r>
      <w:r>
        <w:rPr>
          <w:sz w:val="18"/>
        </w:rPr>
        <w:t xml:space="preserve"> the Registrant, and such inclusion shall not be construed as an admission that any such person is an affiliate for any</w:t>
      </w:r>
      <w:r>
        <w:rPr>
          <w:spacing w:val="-6"/>
          <w:sz w:val="18"/>
        </w:rPr>
        <w:t xml:space="preserve"> </w:t>
      </w:r>
      <w:r>
        <w:rPr>
          <w:sz w:val="18"/>
        </w:rPr>
        <w:t>purpose.</w:t>
      </w:r>
    </w:p>
    <w:p w14:paraId="7326B846" w14:textId="77777777" w:rsidR="00EF3DFB" w:rsidRDefault="00EF3DFB">
      <w:pPr>
        <w:pStyle w:val="BodyText"/>
        <w:spacing w:before="6"/>
      </w:pPr>
    </w:p>
    <w:p w14:paraId="7326B847" w14:textId="77777777" w:rsidR="00EF3DFB" w:rsidRDefault="00D27C17">
      <w:pPr>
        <w:pStyle w:val="Heading2"/>
        <w:ind w:left="3198"/>
        <w:jc w:val="left"/>
      </w:pPr>
      <w:r>
        <w:t>DOCUMENTS INCORPORATED BY REFERENCE</w:t>
      </w:r>
    </w:p>
    <w:p w14:paraId="7326B848" w14:textId="77777777" w:rsidR="00EF3DFB" w:rsidRDefault="00EF3DFB">
      <w:pPr>
        <w:pStyle w:val="BodyText"/>
        <w:spacing w:before="5"/>
        <w:rPr>
          <w:b/>
          <w:sz w:val="22"/>
        </w:rPr>
      </w:pPr>
    </w:p>
    <w:p w14:paraId="7326B849" w14:textId="77777777" w:rsidR="00EF3DFB" w:rsidRDefault="00D27C17">
      <w:pPr>
        <w:spacing w:line="249" w:lineRule="auto"/>
        <w:ind w:left="190" w:right="165"/>
        <w:jc w:val="both"/>
        <w:rPr>
          <w:sz w:val="18"/>
        </w:rPr>
      </w:pPr>
      <w:r>
        <w:rPr>
          <w:sz w:val="18"/>
        </w:rPr>
        <w:t>Portions of the Registrant’s Definitive Proxy Statement for its Annual Meeting of Stockholders are incorporated by reference into Part III of this Annual Report on Form 10-K.</w:t>
      </w:r>
    </w:p>
    <w:p w14:paraId="7326B84A" w14:textId="68CB05A1" w:rsidR="00EF3DFB" w:rsidRDefault="00D27C17">
      <w:pPr>
        <w:pStyle w:val="BodyText"/>
        <w:spacing w:before="1"/>
        <w:rPr>
          <w:sz w:val="13"/>
        </w:rPr>
      </w:pPr>
      <w:r>
        <w:rPr>
          <w:noProof/>
        </w:rPr>
        <mc:AlternateContent>
          <mc:Choice Requires="wpg">
            <w:drawing>
              <wp:anchor distT="0" distB="0" distL="0" distR="0" simplePos="0" relativeHeight="1168" behindDoc="0" locked="0" layoutInCell="1" allowOverlap="1" wp14:anchorId="7326D6CA" wp14:editId="37198333">
                <wp:simplePos x="0" y="0"/>
                <wp:positionH relativeFrom="page">
                  <wp:posOffset>514350</wp:posOffset>
                </wp:positionH>
                <wp:positionV relativeFrom="paragraph">
                  <wp:posOffset>120650</wp:posOffset>
                </wp:positionV>
                <wp:extent cx="6743700" cy="38100"/>
                <wp:effectExtent l="9525" t="0" r="9525" b="0"/>
                <wp:wrapTopAndBottom/>
                <wp:docPr id="578"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8100"/>
                          <a:chOff x="810" y="190"/>
                          <a:chExt cx="10620" cy="60"/>
                        </a:xfrm>
                      </wpg:grpSpPr>
                      <wps:wsp>
                        <wps:cNvPr id="579" name="Line 563"/>
                        <wps:cNvCnPr>
                          <a:cxnSpLocks noChangeShapeType="1"/>
                        </wps:cNvCnPr>
                        <wps:spPr bwMode="auto">
                          <a:xfrm>
                            <a:off x="810" y="200"/>
                            <a:ext cx="106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562"/>
                        <wps:cNvCnPr>
                          <a:cxnSpLocks noChangeShapeType="1"/>
                        </wps:cNvCnPr>
                        <wps:spPr bwMode="auto">
                          <a:xfrm>
                            <a:off x="810" y="240"/>
                            <a:ext cx="106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CB1D8" id="Group 561" o:spid="_x0000_s1026" style="position:absolute;margin-left:40.5pt;margin-top:9.5pt;width:531pt;height:3pt;z-index:1168;mso-wrap-distance-left:0;mso-wrap-distance-right:0;mso-position-horizontal-relative:page" coordorigin="810,190" coordsize="10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">
                <v:line id="Line 563" o:spid="_x0000_s1027" style="position:absolute;visibility:visible;mso-wrap-style:square" from="810,200" to="1143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CexAAAANwAAAAPAAAAZHJzL2Rvd25yZXYueG1sRI/RagIx&#10;FETfhf5DuIW+adZCa1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DJz0J7EAAAA3AAAAA8A&#10;AAAAAAAAAAAAAAAABwIAAGRycy9kb3ducmV2LnhtbFBLBQYAAAAAAwADALcAAAD4AgAAAAA=&#10;" strokeweight="1pt"/>
                <v:line id="Line 562" o:spid="_x0000_s1028" style="position:absolute;visibility:visible;mso-wrap-style:square" from="810,240" to="1143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" strokeweight="1pt"/>
                <w10:wrap type="topAndBottom" anchorx="page"/>
              </v:group>
            </w:pict>
          </mc:Fallback>
        </mc:AlternateContent>
      </w:r>
    </w:p>
    <w:p w14:paraId="7326B84B" w14:textId="77777777" w:rsidR="00EF3DFB" w:rsidRDefault="00EF3DFB">
      <w:pPr>
        <w:rPr>
          <w:sz w:val="13"/>
        </w:rPr>
        <w:sectPr w:rsidR="00EF3DFB">
          <w:pgSz w:w="12240" w:h="15840"/>
          <w:pgMar w:top="600" w:right="640" w:bottom="280" w:left="620" w:header="720" w:footer="720" w:gutter="0"/>
          <w:cols w:space="720"/>
        </w:sectPr>
      </w:pPr>
    </w:p>
    <w:tbl>
      <w:tblPr>
        <w:tblW w:w="0" w:type="auto"/>
        <w:tblInd w:w="192" w:type="dxa"/>
        <w:tblLayout w:type="fixed"/>
        <w:tblCellMar>
          <w:left w:w="0" w:type="dxa"/>
          <w:right w:w="0" w:type="dxa"/>
        </w:tblCellMar>
        <w:tblLook w:val="01E0" w:firstRow="1" w:lastRow="1" w:firstColumn="1" w:lastColumn="1" w:noHBand="0" w:noVBand="0"/>
      </w:tblPr>
      <w:tblGrid>
        <w:gridCol w:w="916"/>
        <w:gridCol w:w="8757"/>
        <w:gridCol w:w="568"/>
      </w:tblGrid>
      <w:tr w:rsidR="00EF3DFB" w14:paraId="7326B84F" w14:textId="77777777">
        <w:trPr>
          <w:trHeight w:val="326"/>
        </w:trPr>
        <w:tc>
          <w:tcPr>
            <w:tcW w:w="916" w:type="dxa"/>
          </w:tcPr>
          <w:p w14:paraId="7326B84C" w14:textId="77777777" w:rsidR="00EF3DFB" w:rsidRDefault="00EF3DFB">
            <w:pPr>
              <w:pStyle w:val="TableParagraph"/>
              <w:rPr>
                <w:sz w:val="20"/>
              </w:rPr>
            </w:pPr>
          </w:p>
        </w:tc>
        <w:tc>
          <w:tcPr>
            <w:tcW w:w="8757" w:type="dxa"/>
          </w:tcPr>
          <w:p w14:paraId="7326B84D" w14:textId="77777777" w:rsidR="00EF3DFB" w:rsidRDefault="00D27C17">
            <w:pPr>
              <w:pStyle w:val="TableParagraph"/>
              <w:spacing w:line="219" w:lineRule="exact"/>
              <w:ind w:left="3292" w:right="3267"/>
              <w:jc w:val="center"/>
              <w:rPr>
                <w:b/>
                <w:sz w:val="20"/>
              </w:rPr>
            </w:pPr>
            <w:bookmarkStart w:id="2" w:name="Table_of_Contents"/>
            <w:bookmarkEnd w:id="2"/>
            <w:r>
              <w:rPr>
                <w:b/>
                <w:sz w:val="20"/>
                <w:u w:val="single"/>
              </w:rPr>
              <w:t>TABLE OF CONTENTS</w:t>
            </w:r>
          </w:p>
        </w:tc>
        <w:tc>
          <w:tcPr>
            <w:tcW w:w="568" w:type="dxa"/>
          </w:tcPr>
          <w:p w14:paraId="7326B84E" w14:textId="77777777" w:rsidR="00EF3DFB" w:rsidRDefault="00EF3DFB">
            <w:pPr>
              <w:pStyle w:val="TableParagraph"/>
              <w:rPr>
                <w:sz w:val="20"/>
              </w:rPr>
            </w:pPr>
          </w:p>
        </w:tc>
      </w:tr>
      <w:tr w:rsidR="00EF3DFB" w14:paraId="7326B853" w14:textId="77777777">
        <w:trPr>
          <w:trHeight w:val="365"/>
        </w:trPr>
        <w:tc>
          <w:tcPr>
            <w:tcW w:w="916" w:type="dxa"/>
          </w:tcPr>
          <w:p w14:paraId="7326B850" w14:textId="77777777" w:rsidR="00EF3DFB" w:rsidRDefault="00D27C17">
            <w:pPr>
              <w:pStyle w:val="TableParagraph"/>
              <w:spacing w:before="93"/>
              <w:ind w:left="50"/>
              <w:rPr>
                <w:sz w:val="20"/>
              </w:rPr>
            </w:pPr>
            <w:hyperlink w:anchor="_bookmark0" w:history="1">
              <w:r>
                <w:rPr>
                  <w:color w:val="0000FF"/>
                  <w:sz w:val="20"/>
                  <w:u w:val="single" w:color="0000FF"/>
                </w:rPr>
                <w:t>PART</w:t>
              </w:r>
              <w:r>
                <w:rPr>
                  <w:color w:val="0000FF"/>
                  <w:sz w:val="20"/>
                </w:rPr>
                <w:t xml:space="preserve"> </w:t>
              </w:r>
              <w:r>
                <w:rPr>
                  <w:color w:val="0000FF"/>
                  <w:sz w:val="20"/>
                  <w:u w:val="single" w:color="0000FF"/>
                </w:rPr>
                <w:t>I</w:t>
              </w:r>
            </w:hyperlink>
          </w:p>
        </w:tc>
        <w:tc>
          <w:tcPr>
            <w:tcW w:w="8757" w:type="dxa"/>
          </w:tcPr>
          <w:p w14:paraId="7326B851" w14:textId="77777777" w:rsidR="00EF3DFB" w:rsidRDefault="00EF3DFB">
            <w:pPr>
              <w:pStyle w:val="TableParagraph"/>
              <w:rPr>
                <w:sz w:val="20"/>
              </w:rPr>
            </w:pPr>
          </w:p>
        </w:tc>
        <w:tc>
          <w:tcPr>
            <w:tcW w:w="568" w:type="dxa"/>
          </w:tcPr>
          <w:p w14:paraId="7326B852" w14:textId="77777777" w:rsidR="00EF3DFB" w:rsidRDefault="00D27C17">
            <w:pPr>
              <w:pStyle w:val="TableParagraph"/>
              <w:spacing w:before="93"/>
              <w:ind w:right="49"/>
              <w:jc w:val="right"/>
              <w:rPr>
                <w:sz w:val="20"/>
              </w:rPr>
            </w:pPr>
            <w:hyperlink w:anchor="_bookmark0" w:history="1">
              <w:r>
                <w:rPr>
                  <w:sz w:val="20"/>
                </w:rPr>
                <w:t>1</w:t>
              </w:r>
            </w:hyperlink>
          </w:p>
        </w:tc>
      </w:tr>
      <w:tr w:rsidR="00EF3DFB" w14:paraId="7326B857" w14:textId="77777777">
        <w:trPr>
          <w:trHeight w:val="300"/>
        </w:trPr>
        <w:tc>
          <w:tcPr>
            <w:tcW w:w="916" w:type="dxa"/>
          </w:tcPr>
          <w:p w14:paraId="7326B854" w14:textId="77777777" w:rsidR="00EF3DFB" w:rsidRDefault="00EF3DFB">
            <w:pPr>
              <w:pStyle w:val="TableParagraph"/>
              <w:rPr>
                <w:sz w:val="20"/>
              </w:rPr>
            </w:pPr>
          </w:p>
        </w:tc>
        <w:tc>
          <w:tcPr>
            <w:tcW w:w="8757" w:type="dxa"/>
          </w:tcPr>
          <w:p w14:paraId="7326B855" w14:textId="77777777" w:rsidR="00EF3DFB" w:rsidRDefault="00D27C17">
            <w:pPr>
              <w:pStyle w:val="TableParagraph"/>
              <w:spacing w:before="28"/>
              <w:ind w:left="93"/>
              <w:rPr>
                <w:sz w:val="20"/>
              </w:rPr>
            </w:pPr>
            <w:hyperlink w:anchor="_bookmark1" w:history="1">
              <w:r>
                <w:rPr>
                  <w:color w:val="0000FF"/>
                  <w:sz w:val="20"/>
                  <w:u w:val="single" w:color="0000FF"/>
                </w:rPr>
                <w:t>ITEM 1. BUSINESS</w:t>
              </w:r>
            </w:hyperlink>
          </w:p>
        </w:tc>
        <w:tc>
          <w:tcPr>
            <w:tcW w:w="568" w:type="dxa"/>
          </w:tcPr>
          <w:p w14:paraId="7326B856" w14:textId="77777777" w:rsidR="00EF3DFB" w:rsidRDefault="00D27C17">
            <w:pPr>
              <w:pStyle w:val="TableParagraph"/>
              <w:spacing w:before="28"/>
              <w:ind w:right="49"/>
              <w:jc w:val="right"/>
              <w:rPr>
                <w:sz w:val="20"/>
              </w:rPr>
            </w:pPr>
            <w:hyperlink w:anchor="_bookmark1" w:history="1">
              <w:r>
                <w:rPr>
                  <w:sz w:val="20"/>
                </w:rPr>
                <w:t>1</w:t>
              </w:r>
            </w:hyperlink>
          </w:p>
        </w:tc>
      </w:tr>
      <w:tr w:rsidR="00EF3DFB" w14:paraId="7326B85B" w14:textId="77777777">
        <w:trPr>
          <w:trHeight w:val="300"/>
        </w:trPr>
        <w:tc>
          <w:tcPr>
            <w:tcW w:w="916" w:type="dxa"/>
          </w:tcPr>
          <w:p w14:paraId="7326B858" w14:textId="77777777" w:rsidR="00EF3DFB" w:rsidRDefault="00EF3DFB">
            <w:pPr>
              <w:pStyle w:val="TableParagraph"/>
              <w:rPr>
                <w:sz w:val="20"/>
              </w:rPr>
            </w:pPr>
          </w:p>
        </w:tc>
        <w:tc>
          <w:tcPr>
            <w:tcW w:w="8757" w:type="dxa"/>
          </w:tcPr>
          <w:p w14:paraId="7326B859" w14:textId="77777777" w:rsidR="00EF3DFB" w:rsidRDefault="00D27C17">
            <w:pPr>
              <w:pStyle w:val="TableParagraph"/>
              <w:spacing w:before="28"/>
              <w:ind w:left="93"/>
              <w:rPr>
                <w:sz w:val="20"/>
              </w:rPr>
            </w:pPr>
            <w:hyperlink w:anchor="_bookmark2" w:history="1">
              <w:r>
                <w:rPr>
                  <w:color w:val="0000FF"/>
                  <w:sz w:val="20"/>
                  <w:u w:val="single" w:color="0000FF"/>
                </w:rPr>
                <w:t>ITEM 1A. RISK FACTORS</w:t>
              </w:r>
            </w:hyperlink>
          </w:p>
        </w:tc>
        <w:tc>
          <w:tcPr>
            <w:tcW w:w="568" w:type="dxa"/>
          </w:tcPr>
          <w:p w14:paraId="7326B85A" w14:textId="77777777" w:rsidR="00EF3DFB" w:rsidRDefault="00D27C17">
            <w:pPr>
              <w:pStyle w:val="TableParagraph"/>
              <w:spacing w:before="28"/>
              <w:ind w:right="49"/>
              <w:jc w:val="right"/>
              <w:rPr>
                <w:sz w:val="20"/>
              </w:rPr>
            </w:pPr>
            <w:hyperlink w:anchor="_bookmark2" w:history="1">
              <w:r>
                <w:rPr>
                  <w:sz w:val="20"/>
                </w:rPr>
                <w:t>7</w:t>
              </w:r>
            </w:hyperlink>
          </w:p>
        </w:tc>
      </w:tr>
      <w:tr w:rsidR="00EF3DFB" w14:paraId="7326B85F" w14:textId="77777777">
        <w:trPr>
          <w:trHeight w:val="300"/>
        </w:trPr>
        <w:tc>
          <w:tcPr>
            <w:tcW w:w="916" w:type="dxa"/>
          </w:tcPr>
          <w:p w14:paraId="7326B85C" w14:textId="77777777" w:rsidR="00EF3DFB" w:rsidRDefault="00EF3DFB">
            <w:pPr>
              <w:pStyle w:val="TableParagraph"/>
              <w:rPr>
                <w:sz w:val="20"/>
              </w:rPr>
            </w:pPr>
          </w:p>
        </w:tc>
        <w:tc>
          <w:tcPr>
            <w:tcW w:w="8757" w:type="dxa"/>
          </w:tcPr>
          <w:p w14:paraId="7326B85D" w14:textId="77777777" w:rsidR="00EF3DFB" w:rsidRDefault="00D27C17">
            <w:pPr>
              <w:pStyle w:val="TableParagraph"/>
              <w:spacing w:before="28"/>
              <w:ind w:left="93"/>
              <w:rPr>
                <w:sz w:val="20"/>
              </w:rPr>
            </w:pPr>
            <w:hyperlink w:anchor="_bookmark3" w:history="1">
              <w:r>
                <w:rPr>
                  <w:color w:val="0000FF"/>
                  <w:sz w:val="20"/>
                  <w:u w:val="single" w:color="0000FF"/>
                </w:rPr>
                <w:t>ITEM 1B. UNRESOLVED STAFF COMMENTS</w:t>
              </w:r>
            </w:hyperlink>
          </w:p>
        </w:tc>
        <w:tc>
          <w:tcPr>
            <w:tcW w:w="568" w:type="dxa"/>
          </w:tcPr>
          <w:p w14:paraId="7326B85E" w14:textId="77777777" w:rsidR="00EF3DFB" w:rsidRDefault="00D27C17">
            <w:pPr>
              <w:pStyle w:val="TableParagraph"/>
              <w:spacing w:before="28"/>
              <w:ind w:right="49"/>
              <w:jc w:val="right"/>
              <w:rPr>
                <w:sz w:val="20"/>
              </w:rPr>
            </w:pPr>
            <w:hyperlink w:anchor="_bookmark3" w:history="1">
              <w:r>
                <w:rPr>
                  <w:sz w:val="20"/>
                </w:rPr>
                <w:t>21</w:t>
              </w:r>
            </w:hyperlink>
          </w:p>
        </w:tc>
      </w:tr>
      <w:tr w:rsidR="00EF3DFB" w14:paraId="7326B863" w14:textId="77777777">
        <w:trPr>
          <w:trHeight w:val="300"/>
        </w:trPr>
        <w:tc>
          <w:tcPr>
            <w:tcW w:w="916" w:type="dxa"/>
          </w:tcPr>
          <w:p w14:paraId="7326B860" w14:textId="77777777" w:rsidR="00EF3DFB" w:rsidRDefault="00EF3DFB">
            <w:pPr>
              <w:pStyle w:val="TableParagraph"/>
              <w:rPr>
                <w:sz w:val="20"/>
              </w:rPr>
            </w:pPr>
          </w:p>
        </w:tc>
        <w:tc>
          <w:tcPr>
            <w:tcW w:w="8757" w:type="dxa"/>
          </w:tcPr>
          <w:p w14:paraId="7326B861" w14:textId="77777777" w:rsidR="00EF3DFB" w:rsidRDefault="00D27C17">
            <w:pPr>
              <w:pStyle w:val="TableParagraph"/>
              <w:spacing w:before="28"/>
              <w:ind w:left="93"/>
              <w:rPr>
                <w:sz w:val="20"/>
              </w:rPr>
            </w:pPr>
            <w:hyperlink w:anchor="_bookmark4" w:history="1">
              <w:r>
                <w:rPr>
                  <w:color w:val="0000FF"/>
                  <w:sz w:val="20"/>
                  <w:u w:val="single" w:color="0000FF"/>
                </w:rPr>
                <w:t>ITEM 2. PROPERTIES</w:t>
              </w:r>
            </w:hyperlink>
          </w:p>
        </w:tc>
        <w:tc>
          <w:tcPr>
            <w:tcW w:w="568" w:type="dxa"/>
          </w:tcPr>
          <w:p w14:paraId="7326B862" w14:textId="77777777" w:rsidR="00EF3DFB" w:rsidRDefault="00D27C17">
            <w:pPr>
              <w:pStyle w:val="TableParagraph"/>
              <w:spacing w:before="28"/>
              <w:ind w:right="49"/>
              <w:jc w:val="right"/>
              <w:rPr>
                <w:sz w:val="20"/>
              </w:rPr>
            </w:pPr>
            <w:hyperlink w:anchor="_bookmark4" w:history="1">
              <w:r>
                <w:rPr>
                  <w:sz w:val="20"/>
                </w:rPr>
                <w:t>21</w:t>
              </w:r>
            </w:hyperlink>
          </w:p>
        </w:tc>
      </w:tr>
      <w:tr w:rsidR="00EF3DFB" w14:paraId="7326B867" w14:textId="77777777">
        <w:trPr>
          <w:trHeight w:val="300"/>
        </w:trPr>
        <w:tc>
          <w:tcPr>
            <w:tcW w:w="916" w:type="dxa"/>
          </w:tcPr>
          <w:p w14:paraId="7326B864" w14:textId="77777777" w:rsidR="00EF3DFB" w:rsidRDefault="00EF3DFB">
            <w:pPr>
              <w:pStyle w:val="TableParagraph"/>
              <w:rPr>
                <w:sz w:val="20"/>
              </w:rPr>
            </w:pPr>
          </w:p>
        </w:tc>
        <w:tc>
          <w:tcPr>
            <w:tcW w:w="8757" w:type="dxa"/>
          </w:tcPr>
          <w:p w14:paraId="7326B865" w14:textId="77777777" w:rsidR="00EF3DFB" w:rsidRDefault="00D27C17">
            <w:pPr>
              <w:pStyle w:val="TableParagraph"/>
              <w:spacing w:before="28"/>
              <w:ind w:left="93"/>
              <w:rPr>
                <w:sz w:val="20"/>
              </w:rPr>
            </w:pPr>
            <w:hyperlink w:anchor="_bookmark5" w:history="1">
              <w:r>
                <w:rPr>
                  <w:color w:val="0000FF"/>
                  <w:sz w:val="20"/>
                  <w:u w:val="single" w:color="0000FF"/>
                </w:rPr>
                <w:t>ITEM 3. LEGAL PROCEEDINGS</w:t>
              </w:r>
            </w:hyperlink>
          </w:p>
        </w:tc>
        <w:tc>
          <w:tcPr>
            <w:tcW w:w="568" w:type="dxa"/>
          </w:tcPr>
          <w:p w14:paraId="7326B866" w14:textId="77777777" w:rsidR="00EF3DFB" w:rsidRDefault="00D27C17">
            <w:pPr>
              <w:pStyle w:val="TableParagraph"/>
              <w:spacing w:before="28"/>
              <w:ind w:right="49"/>
              <w:jc w:val="right"/>
              <w:rPr>
                <w:sz w:val="20"/>
              </w:rPr>
            </w:pPr>
            <w:hyperlink w:anchor="_bookmark5" w:history="1">
              <w:r>
                <w:rPr>
                  <w:sz w:val="20"/>
                </w:rPr>
                <w:t>21</w:t>
              </w:r>
            </w:hyperlink>
          </w:p>
        </w:tc>
      </w:tr>
      <w:tr w:rsidR="00EF3DFB" w14:paraId="7326B86B" w14:textId="77777777">
        <w:trPr>
          <w:trHeight w:val="300"/>
        </w:trPr>
        <w:tc>
          <w:tcPr>
            <w:tcW w:w="916" w:type="dxa"/>
          </w:tcPr>
          <w:p w14:paraId="7326B868" w14:textId="77777777" w:rsidR="00EF3DFB" w:rsidRDefault="00EF3DFB">
            <w:pPr>
              <w:pStyle w:val="TableParagraph"/>
              <w:rPr>
                <w:sz w:val="20"/>
              </w:rPr>
            </w:pPr>
          </w:p>
        </w:tc>
        <w:tc>
          <w:tcPr>
            <w:tcW w:w="8757" w:type="dxa"/>
          </w:tcPr>
          <w:p w14:paraId="7326B869" w14:textId="77777777" w:rsidR="00EF3DFB" w:rsidRDefault="00D27C17">
            <w:pPr>
              <w:pStyle w:val="TableParagraph"/>
              <w:spacing w:before="28"/>
              <w:ind w:left="93"/>
              <w:rPr>
                <w:sz w:val="20"/>
              </w:rPr>
            </w:pPr>
            <w:hyperlink w:anchor="_bookmark6" w:history="1">
              <w:r>
                <w:rPr>
                  <w:color w:val="0000FF"/>
                  <w:sz w:val="20"/>
                  <w:u w:val="single" w:color="0000FF"/>
                </w:rPr>
                <w:t>ITEM 4. MINE SAFETY DISCLOSURES</w:t>
              </w:r>
            </w:hyperlink>
          </w:p>
        </w:tc>
        <w:tc>
          <w:tcPr>
            <w:tcW w:w="568" w:type="dxa"/>
          </w:tcPr>
          <w:p w14:paraId="7326B86A" w14:textId="77777777" w:rsidR="00EF3DFB" w:rsidRDefault="00D27C17">
            <w:pPr>
              <w:pStyle w:val="TableParagraph"/>
              <w:spacing w:before="28"/>
              <w:ind w:right="49"/>
              <w:jc w:val="right"/>
              <w:rPr>
                <w:sz w:val="20"/>
              </w:rPr>
            </w:pPr>
            <w:hyperlink w:anchor="_bookmark6" w:history="1">
              <w:r>
                <w:rPr>
                  <w:sz w:val="20"/>
                </w:rPr>
                <w:t>21</w:t>
              </w:r>
            </w:hyperlink>
          </w:p>
        </w:tc>
      </w:tr>
      <w:tr w:rsidR="00EF3DFB" w14:paraId="7326B86F" w14:textId="77777777">
        <w:trPr>
          <w:trHeight w:val="337"/>
        </w:trPr>
        <w:tc>
          <w:tcPr>
            <w:tcW w:w="916" w:type="dxa"/>
          </w:tcPr>
          <w:p w14:paraId="7326B86C" w14:textId="77777777" w:rsidR="00EF3DFB" w:rsidRDefault="00EF3DFB">
            <w:pPr>
              <w:pStyle w:val="TableParagraph"/>
              <w:rPr>
                <w:sz w:val="20"/>
              </w:rPr>
            </w:pPr>
          </w:p>
        </w:tc>
        <w:tc>
          <w:tcPr>
            <w:tcW w:w="8757" w:type="dxa"/>
          </w:tcPr>
          <w:p w14:paraId="7326B86D" w14:textId="77777777" w:rsidR="00EF3DFB" w:rsidRDefault="00D27C17">
            <w:pPr>
              <w:pStyle w:val="TableParagraph"/>
              <w:spacing w:before="28"/>
              <w:ind w:left="93"/>
              <w:rPr>
                <w:sz w:val="20"/>
              </w:rPr>
            </w:pPr>
            <w:hyperlink w:anchor="_bookmark7" w:history="1">
              <w:r>
                <w:rPr>
                  <w:color w:val="0000FF"/>
                  <w:sz w:val="20"/>
                  <w:u w:val="single" w:color="0000FF"/>
                </w:rPr>
                <w:t>SUPPLEMENTARY ITEM — EXECUTIVE OFFICERS OF THE REGISTRANT</w:t>
              </w:r>
            </w:hyperlink>
          </w:p>
        </w:tc>
        <w:tc>
          <w:tcPr>
            <w:tcW w:w="568" w:type="dxa"/>
          </w:tcPr>
          <w:p w14:paraId="7326B86E" w14:textId="77777777" w:rsidR="00EF3DFB" w:rsidRDefault="00D27C17">
            <w:pPr>
              <w:pStyle w:val="TableParagraph"/>
              <w:spacing w:before="28"/>
              <w:ind w:right="49"/>
              <w:jc w:val="right"/>
              <w:rPr>
                <w:sz w:val="20"/>
              </w:rPr>
            </w:pPr>
            <w:hyperlink w:anchor="_bookmark7" w:history="1">
              <w:r>
                <w:rPr>
                  <w:sz w:val="20"/>
                </w:rPr>
                <w:t>22</w:t>
              </w:r>
            </w:hyperlink>
          </w:p>
        </w:tc>
      </w:tr>
      <w:tr w:rsidR="00EF3DFB" w14:paraId="7326B873" w14:textId="77777777">
        <w:trPr>
          <w:trHeight w:val="335"/>
        </w:trPr>
        <w:tc>
          <w:tcPr>
            <w:tcW w:w="916" w:type="dxa"/>
          </w:tcPr>
          <w:p w14:paraId="7326B870" w14:textId="77777777" w:rsidR="00EF3DFB" w:rsidRDefault="00D27C17">
            <w:pPr>
              <w:pStyle w:val="TableParagraph"/>
              <w:spacing w:before="65"/>
              <w:ind w:left="50"/>
              <w:rPr>
                <w:sz w:val="20"/>
              </w:rPr>
            </w:pPr>
            <w:hyperlink w:anchor="_bookmark8" w:history="1">
              <w:r>
                <w:rPr>
                  <w:color w:val="0000FF"/>
                  <w:sz w:val="20"/>
                  <w:u w:val="single" w:color="0000FF"/>
                </w:rPr>
                <w:t>PART II</w:t>
              </w:r>
            </w:hyperlink>
          </w:p>
        </w:tc>
        <w:tc>
          <w:tcPr>
            <w:tcW w:w="8757" w:type="dxa"/>
          </w:tcPr>
          <w:p w14:paraId="7326B871" w14:textId="77777777" w:rsidR="00EF3DFB" w:rsidRDefault="00EF3DFB">
            <w:pPr>
              <w:pStyle w:val="TableParagraph"/>
              <w:rPr>
                <w:sz w:val="20"/>
              </w:rPr>
            </w:pPr>
          </w:p>
        </w:tc>
        <w:tc>
          <w:tcPr>
            <w:tcW w:w="568" w:type="dxa"/>
          </w:tcPr>
          <w:p w14:paraId="7326B872" w14:textId="77777777" w:rsidR="00EF3DFB" w:rsidRDefault="00D27C17">
            <w:pPr>
              <w:pStyle w:val="TableParagraph"/>
              <w:spacing w:before="65"/>
              <w:ind w:right="49"/>
              <w:jc w:val="right"/>
              <w:rPr>
                <w:sz w:val="20"/>
              </w:rPr>
            </w:pPr>
            <w:hyperlink w:anchor="_bookmark8" w:history="1">
              <w:r>
                <w:rPr>
                  <w:sz w:val="20"/>
                </w:rPr>
                <w:t>24</w:t>
              </w:r>
            </w:hyperlink>
          </w:p>
        </w:tc>
      </w:tr>
      <w:tr w:rsidR="00EF3DFB" w14:paraId="7326B878" w14:textId="77777777">
        <w:trPr>
          <w:trHeight w:val="497"/>
        </w:trPr>
        <w:tc>
          <w:tcPr>
            <w:tcW w:w="916" w:type="dxa"/>
          </w:tcPr>
          <w:p w14:paraId="7326B874" w14:textId="77777777" w:rsidR="00EF3DFB" w:rsidRDefault="00EF3DFB">
            <w:pPr>
              <w:pStyle w:val="TableParagraph"/>
              <w:rPr>
                <w:sz w:val="20"/>
              </w:rPr>
            </w:pPr>
          </w:p>
        </w:tc>
        <w:tc>
          <w:tcPr>
            <w:tcW w:w="8757" w:type="dxa"/>
          </w:tcPr>
          <w:p w14:paraId="7326B875" w14:textId="77777777" w:rsidR="00EF3DFB" w:rsidRDefault="00D27C17">
            <w:pPr>
              <w:pStyle w:val="TableParagraph"/>
              <w:spacing w:before="49" w:line="208" w:lineRule="auto"/>
              <w:ind w:left="93"/>
              <w:rPr>
                <w:sz w:val="20"/>
              </w:rPr>
            </w:pPr>
            <w:hyperlink w:anchor="_bookmark9" w:history="1">
              <w:r>
                <w:rPr>
                  <w:color w:val="0000FF"/>
                  <w:sz w:val="20"/>
                  <w:u w:val="single" w:color="0000FF"/>
                </w:rPr>
                <w:t>ITEM 5. MARKET FOR REGISTRANT’S COMMON EQUITY, RELATED STOCKHOLDER</w:t>
              </w:r>
            </w:hyperlink>
            <w:r>
              <w:rPr>
                <w:color w:val="0000FF"/>
                <w:sz w:val="20"/>
              </w:rPr>
              <w:t xml:space="preserve"> </w:t>
            </w:r>
            <w:hyperlink w:anchor="_bookmark9" w:history="1">
              <w:r>
                <w:rPr>
                  <w:color w:val="0000FF"/>
                  <w:sz w:val="20"/>
                  <w:u w:val="single" w:color="0000FF"/>
                </w:rPr>
                <w:t>MATTERS AND ISSUER PURCHASES OF EQUITY SECURITIES</w:t>
              </w:r>
            </w:hyperlink>
          </w:p>
        </w:tc>
        <w:tc>
          <w:tcPr>
            <w:tcW w:w="568" w:type="dxa"/>
          </w:tcPr>
          <w:p w14:paraId="7326B876" w14:textId="77777777" w:rsidR="00EF3DFB" w:rsidRDefault="00EF3DFB">
            <w:pPr>
              <w:pStyle w:val="TableParagraph"/>
              <w:spacing w:before="6"/>
              <w:rPr>
                <w:sz w:val="19"/>
              </w:rPr>
            </w:pPr>
          </w:p>
          <w:p w14:paraId="7326B877" w14:textId="77777777" w:rsidR="00EF3DFB" w:rsidRDefault="00D27C17">
            <w:pPr>
              <w:pStyle w:val="TableParagraph"/>
              <w:spacing w:before="1"/>
              <w:ind w:right="49"/>
              <w:jc w:val="right"/>
              <w:rPr>
                <w:sz w:val="20"/>
              </w:rPr>
            </w:pPr>
            <w:hyperlink w:anchor="_bookmark9" w:history="1">
              <w:r>
                <w:rPr>
                  <w:sz w:val="20"/>
                </w:rPr>
                <w:t>24</w:t>
              </w:r>
            </w:hyperlink>
          </w:p>
        </w:tc>
      </w:tr>
      <w:tr w:rsidR="00EF3DFB" w14:paraId="7326B87C" w14:textId="77777777">
        <w:trPr>
          <w:trHeight w:val="297"/>
        </w:trPr>
        <w:tc>
          <w:tcPr>
            <w:tcW w:w="916" w:type="dxa"/>
          </w:tcPr>
          <w:p w14:paraId="7326B879" w14:textId="77777777" w:rsidR="00EF3DFB" w:rsidRDefault="00EF3DFB">
            <w:pPr>
              <w:pStyle w:val="TableParagraph"/>
              <w:rPr>
                <w:sz w:val="20"/>
              </w:rPr>
            </w:pPr>
          </w:p>
        </w:tc>
        <w:tc>
          <w:tcPr>
            <w:tcW w:w="8757" w:type="dxa"/>
          </w:tcPr>
          <w:p w14:paraId="7326B87A" w14:textId="77777777" w:rsidR="00EF3DFB" w:rsidRDefault="00D27C17">
            <w:pPr>
              <w:pStyle w:val="TableParagraph"/>
              <w:spacing w:before="28"/>
              <w:ind w:left="93"/>
              <w:rPr>
                <w:sz w:val="20"/>
              </w:rPr>
            </w:pPr>
            <w:hyperlink w:anchor="_bookmark10" w:history="1">
              <w:r>
                <w:rPr>
                  <w:color w:val="0000FF"/>
                  <w:sz w:val="20"/>
                  <w:u w:val="single" w:color="0000FF"/>
                </w:rPr>
                <w:t>ITEM 6. SELECTED FINANCIAL DATA</w:t>
              </w:r>
            </w:hyperlink>
          </w:p>
        </w:tc>
        <w:tc>
          <w:tcPr>
            <w:tcW w:w="568" w:type="dxa"/>
          </w:tcPr>
          <w:p w14:paraId="7326B87B" w14:textId="77777777" w:rsidR="00EF3DFB" w:rsidRDefault="00D27C17">
            <w:pPr>
              <w:pStyle w:val="TableParagraph"/>
              <w:spacing w:before="28"/>
              <w:ind w:right="49"/>
              <w:jc w:val="right"/>
              <w:rPr>
                <w:sz w:val="20"/>
              </w:rPr>
            </w:pPr>
            <w:hyperlink w:anchor="_bookmark10" w:history="1">
              <w:r>
                <w:rPr>
                  <w:sz w:val="20"/>
                </w:rPr>
                <w:t>25</w:t>
              </w:r>
            </w:hyperlink>
          </w:p>
        </w:tc>
      </w:tr>
      <w:tr w:rsidR="00EF3DFB" w14:paraId="7326B881" w14:textId="77777777">
        <w:trPr>
          <w:trHeight w:val="497"/>
        </w:trPr>
        <w:tc>
          <w:tcPr>
            <w:tcW w:w="916" w:type="dxa"/>
          </w:tcPr>
          <w:p w14:paraId="7326B87D" w14:textId="77777777" w:rsidR="00EF3DFB" w:rsidRDefault="00EF3DFB">
            <w:pPr>
              <w:pStyle w:val="TableParagraph"/>
              <w:rPr>
                <w:sz w:val="20"/>
              </w:rPr>
            </w:pPr>
          </w:p>
        </w:tc>
        <w:tc>
          <w:tcPr>
            <w:tcW w:w="8757" w:type="dxa"/>
          </w:tcPr>
          <w:p w14:paraId="7326B87E" w14:textId="77777777" w:rsidR="00EF3DFB" w:rsidRDefault="00D27C17">
            <w:pPr>
              <w:pStyle w:val="TableParagraph"/>
              <w:spacing w:before="49" w:line="208" w:lineRule="auto"/>
              <w:ind w:left="93" w:right="455"/>
              <w:rPr>
                <w:sz w:val="20"/>
              </w:rPr>
            </w:pPr>
            <w:hyperlink w:anchor="_bookmark11" w:history="1">
              <w:r>
                <w:rPr>
                  <w:color w:val="0000FF"/>
                  <w:sz w:val="20"/>
                  <w:u w:val="single" w:color="0000FF"/>
                </w:rPr>
                <w:t>ITEM 7. MANAGEMENT’S DISCUSSION AND ANALYSIS OF FINANCIAL CONDITION AND</w:t>
              </w:r>
            </w:hyperlink>
            <w:r>
              <w:rPr>
                <w:color w:val="0000FF"/>
                <w:sz w:val="20"/>
              </w:rPr>
              <w:t xml:space="preserve"> </w:t>
            </w:r>
            <w:hyperlink w:anchor="_bookmark11" w:history="1">
              <w:r>
                <w:rPr>
                  <w:color w:val="0000FF"/>
                  <w:sz w:val="20"/>
                  <w:u w:val="single" w:color="0000FF"/>
                </w:rPr>
                <w:t>RESULTS OF OPERATIONS</w:t>
              </w:r>
            </w:hyperlink>
          </w:p>
        </w:tc>
        <w:tc>
          <w:tcPr>
            <w:tcW w:w="568" w:type="dxa"/>
          </w:tcPr>
          <w:p w14:paraId="7326B87F" w14:textId="77777777" w:rsidR="00EF3DFB" w:rsidRDefault="00EF3DFB">
            <w:pPr>
              <w:pStyle w:val="TableParagraph"/>
              <w:spacing w:before="6"/>
              <w:rPr>
                <w:sz w:val="19"/>
              </w:rPr>
            </w:pPr>
          </w:p>
          <w:p w14:paraId="7326B880" w14:textId="77777777" w:rsidR="00EF3DFB" w:rsidRDefault="00D27C17">
            <w:pPr>
              <w:pStyle w:val="TableParagraph"/>
              <w:spacing w:before="1"/>
              <w:ind w:right="49"/>
              <w:jc w:val="right"/>
              <w:rPr>
                <w:sz w:val="20"/>
              </w:rPr>
            </w:pPr>
            <w:hyperlink w:anchor="_bookmark11" w:history="1">
              <w:r>
                <w:rPr>
                  <w:sz w:val="20"/>
                </w:rPr>
                <w:t>25</w:t>
              </w:r>
            </w:hyperlink>
          </w:p>
        </w:tc>
      </w:tr>
      <w:tr w:rsidR="00EF3DFB" w14:paraId="7326B885" w14:textId="77777777">
        <w:trPr>
          <w:trHeight w:val="300"/>
        </w:trPr>
        <w:tc>
          <w:tcPr>
            <w:tcW w:w="916" w:type="dxa"/>
          </w:tcPr>
          <w:p w14:paraId="7326B882" w14:textId="77777777" w:rsidR="00EF3DFB" w:rsidRDefault="00EF3DFB">
            <w:pPr>
              <w:pStyle w:val="TableParagraph"/>
              <w:rPr>
                <w:sz w:val="20"/>
              </w:rPr>
            </w:pPr>
          </w:p>
        </w:tc>
        <w:tc>
          <w:tcPr>
            <w:tcW w:w="8757" w:type="dxa"/>
          </w:tcPr>
          <w:p w14:paraId="7326B883" w14:textId="77777777" w:rsidR="00EF3DFB" w:rsidRDefault="00D27C17">
            <w:pPr>
              <w:pStyle w:val="TableParagraph"/>
              <w:spacing w:before="28"/>
              <w:ind w:left="93"/>
              <w:rPr>
                <w:sz w:val="20"/>
              </w:rPr>
            </w:pPr>
            <w:hyperlink w:anchor="_bookmark12" w:history="1">
              <w:r>
                <w:rPr>
                  <w:color w:val="0000FF"/>
                  <w:sz w:val="20"/>
                  <w:u w:val="single" w:color="0000FF"/>
                </w:rPr>
                <w:t>ITEM 7A. QUANTITATIVE AND QUALITATIVE DISCLOSURES ABOUT MARKET RISK</w:t>
              </w:r>
            </w:hyperlink>
          </w:p>
        </w:tc>
        <w:tc>
          <w:tcPr>
            <w:tcW w:w="568" w:type="dxa"/>
          </w:tcPr>
          <w:p w14:paraId="7326B884" w14:textId="77777777" w:rsidR="00EF3DFB" w:rsidRDefault="00D27C17">
            <w:pPr>
              <w:pStyle w:val="TableParagraph"/>
              <w:spacing w:before="28"/>
              <w:ind w:right="49"/>
              <w:jc w:val="right"/>
              <w:rPr>
                <w:sz w:val="20"/>
              </w:rPr>
            </w:pPr>
            <w:hyperlink w:anchor="_bookmark12" w:history="1">
              <w:r>
                <w:rPr>
                  <w:sz w:val="20"/>
                </w:rPr>
                <w:t>49</w:t>
              </w:r>
            </w:hyperlink>
          </w:p>
        </w:tc>
      </w:tr>
      <w:tr w:rsidR="00EF3DFB" w14:paraId="7326B889" w14:textId="77777777">
        <w:trPr>
          <w:trHeight w:val="297"/>
        </w:trPr>
        <w:tc>
          <w:tcPr>
            <w:tcW w:w="916" w:type="dxa"/>
          </w:tcPr>
          <w:p w14:paraId="7326B886" w14:textId="77777777" w:rsidR="00EF3DFB" w:rsidRDefault="00EF3DFB">
            <w:pPr>
              <w:pStyle w:val="TableParagraph"/>
              <w:rPr>
                <w:sz w:val="20"/>
              </w:rPr>
            </w:pPr>
          </w:p>
        </w:tc>
        <w:tc>
          <w:tcPr>
            <w:tcW w:w="8757" w:type="dxa"/>
          </w:tcPr>
          <w:p w14:paraId="7326B887" w14:textId="77777777" w:rsidR="00EF3DFB" w:rsidRDefault="00D27C17">
            <w:pPr>
              <w:pStyle w:val="TableParagraph"/>
              <w:spacing w:before="28"/>
              <w:ind w:left="93"/>
              <w:rPr>
                <w:sz w:val="20"/>
              </w:rPr>
            </w:pPr>
            <w:hyperlink w:anchor="_bookmark13" w:history="1">
              <w:r>
                <w:rPr>
                  <w:color w:val="0000FF"/>
                  <w:sz w:val="20"/>
                  <w:u w:val="single" w:color="0000FF"/>
                </w:rPr>
                <w:t>ITEM 8. FINANCIAL STATEMENTS AND SUPPLEMENTARY DATA</w:t>
              </w:r>
            </w:hyperlink>
          </w:p>
        </w:tc>
        <w:tc>
          <w:tcPr>
            <w:tcW w:w="568" w:type="dxa"/>
          </w:tcPr>
          <w:p w14:paraId="7326B888" w14:textId="77777777" w:rsidR="00EF3DFB" w:rsidRDefault="00D27C17">
            <w:pPr>
              <w:pStyle w:val="TableParagraph"/>
              <w:spacing w:before="28"/>
              <w:ind w:right="49"/>
              <w:jc w:val="right"/>
              <w:rPr>
                <w:sz w:val="20"/>
              </w:rPr>
            </w:pPr>
            <w:hyperlink w:anchor="_bookmark13" w:history="1">
              <w:r>
                <w:rPr>
                  <w:sz w:val="20"/>
                </w:rPr>
                <w:t>50</w:t>
              </w:r>
            </w:hyperlink>
          </w:p>
        </w:tc>
      </w:tr>
      <w:tr w:rsidR="00EF3DFB" w14:paraId="7326B88E" w14:textId="77777777">
        <w:trPr>
          <w:trHeight w:val="497"/>
        </w:trPr>
        <w:tc>
          <w:tcPr>
            <w:tcW w:w="916" w:type="dxa"/>
          </w:tcPr>
          <w:p w14:paraId="7326B88A" w14:textId="77777777" w:rsidR="00EF3DFB" w:rsidRDefault="00EF3DFB">
            <w:pPr>
              <w:pStyle w:val="TableParagraph"/>
              <w:rPr>
                <w:sz w:val="20"/>
              </w:rPr>
            </w:pPr>
          </w:p>
        </w:tc>
        <w:tc>
          <w:tcPr>
            <w:tcW w:w="8757" w:type="dxa"/>
          </w:tcPr>
          <w:p w14:paraId="7326B88B" w14:textId="77777777" w:rsidR="00EF3DFB" w:rsidRDefault="00D27C17">
            <w:pPr>
              <w:pStyle w:val="TableParagraph"/>
              <w:spacing w:before="49" w:line="208" w:lineRule="auto"/>
              <w:ind w:left="93"/>
              <w:rPr>
                <w:sz w:val="20"/>
              </w:rPr>
            </w:pPr>
            <w:hyperlink w:anchor="_bookmark14" w:history="1">
              <w:r>
                <w:rPr>
                  <w:color w:val="0000FF"/>
                  <w:sz w:val="20"/>
                  <w:u w:val="single" w:color="0000FF"/>
                </w:rPr>
                <w:t>ITEM 9. CHANGES IN AND DISAGREEMENTS WITH ACCOUNTANTS ON ACCOUNTING AND</w:t>
              </w:r>
            </w:hyperlink>
            <w:r>
              <w:rPr>
                <w:color w:val="0000FF"/>
                <w:sz w:val="20"/>
              </w:rPr>
              <w:t xml:space="preserve"> </w:t>
            </w:r>
            <w:hyperlink w:anchor="_bookmark14" w:history="1">
              <w:r>
                <w:rPr>
                  <w:color w:val="0000FF"/>
                  <w:sz w:val="20"/>
                  <w:u w:val="single" w:color="0000FF"/>
                </w:rPr>
                <w:t>FINANCIAL DISCLOSURE</w:t>
              </w:r>
            </w:hyperlink>
          </w:p>
        </w:tc>
        <w:tc>
          <w:tcPr>
            <w:tcW w:w="568" w:type="dxa"/>
          </w:tcPr>
          <w:p w14:paraId="7326B88C" w14:textId="77777777" w:rsidR="00EF3DFB" w:rsidRDefault="00EF3DFB">
            <w:pPr>
              <w:pStyle w:val="TableParagraph"/>
              <w:spacing w:before="6"/>
              <w:rPr>
                <w:sz w:val="19"/>
              </w:rPr>
            </w:pPr>
          </w:p>
          <w:p w14:paraId="7326B88D" w14:textId="77777777" w:rsidR="00EF3DFB" w:rsidRDefault="00D27C17">
            <w:pPr>
              <w:pStyle w:val="TableParagraph"/>
              <w:spacing w:before="1"/>
              <w:ind w:right="49"/>
              <w:jc w:val="right"/>
              <w:rPr>
                <w:sz w:val="20"/>
              </w:rPr>
            </w:pPr>
            <w:hyperlink w:anchor="_bookmark14" w:history="1">
              <w:r>
                <w:rPr>
                  <w:sz w:val="20"/>
                </w:rPr>
                <w:t>100</w:t>
              </w:r>
            </w:hyperlink>
          </w:p>
        </w:tc>
      </w:tr>
      <w:tr w:rsidR="00EF3DFB" w14:paraId="7326B892" w14:textId="77777777">
        <w:trPr>
          <w:trHeight w:val="300"/>
        </w:trPr>
        <w:tc>
          <w:tcPr>
            <w:tcW w:w="916" w:type="dxa"/>
          </w:tcPr>
          <w:p w14:paraId="7326B88F" w14:textId="77777777" w:rsidR="00EF3DFB" w:rsidRDefault="00EF3DFB">
            <w:pPr>
              <w:pStyle w:val="TableParagraph"/>
              <w:rPr>
                <w:sz w:val="20"/>
              </w:rPr>
            </w:pPr>
          </w:p>
        </w:tc>
        <w:tc>
          <w:tcPr>
            <w:tcW w:w="8757" w:type="dxa"/>
          </w:tcPr>
          <w:p w14:paraId="7326B890" w14:textId="77777777" w:rsidR="00EF3DFB" w:rsidRDefault="00D27C17">
            <w:pPr>
              <w:pStyle w:val="TableParagraph"/>
              <w:spacing w:before="28"/>
              <w:ind w:left="93"/>
              <w:rPr>
                <w:sz w:val="20"/>
              </w:rPr>
            </w:pPr>
            <w:hyperlink w:anchor="_bookmark15" w:history="1">
              <w:r>
                <w:rPr>
                  <w:color w:val="0000FF"/>
                  <w:sz w:val="20"/>
                  <w:u w:val="single" w:color="0000FF"/>
                </w:rPr>
                <w:t>ITEM 9A. CONTROLS AND PROCEDURES</w:t>
              </w:r>
            </w:hyperlink>
          </w:p>
        </w:tc>
        <w:tc>
          <w:tcPr>
            <w:tcW w:w="568" w:type="dxa"/>
          </w:tcPr>
          <w:p w14:paraId="7326B891" w14:textId="77777777" w:rsidR="00EF3DFB" w:rsidRDefault="00D27C17">
            <w:pPr>
              <w:pStyle w:val="TableParagraph"/>
              <w:spacing w:before="28"/>
              <w:ind w:right="49"/>
              <w:jc w:val="right"/>
              <w:rPr>
                <w:sz w:val="20"/>
              </w:rPr>
            </w:pPr>
            <w:hyperlink w:anchor="_bookmark15" w:history="1">
              <w:r>
                <w:rPr>
                  <w:sz w:val="20"/>
                </w:rPr>
                <w:t>100</w:t>
              </w:r>
            </w:hyperlink>
          </w:p>
        </w:tc>
      </w:tr>
      <w:tr w:rsidR="00EF3DFB" w14:paraId="7326B896" w14:textId="77777777">
        <w:trPr>
          <w:trHeight w:val="337"/>
        </w:trPr>
        <w:tc>
          <w:tcPr>
            <w:tcW w:w="916" w:type="dxa"/>
          </w:tcPr>
          <w:p w14:paraId="7326B893" w14:textId="77777777" w:rsidR="00EF3DFB" w:rsidRDefault="00EF3DFB">
            <w:pPr>
              <w:pStyle w:val="TableParagraph"/>
              <w:rPr>
                <w:sz w:val="20"/>
              </w:rPr>
            </w:pPr>
          </w:p>
        </w:tc>
        <w:tc>
          <w:tcPr>
            <w:tcW w:w="8757" w:type="dxa"/>
          </w:tcPr>
          <w:p w14:paraId="7326B894" w14:textId="77777777" w:rsidR="00EF3DFB" w:rsidRDefault="00D27C17">
            <w:pPr>
              <w:pStyle w:val="TableParagraph"/>
              <w:spacing w:before="28"/>
              <w:ind w:left="93"/>
              <w:rPr>
                <w:sz w:val="20"/>
              </w:rPr>
            </w:pPr>
            <w:hyperlink w:anchor="_bookmark16" w:history="1">
              <w:r>
                <w:rPr>
                  <w:color w:val="0000FF"/>
                  <w:sz w:val="20"/>
                  <w:u w:val="single" w:color="0000FF"/>
                </w:rPr>
                <w:t>ITEM 9B. OTHER INFORMATION</w:t>
              </w:r>
            </w:hyperlink>
          </w:p>
        </w:tc>
        <w:tc>
          <w:tcPr>
            <w:tcW w:w="568" w:type="dxa"/>
          </w:tcPr>
          <w:p w14:paraId="7326B895" w14:textId="77777777" w:rsidR="00EF3DFB" w:rsidRDefault="00D27C17">
            <w:pPr>
              <w:pStyle w:val="TableParagraph"/>
              <w:spacing w:before="28"/>
              <w:ind w:right="49"/>
              <w:jc w:val="right"/>
              <w:rPr>
                <w:sz w:val="20"/>
              </w:rPr>
            </w:pPr>
            <w:hyperlink w:anchor="_bookmark16" w:history="1">
              <w:r>
                <w:rPr>
                  <w:sz w:val="20"/>
                </w:rPr>
                <w:t>102</w:t>
              </w:r>
            </w:hyperlink>
          </w:p>
        </w:tc>
      </w:tr>
      <w:tr w:rsidR="00EF3DFB" w14:paraId="7326B89A" w14:textId="77777777">
        <w:trPr>
          <w:trHeight w:val="337"/>
        </w:trPr>
        <w:tc>
          <w:tcPr>
            <w:tcW w:w="916" w:type="dxa"/>
          </w:tcPr>
          <w:p w14:paraId="7326B897" w14:textId="77777777" w:rsidR="00EF3DFB" w:rsidRDefault="00D27C17">
            <w:pPr>
              <w:pStyle w:val="TableParagraph"/>
              <w:spacing w:before="65"/>
              <w:ind w:left="50"/>
              <w:rPr>
                <w:sz w:val="20"/>
              </w:rPr>
            </w:pPr>
            <w:hyperlink w:anchor="_bookmark17" w:history="1">
              <w:r>
                <w:rPr>
                  <w:color w:val="0000FF"/>
                  <w:sz w:val="20"/>
                  <w:u w:val="single" w:color="0000FF"/>
                </w:rPr>
                <w:t>PART III</w:t>
              </w:r>
            </w:hyperlink>
          </w:p>
        </w:tc>
        <w:tc>
          <w:tcPr>
            <w:tcW w:w="8757" w:type="dxa"/>
          </w:tcPr>
          <w:p w14:paraId="7326B898" w14:textId="77777777" w:rsidR="00EF3DFB" w:rsidRDefault="00EF3DFB">
            <w:pPr>
              <w:pStyle w:val="TableParagraph"/>
              <w:rPr>
                <w:sz w:val="20"/>
              </w:rPr>
            </w:pPr>
          </w:p>
        </w:tc>
        <w:tc>
          <w:tcPr>
            <w:tcW w:w="568" w:type="dxa"/>
          </w:tcPr>
          <w:p w14:paraId="7326B899" w14:textId="77777777" w:rsidR="00EF3DFB" w:rsidRDefault="00D27C17">
            <w:pPr>
              <w:pStyle w:val="TableParagraph"/>
              <w:spacing w:before="65"/>
              <w:ind w:right="49"/>
              <w:jc w:val="right"/>
              <w:rPr>
                <w:sz w:val="20"/>
              </w:rPr>
            </w:pPr>
            <w:hyperlink w:anchor="_bookmark17" w:history="1">
              <w:r>
                <w:rPr>
                  <w:sz w:val="20"/>
                </w:rPr>
                <w:t>103</w:t>
              </w:r>
            </w:hyperlink>
          </w:p>
        </w:tc>
      </w:tr>
      <w:tr w:rsidR="00EF3DFB" w14:paraId="7326B89E" w14:textId="77777777">
        <w:trPr>
          <w:trHeight w:val="300"/>
        </w:trPr>
        <w:tc>
          <w:tcPr>
            <w:tcW w:w="916" w:type="dxa"/>
          </w:tcPr>
          <w:p w14:paraId="7326B89B" w14:textId="77777777" w:rsidR="00EF3DFB" w:rsidRDefault="00EF3DFB">
            <w:pPr>
              <w:pStyle w:val="TableParagraph"/>
              <w:rPr>
                <w:sz w:val="20"/>
              </w:rPr>
            </w:pPr>
          </w:p>
        </w:tc>
        <w:tc>
          <w:tcPr>
            <w:tcW w:w="8757" w:type="dxa"/>
          </w:tcPr>
          <w:p w14:paraId="7326B89C" w14:textId="77777777" w:rsidR="00EF3DFB" w:rsidRDefault="00D27C17">
            <w:pPr>
              <w:pStyle w:val="TableParagraph"/>
              <w:spacing w:before="28"/>
              <w:ind w:left="93"/>
              <w:rPr>
                <w:sz w:val="20"/>
              </w:rPr>
            </w:pPr>
            <w:hyperlink w:anchor="_bookmark18" w:history="1">
              <w:r>
                <w:rPr>
                  <w:color w:val="0000FF"/>
                  <w:sz w:val="20"/>
                  <w:u w:val="single" w:color="0000FF"/>
                </w:rPr>
                <w:t>ITEM 10. DIRECTORS, EXECUTIVE OFFICERS AND CORPORATE GOVERNANCE</w:t>
              </w:r>
            </w:hyperlink>
          </w:p>
        </w:tc>
        <w:tc>
          <w:tcPr>
            <w:tcW w:w="568" w:type="dxa"/>
          </w:tcPr>
          <w:p w14:paraId="7326B89D" w14:textId="77777777" w:rsidR="00EF3DFB" w:rsidRDefault="00D27C17">
            <w:pPr>
              <w:pStyle w:val="TableParagraph"/>
              <w:spacing w:before="28"/>
              <w:ind w:right="49"/>
              <w:jc w:val="right"/>
              <w:rPr>
                <w:sz w:val="20"/>
              </w:rPr>
            </w:pPr>
            <w:hyperlink w:anchor="_bookmark18" w:history="1">
              <w:r>
                <w:rPr>
                  <w:sz w:val="20"/>
                </w:rPr>
                <w:t>103</w:t>
              </w:r>
            </w:hyperlink>
          </w:p>
        </w:tc>
      </w:tr>
      <w:tr w:rsidR="00EF3DFB" w14:paraId="7326B8A2" w14:textId="77777777">
        <w:trPr>
          <w:trHeight w:val="297"/>
        </w:trPr>
        <w:tc>
          <w:tcPr>
            <w:tcW w:w="916" w:type="dxa"/>
          </w:tcPr>
          <w:p w14:paraId="7326B89F" w14:textId="77777777" w:rsidR="00EF3DFB" w:rsidRDefault="00EF3DFB">
            <w:pPr>
              <w:pStyle w:val="TableParagraph"/>
              <w:rPr>
                <w:sz w:val="20"/>
              </w:rPr>
            </w:pPr>
          </w:p>
        </w:tc>
        <w:tc>
          <w:tcPr>
            <w:tcW w:w="8757" w:type="dxa"/>
          </w:tcPr>
          <w:p w14:paraId="7326B8A0" w14:textId="77777777" w:rsidR="00EF3DFB" w:rsidRDefault="00D27C17">
            <w:pPr>
              <w:pStyle w:val="TableParagraph"/>
              <w:spacing w:before="28"/>
              <w:ind w:left="93"/>
              <w:rPr>
                <w:sz w:val="20"/>
              </w:rPr>
            </w:pPr>
            <w:hyperlink w:anchor="_bookmark19" w:history="1">
              <w:r>
                <w:rPr>
                  <w:color w:val="0000FF"/>
                  <w:sz w:val="20"/>
                  <w:u w:val="single" w:color="0000FF"/>
                </w:rPr>
                <w:t>ITEM 11. EXECUTIVE COMPENSATION</w:t>
              </w:r>
            </w:hyperlink>
          </w:p>
        </w:tc>
        <w:tc>
          <w:tcPr>
            <w:tcW w:w="568" w:type="dxa"/>
          </w:tcPr>
          <w:p w14:paraId="7326B8A1" w14:textId="77777777" w:rsidR="00EF3DFB" w:rsidRDefault="00D27C17">
            <w:pPr>
              <w:pStyle w:val="TableParagraph"/>
              <w:spacing w:before="28"/>
              <w:ind w:right="49"/>
              <w:jc w:val="right"/>
              <w:rPr>
                <w:sz w:val="20"/>
              </w:rPr>
            </w:pPr>
            <w:hyperlink w:anchor="_bookmark19" w:history="1">
              <w:r>
                <w:rPr>
                  <w:sz w:val="20"/>
                </w:rPr>
                <w:t>103</w:t>
              </w:r>
            </w:hyperlink>
          </w:p>
        </w:tc>
      </w:tr>
      <w:tr w:rsidR="00EF3DFB" w14:paraId="7326B8A7" w14:textId="77777777">
        <w:trPr>
          <w:trHeight w:val="495"/>
        </w:trPr>
        <w:tc>
          <w:tcPr>
            <w:tcW w:w="916" w:type="dxa"/>
          </w:tcPr>
          <w:p w14:paraId="7326B8A3" w14:textId="77777777" w:rsidR="00EF3DFB" w:rsidRDefault="00EF3DFB">
            <w:pPr>
              <w:pStyle w:val="TableParagraph"/>
              <w:rPr>
                <w:sz w:val="20"/>
              </w:rPr>
            </w:pPr>
          </w:p>
        </w:tc>
        <w:tc>
          <w:tcPr>
            <w:tcW w:w="8757" w:type="dxa"/>
          </w:tcPr>
          <w:p w14:paraId="7326B8A4" w14:textId="77777777" w:rsidR="00EF3DFB" w:rsidRDefault="00D27C17">
            <w:pPr>
              <w:pStyle w:val="TableParagraph"/>
              <w:spacing w:before="49" w:line="208" w:lineRule="auto"/>
              <w:ind w:left="93"/>
              <w:rPr>
                <w:sz w:val="20"/>
              </w:rPr>
            </w:pPr>
            <w:hyperlink w:anchor="_bookmark20" w:history="1">
              <w:r>
                <w:rPr>
                  <w:color w:val="0000FF"/>
                  <w:sz w:val="20"/>
                  <w:u w:val="single" w:color="0000FF"/>
                </w:rPr>
                <w:t>ITEM 12. SECURITY OWNERSHIP OF CERTAIN BENEFICIAL OWNERS AND MANAGEMENT</w:t>
              </w:r>
            </w:hyperlink>
            <w:r>
              <w:rPr>
                <w:color w:val="0000FF"/>
                <w:sz w:val="20"/>
              </w:rPr>
              <w:t xml:space="preserve"> </w:t>
            </w:r>
            <w:hyperlink w:anchor="_bookmark20" w:history="1">
              <w:r>
                <w:rPr>
                  <w:color w:val="0000FF"/>
                  <w:sz w:val="20"/>
                  <w:u w:val="single" w:color="0000FF"/>
                </w:rPr>
                <w:t>AND RELATED STOCKHOLDER MATTERS</w:t>
              </w:r>
            </w:hyperlink>
          </w:p>
        </w:tc>
        <w:tc>
          <w:tcPr>
            <w:tcW w:w="568" w:type="dxa"/>
          </w:tcPr>
          <w:p w14:paraId="7326B8A5" w14:textId="77777777" w:rsidR="00EF3DFB" w:rsidRDefault="00EF3DFB">
            <w:pPr>
              <w:pStyle w:val="TableParagraph"/>
              <w:spacing w:before="6"/>
              <w:rPr>
                <w:sz w:val="19"/>
              </w:rPr>
            </w:pPr>
          </w:p>
          <w:p w14:paraId="7326B8A6" w14:textId="77777777" w:rsidR="00EF3DFB" w:rsidRDefault="00D27C17">
            <w:pPr>
              <w:pStyle w:val="TableParagraph"/>
              <w:spacing w:before="1"/>
              <w:ind w:right="49"/>
              <w:jc w:val="right"/>
              <w:rPr>
                <w:sz w:val="20"/>
              </w:rPr>
            </w:pPr>
            <w:hyperlink w:anchor="_bookmark20" w:history="1">
              <w:r>
                <w:rPr>
                  <w:sz w:val="20"/>
                </w:rPr>
                <w:t>103</w:t>
              </w:r>
            </w:hyperlink>
          </w:p>
        </w:tc>
      </w:tr>
      <w:tr w:rsidR="00EF3DFB" w14:paraId="7326B8AC" w14:textId="77777777">
        <w:trPr>
          <w:trHeight w:val="497"/>
        </w:trPr>
        <w:tc>
          <w:tcPr>
            <w:tcW w:w="916" w:type="dxa"/>
          </w:tcPr>
          <w:p w14:paraId="7326B8A8" w14:textId="77777777" w:rsidR="00EF3DFB" w:rsidRDefault="00EF3DFB">
            <w:pPr>
              <w:pStyle w:val="TableParagraph"/>
              <w:rPr>
                <w:sz w:val="20"/>
              </w:rPr>
            </w:pPr>
          </w:p>
        </w:tc>
        <w:tc>
          <w:tcPr>
            <w:tcW w:w="8757" w:type="dxa"/>
          </w:tcPr>
          <w:p w14:paraId="7326B8A9" w14:textId="77777777" w:rsidR="00EF3DFB" w:rsidRDefault="00D27C17">
            <w:pPr>
              <w:pStyle w:val="TableParagraph"/>
              <w:spacing w:before="49" w:line="208" w:lineRule="auto"/>
              <w:ind w:left="93"/>
              <w:rPr>
                <w:sz w:val="20"/>
              </w:rPr>
            </w:pPr>
            <w:hyperlink w:anchor="_bookmark21" w:history="1">
              <w:r>
                <w:rPr>
                  <w:color w:val="0000FF"/>
                  <w:sz w:val="20"/>
                  <w:u w:val="single" w:color="0000FF"/>
                </w:rPr>
                <w:t>ITEM 13. CERTAIN RELATIONSHIPS AND RELATED TRANSACTIONS, AND DIRECTOR</w:t>
              </w:r>
            </w:hyperlink>
            <w:r>
              <w:rPr>
                <w:color w:val="0000FF"/>
                <w:sz w:val="20"/>
              </w:rPr>
              <w:t xml:space="preserve"> </w:t>
            </w:r>
            <w:hyperlink w:anchor="_bookmark21" w:history="1">
              <w:r>
                <w:rPr>
                  <w:color w:val="0000FF"/>
                  <w:sz w:val="20"/>
                  <w:u w:val="single" w:color="0000FF"/>
                </w:rPr>
                <w:t>INDEPENDENCE</w:t>
              </w:r>
            </w:hyperlink>
          </w:p>
        </w:tc>
        <w:tc>
          <w:tcPr>
            <w:tcW w:w="568" w:type="dxa"/>
          </w:tcPr>
          <w:p w14:paraId="7326B8AA" w14:textId="77777777" w:rsidR="00EF3DFB" w:rsidRDefault="00EF3DFB">
            <w:pPr>
              <w:pStyle w:val="TableParagraph"/>
              <w:spacing w:before="6"/>
              <w:rPr>
                <w:sz w:val="19"/>
              </w:rPr>
            </w:pPr>
          </w:p>
          <w:p w14:paraId="7326B8AB" w14:textId="77777777" w:rsidR="00EF3DFB" w:rsidRDefault="00D27C17">
            <w:pPr>
              <w:pStyle w:val="TableParagraph"/>
              <w:spacing w:before="1"/>
              <w:ind w:right="49"/>
              <w:jc w:val="right"/>
              <w:rPr>
                <w:sz w:val="20"/>
              </w:rPr>
            </w:pPr>
            <w:hyperlink w:anchor="_bookmark21" w:history="1">
              <w:r>
                <w:rPr>
                  <w:sz w:val="20"/>
                </w:rPr>
                <w:t>103</w:t>
              </w:r>
            </w:hyperlink>
          </w:p>
        </w:tc>
      </w:tr>
      <w:tr w:rsidR="00EF3DFB" w14:paraId="7326B8B0" w14:textId="77777777">
        <w:trPr>
          <w:trHeight w:val="337"/>
        </w:trPr>
        <w:tc>
          <w:tcPr>
            <w:tcW w:w="916" w:type="dxa"/>
          </w:tcPr>
          <w:p w14:paraId="7326B8AD" w14:textId="77777777" w:rsidR="00EF3DFB" w:rsidRDefault="00EF3DFB">
            <w:pPr>
              <w:pStyle w:val="TableParagraph"/>
              <w:rPr>
                <w:sz w:val="20"/>
              </w:rPr>
            </w:pPr>
          </w:p>
        </w:tc>
        <w:tc>
          <w:tcPr>
            <w:tcW w:w="8757" w:type="dxa"/>
          </w:tcPr>
          <w:p w14:paraId="7326B8AE" w14:textId="77777777" w:rsidR="00EF3DFB" w:rsidRDefault="00D27C17">
            <w:pPr>
              <w:pStyle w:val="TableParagraph"/>
              <w:spacing w:before="28"/>
              <w:ind w:left="93"/>
              <w:rPr>
                <w:sz w:val="20"/>
              </w:rPr>
            </w:pPr>
            <w:hyperlink w:anchor="_bookmark22" w:history="1">
              <w:r>
                <w:rPr>
                  <w:color w:val="0000FF"/>
                  <w:sz w:val="20"/>
                  <w:u w:val="single" w:color="0000FF"/>
                </w:rPr>
                <w:t>ITEM 14. PRINCIPAL ACCOUNTING FEES AND SERVICES</w:t>
              </w:r>
            </w:hyperlink>
          </w:p>
        </w:tc>
        <w:tc>
          <w:tcPr>
            <w:tcW w:w="568" w:type="dxa"/>
          </w:tcPr>
          <w:p w14:paraId="7326B8AF" w14:textId="77777777" w:rsidR="00EF3DFB" w:rsidRDefault="00D27C17">
            <w:pPr>
              <w:pStyle w:val="TableParagraph"/>
              <w:spacing w:before="28"/>
              <w:ind w:right="49"/>
              <w:jc w:val="right"/>
              <w:rPr>
                <w:sz w:val="20"/>
              </w:rPr>
            </w:pPr>
            <w:hyperlink w:anchor="_bookmark22" w:history="1">
              <w:r>
                <w:rPr>
                  <w:sz w:val="20"/>
                </w:rPr>
                <w:t>103</w:t>
              </w:r>
            </w:hyperlink>
          </w:p>
        </w:tc>
      </w:tr>
      <w:tr w:rsidR="00EF3DFB" w14:paraId="7326B8B4" w14:textId="77777777">
        <w:trPr>
          <w:trHeight w:val="337"/>
        </w:trPr>
        <w:tc>
          <w:tcPr>
            <w:tcW w:w="916" w:type="dxa"/>
          </w:tcPr>
          <w:p w14:paraId="7326B8B1" w14:textId="77777777" w:rsidR="00EF3DFB" w:rsidRDefault="00D27C17">
            <w:pPr>
              <w:pStyle w:val="TableParagraph"/>
              <w:spacing w:before="65"/>
              <w:ind w:left="50"/>
              <w:rPr>
                <w:sz w:val="20"/>
              </w:rPr>
            </w:pPr>
            <w:hyperlink w:anchor="_bookmark23" w:history="1">
              <w:r>
                <w:rPr>
                  <w:color w:val="0000FF"/>
                  <w:sz w:val="20"/>
                  <w:u w:val="single" w:color="0000FF"/>
                </w:rPr>
                <w:t>PART IV</w:t>
              </w:r>
            </w:hyperlink>
          </w:p>
        </w:tc>
        <w:tc>
          <w:tcPr>
            <w:tcW w:w="8757" w:type="dxa"/>
          </w:tcPr>
          <w:p w14:paraId="7326B8B2" w14:textId="77777777" w:rsidR="00EF3DFB" w:rsidRDefault="00EF3DFB">
            <w:pPr>
              <w:pStyle w:val="TableParagraph"/>
              <w:rPr>
                <w:sz w:val="20"/>
              </w:rPr>
            </w:pPr>
          </w:p>
        </w:tc>
        <w:tc>
          <w:tcPr>
            <w:tcW w:w="568" w:type="dxa"/>
          </w:tcPr>
          <w:p w14:paraId="7326B8B3" w14:textId="77777777" w:rsidR="00EF3DFB" w:rsidRDefault="00D27C17">
            <w:pPr>
              <w:pStyle w:val="TableParagraph"/>
              <w:spacing w:before="65"/>
              <w:ind w:right="49"/>
              <w:jc w:val="right"/>
              <w:rPr>
                <w:sz w:val="20"/>
              </w:rPr>
            </w:pPr>
            <w:hyperlink w:anchor="_bookmark23" w:history="1">
              <w:r>
                <w:rPr>
                  <w:sz w:val="20"/>
                </w:rPr>
                <w:t>104</w:t>
              </w:r>
            </w:hyperlink>
          </w:p>
        </w:tc>
      </w:tr>
      <w:tr w:rsidR="00EF3DFB" w14:paraId="7326B8B8" w14:textId="77777777">
        <w:trPr>
          <w:trHeight w:val="300"/>
        </w:trPr>
        <w:tc>
          <w:tcPr>
            <w:tcW w:w="916" w:type="dxa"/>
          </w:tcPr>
          <w:p w14:paraId="7326B8B5" w14:textId="77777777" w:rsidR="00EF3DFB" w:rsidRDefault="00EF3DFB">
            <w:pPr>
              <w:pStyle w:val="TableParagraph"/>
              <w:rPr>
                <w:sz w:val="20"/>
              </w:rPr>
            </w:pPr>
          </w:p>
        </w:tc>
        <w:tc>
          <w:tcPr>
            <w:tcW w:w="8757" w:type="dxa"/>
          </w:tcPr>
          <w:p w14:paraId="7326B8B6" w14:textId="77777777" w:rsidR="00EF3DFB" w:rsidRDefault="00D27C17">
            <w:pPr>
              <w:pStyle w:val="TableParagraph"/>
              <w:spacing w:before="28"/>
              <w:ind w:left="93"/>
              <w:rPr>
                <w:sz w:val="20"/>
              </w:rPr>
            </w:pPr>
            <w:hyperlink w:anchor="_bookmark24" w:history="1">
              <w:r>
                <w:rPr>
                  <w:color w:val="0000FF"/>
                  <w:sz w:val="20"/>
                  <w:u w:val="single" w:color="0000FF"/>
                </w:rPr>
                <w:t>ITEM 15. EXHIBITS, FINANCIAL STATEMENT SCHEDULES</w:t>
              </w:r>
            </w:hyperlink>
          </w:p>
        </w:tc>
        <w:tc>
          <w:tcPr>
            <w:tcW w:w="568" w:type="dxa"/>
          </w:tcPr>
          <w:p w14:paraId="7326B8B7" w14:textId="77777777" w:rsidR="00EF3DFB" w:rsidRDefault="00D27C17">
            <w:pPr>
              <w:pStyle w:val="TableParagraph"/>
              <w:spacing w:before="28"/>
              <w:ind w:right="49"/>
              <w:jc w:val="right"/>
              <w:rPr>
                <w:sz w:val="20"/>
              </w:rPr>
            </w:pPr>
            <w:hyperlink w:anchor="_bookmark24" w:history="1">
              <w:r>
                <w:rPr>
                  <w:sz w:val="20"/>
                </w:rPr>
                <w:t>104</w:t>
              </w:r>
            </w:hyperlink>
          </w:p>
        </w:tc>
      </w:tr>
      <w:tr w:rsidR="00EF3DFB" w14:paraId="7326B8BC" w14:textId="77777777">
        <w:trPr>
          <w:trHeight w:val="260"/>
        </w:trPr>
        <w:tc>
          <w:tcPr>
            <w:tcW w:w="916" w:type="dxa"/>
          </w:tcPr>
          <w:p w14:paraId="7326B8B9" w14:textId="77777777" w:rsidR="00EF3DFB" w:rsidRDefault="00EF3DFB">
            <w:pPr>
              <w:pStyle w:val="TableParagraph"/>
              <w:rPr>
                <w:sz w:val="18"/>
              </w:rPr>
            </w:pPr>
          </w:p>
        </w:tc>
        <w:tc>
          <w:tcPr>
            <w:tcW w:w="8757" w:type="dxa"/>
          </w:tcPr>
          <w:p w14:paraId="7326B8BA" w14:textId="77777777" w:rsidR="00EF3DFB" w:rsidRDefault="00D27C17">
            <w:pPr>
              <w:pStyle w:val="TableParagraph"/>
              <w:spacing w:before="28" w:line="213" w:lineRule="exact"/>
              <w:ind w:left="93"/>
              <w:rPr>
                <w:sz w:val="20"/>
              </w:rPr>
            </w:pPr>
            <w:hyperlink w:anchor="_bookmark25" w:history="1">
              <w:r>
                <w:rPr>
                  <w:color w:val="0000FF"/>
                  <w:sz w:val="20"/>
                  <w:u w:val="single" w:color="0000FF"/>
                </w:rPr>
                <w:t>ITEM 16. FORM 10-K SUMMARY</w:t>
              </w:r>
            </w:hyperlink>
          </w:p>
        </w:tc>
        <w:tc>
          <w:tcPr>
            <w:tcW w:w="568" w:type="dxa"/>
          </w:tcPr>
          <w:p w14:paraId="7326B8BB" w14:textId="77777777" w:rsidR="00EF3DFB" w:rsidRDefault="00D27C17">
            <w:pPr>
              <w:pStyle w:val="TableParagraph"/>
              <w:spacing w:before="28" w:line="213" w:lineRule="exact"/>
              <w:ind w:right="49"/>
              <w:jc w:val="right"/>
              <w:rPr>
                <w:sz w:val="20"/>
              </w:rPr>
            </w:pPr>
            <w:hyperlink w:anchor="_bookmark25" w:history="1">
              <w:r>
                <w:rPr>
                  <w:sz w:val="20"/>
                </w:rPr>
                <w:t>111</w:t>
              </w:r>
            </w:hyperlink>
          </w:p>
        </w:tc>
      </w:tr>
    </w:tbl>
    <w:p w14:paraId="7326B8BD" w14:textId="77777777" w:rsidR="00EF3DFB" w:rsidRDefault="00D27C17">
      <w:pPr>
        <w:pStyle w:val="BodyText"/>
        <w:spacing w:before="142"/>
        <w:ind w:left="242"/>
      </w:pPr>
      <w:hyperlink w:anchor="_bookmark26" w:history="1">
        <w:r>
          <w:rPr>
            <w:color w:val="0000FF"/>
            <w:u w:val="single" w:color="0000FF"/>
          </w:rPr>
          <w:t>SIGNATURES</w:t>
        </w:r>
      </w:hyperlink>
    </w:p>
    <w:p w14:paraId="7326B8BE" w14:textId="77777777" w:rsidR="00EF3DFB" w:rsidRDefault="00EF3DFB">
      <w:pPr>
        <w:sectPr w:rsidR="00EF3DFB">
          <w:pgSz w:w="12240" w:h="15840"/>
          <w:pgMar w:top="680" w:right="640" w:bottom="280" w:left="620" w:header="720" w:footer="720" w:gutter="0"/>
          <w:cols w:space="720"/>
        </w:sectPr>
      </w:pPr>
    </w:p>
    <w:p w14:paraId="7326B8BF" w14:textId="77777777" w:rsidR="00EF3DFB" w:rsidRDefault="00D27C17">
      <w:pPr>
        <w:pStyle w:val="Heading2"/>
        <w:spacing w:before="68"/>
        <w:jc w:val="left"/>
      </w:pPr>
      <w:bookmarkStart w:id="3" w:name="Part_I"/>
      <w:bookmarkStart w:id="4" w:name="_bookmark0"/>
      <w:bookmarkEnd w:id="3"/>
      <w:bookmarkEnd w:id="4"/>
      <w:r>
        <w:lastRenderedPageBreak/>
        <w:t>PART I</w:t>
      </w:r>
    </w:p>
    <w:p w14:paraId="7326B8C0" w14:textId="77777777" w:rsidR="00EF3DFB" w:rsidRDefault="00D27C17">
      <w:pPr>
        <w:spacing w:before="10"/>
        <w:ind w:left="190"/>
        <w:rPr>
          <w:b/>
          <w:sz w:val="20"/>
        </w:rPr>
      </w:pPr>
      <w:bookmarkStart w:id="5" w:name="Item_1._Business"/>
      <w:bookmarkStart w:id="6" w:name="_bookmark1"/>
      <w:bookmarkEnd w:id="5"/>
      <w:bookmarkEnd w:id="6"/>
      <w:r>
        <w:rPr>
          <w:b/>
          <w:sz w:val="20"/>
        </w:rPr>
        <w:t>ITEM 1. BUSINESS</w:t>
      </w:r>
    </w:p>
    <w:p w14:paraId="7326B8C1" w14:textId="77777777" w:rsidR="00EF3DFB" w:rsidRDefault="00EF3DFB">
      <w:pPr>
        <w:pStyle w:val="BodyText"/>
        <w:rPr>
          <w:b/>
          <w:sz w:val="22"/>
        </w:rPr>
      </w:pPr>
    </w:p>
    <w:p w14:paraId="7326B8C2" w14:textId="77777777" w:rsidR="00EF3DFB" w:rsidRDefault="00D27C17">
      <w:pPr>
        <w:pStyle w:val="BodyText"/>
        <w:spacing w:before="1" w:line="249" w:lineRule="auto"/>
        <w:ind w:left="190" w:right="168"/>
        <w:jc w:val="both"/>
      </w:pPr>
      <w:r>
        <w:t>“Newell Brands” or the “Company” refers to Newell Brands Inc. alone or with its wholly owned subsidiaries, as the context requires. When this report uses the words “we,” “us” or “our,” it refers to the Company and its subsidiaries unless the context otherw</w:t>
      </w:r>
      <w:r>
        <w:t>ise requires. The Company was founded in Ogdensburg, New York in 1903 and is incorporated in</w:t>
      </w:r>
      <w:r>
        <w:rPr>
          <w:spacing w:val="-20"/>
        </w:rPr>
        <w:t xml:space="preserve"> </w:t>
      </w:r>
      <w:r>
        <w:t>Delaware.</w:t>
      </w:r>
    </w:p>
    <w:p w14:paraId="7326B8C3" w14:textId="77777777" w:rsidR="00EF3DFB" w:rsidRDefault="00EF3DFB">
      <w:pPr>
        <w:pStyle w:val="BodyText"/>
        <w:spacing w:before="1"/>
        <w:rPr>
          <w:sz w:val="21"/>
        </w:rPr>
      </w:pPr>
    </w:p>
    <w:p w14:paraId="7326B8C4" w14:textId="77777777" w:rsidR="00EF3DFB" w:rsidRDefault="00D27C17">
      <w:pPr>
        <w:ind w:left="190"/>
        <w:rPr>
          <w:i/>
          <w:sz w:val="20"/>
        </w:rPr>
      </w:pPr>
      <w:r>
        <w:rPr>
          <w:i/>
          <w:sz w:val="20"/>
        </w:rPr>
        <w:t>Website Access to Securities and Exchange Commission Reports</w:t>
      </w:r>
    </w:p>
    <w:p w14:paraId="7326B8C5" w14:textId="77777777" w:rsidR="00EF3DFB" w:rsidRDefault="00EF3DFB">
      <w:pPr>
        <w:pStyle w:val="BodyText"/>
        <w:spacing w:before="8"/>
        <w:rPr>
          <w:i/>
          <w:sz w:val="21"/>
        </w:rPr>
      </w:pPr>
    </w:p>
    <w:p w14:paraId="7326B8C6" w14:textId="77777777" w:rsidR="00EF3DFB" w:rsidRDefault="00D27C17">
      <w:pPr>
        <w:pStyle w:val="BodyText"/>
        <w:spacing w:line="249" w:lineRule="auto"/>
        <w:ind w:left="190" w:right="168"/>
        <w:jc w:val="both"/>
      </w:pPr>
      <w:r>
        <w:t>The Company makes available free of charge on or through its website its annual reports on</w:t>
      </w:r>
      <w:r>
        <w:t xml:space="preserve"> Form 10-K, quarterly reports on Form 10-Q, current reports on Form 8-K, and amendments to those reports filed or furnished pursuant to Section 13(a) or 15(d) of the Securities Exchange Act of 1934 (the “Exchange Act”) as soon as practicable after the Comp</w:t>
      </w:r>
      <w:r>
        <w:t xml:space="preserve">any files them with, or furnishes them to, the U.S. Securities and Exchange Commission (“SEC”). The Company’s Internet website can be found at </w:t>
      </w:r>
      <w:hyperlink r:id="rId7">
        <w:r>
          <w:rPr>
            <w:i/>
          </w:rPr>
          <w:t>www.newellbrands.com</w:t>
        </w:r>
        <w:r>
          <w:t>.</w:t>
        </w:r>
      </w:hyperlink>
      <w:r>
        <w:t xml:space="preserve"> The information on the Company’s website is</w:t>
      </w:r>
      <w:r>
        <w:t xml:space="preserve"> not incorporated by reference into this Annual report on Form 10-K.</w:t>
      </w:r>
    </w:p>
    <w:p w14:paraId="7326B8C7" w14:textId="77777777" w:rsidR="00EF3DFB" w:rsidRDefault="00EF3DFB">
      <w:pPr>
        <w:pStyle w:val="BodyText"/>
        <w:rPr>
          <w:sz w:val="21"/>
        </w:rPr>
      </w:pPr>
    </w:p>
    <w:p w14:paraId="7326B8C8" w14:textId="77777777" w:rsidR="00EF3DFB" w:rsidRDefault="00D27C17">
      <w:pPr>
        <w:pStyle w:val="Heading2"/>
        <w:jc w:val="left"/>
      </w:pPr>
      <w:r>
        <w:t>GENERAL</w:t>
      </w:r>
    </w:p>
    <w:p w14:paraId="7326B8C9" w14:textId="77777777" w:rsidR="00EF3DFB" w:rsidRDefault="00EF3DFB">
      <w:pPr>
        <w:pStyle w:val="BodyText"/>
        <w:rPr>
          <w:b/>
          <w:sz w:val="22"/>
        </w:rPr>
      </w:pPr>
    </w:p>
    <w:p w14:paraId="7326B8CA" w14:textId="77777777" w:rsidR="00EF3DFB" w:rsidRDefault="00D27C17">
      <w:pPr>
        <w:pStyle w:val="BodyText"/>
        <w:spacing w:before="1" w:line="249" w:lineRule="auto"/>
        <w:ind w:left="190" w:right="169"/>
        <w:jc w:val="both"/>
      </w:pPr>
      <w:r>
        <w:t>Newell Brands is a leading global consumer goods company with a strong portfolio of well-known brands, including Rubbermaid®, Paper Mate®, Sharpie®, Dymo®, EXPO®, Parker®, Elmer</w:t>
      </w:r>
      <w:r>
        <w:t>’s®, Coleman®, Marmot®, Oster®, Sunbeam®, FoodSaver®, Mr. Coffee®, Rubbermaid Commercial Products®, Graco®, Baby Jogger®, NUK®, Calphalon®, Contigo®, First Alert®, Mapa®, Spontex® and Yankee Candle®. Newell Brands is committed to enhancing the lives of con</w:t>
      </w:r>
      <w:r>
        <w:t>sumers around the world with planet- friendly, innovative and attractive products that create moments of joy and provide peace of mind. The Company sells its products in nearly 200 countries around the world and has operations on the ground in over 40 of t</w:t>
      </w:r>
      <w:r>
        <w:t>hese countries, excluding third-party distributors.</w:t>
      </w:r>
    </w:p>
    <w:p w14:paraId="7326B8CB" w14:textId="77777777" w:rsidR="00EF3DFB" w:rsidRDefault="00EF3DFB">
      <w:pPr>
        <w:pStyle w:val="BodyText"/>
        <w:spacing w:before="1"/>
        <w:rPr>
          <w:sz w:val="21"/>
        </w:rPr>
      </w:pPr>
    </w:p>
    <w:p w14:paraId="7326B8CC" w14:textId="77777777" w:rsidR="00EF3DFB" w:rsidRDefault="00D27C17">
      <w:pPr>
        <w:pStyle w:val="Heading2"/>
        <w:jc w:val="left"/>
      </w:pPr>
      <w:r>
        <w:t>BUSINESS STRATEGY</w:t>
      </w:r>
    </w:p>
    <w:p w14:paraId="7326B8CD" w14:textId="77777777" w:rsidR="00EF3DFB" w:rsidRDefault="00EF3DFB">
      <w:pPr>
        <w:pStyle w:val="BodyText"/>
        <w:rPr>
          <w:b/>
          <w:sz w:val="22"/>
        </w:rPr>
      </w:pPr>
    </w:p>
    <w:p w14:paraId="7326B8CE" w14:textId="77777777" w:rsidR="00EF3DFB" w:rsidRDefault="00D27C17">
      <w:pPr>
        <w:pStyle w:val="BodyText"/>
        <w:spacing w:line="249" w:lineRule="auto"/>
        <w:ind w:left="190" w:right="168"/>
        <w:jc w:val="both"/>
      </w:pPr>
      <w:r>
        <w:t>The Company is continuing to execute on its turnaround strategy of building a global, next generation consumer products company that can unleash the full potential of its brands in a f</w:t>
      </w:r>
      <w:r>
        <w:t>ast moving omni-channel environment. The strategy, developed in 2019, is designed to drive sustainable top line growth, improve operating margins, accelerate cash conversion cycle and strengthen the portfolio, organizational capabilities and employee engag</w:t>
      </w:r>
      <w:r>
        <w:t>ement, while addressing key challenges facing the Company. These challenges include: shifting consumer preferences and behaviors; a highly competitive operating environment; a rapidly changing retail landscape, including the growth in e-commerce; continued</w:t>
      </w:r>
      <w:r>
        <w:t xml:space="preserve"> macroeconomic and political volatility; and an evolving regulatory landscape. The coronavirus (COVID-19) pandemic and its impact to the Company’s business resulted in the acceleration of these initiatives in many respects.</w:t>
      </w:r>
    </w:p>
    <w:p w14:paraId="7326B8CF" w14:textId="77777777" w:rsidR="00EF3DFB" w:rsidRDefault="00EF3DFB">
      <w:pPr>
        <w:pStyle w:val="BodyText"/>
        <w:spacing w:before="5"/>
        <w:rPr>
          <w:sz w:val="21"/>
        </w:rPr>
      </w:pPr>
    </w:p>
    <w:p w14:paraId="7326B8D0" w14:textId="77777777" w:rsidR="00EF3DFB" w:rsidRDefault="00D27C17">
      <w:pPr>
        <w:pStyle w:val="BodyText"/>
        <w:ind w:left="190"/>
      </w:pPr>
      <w:r>
        <w:t>The Company has made significan</w:t>
      </w:r>
      <w:r>
        <w:t>t progress on the following imperatives it previously identified as part of its turnaround strategy:</w:t>
      </w:r>
    </w:p>
    <w:p w14:paraId="7326B8D1" w14:textId="77777777" w:rsidR="00EF3DFB" w:rsidRDefault="00EF3DFB">
      <w:pPr>
        <w:pStyle w:val="BodyText"/>
        <w:spacing w:before="8"/>
        <w:rPr>
          <w:sz w:val="21"/>
        </w:rPr>
      </w:pPr>
    </w:p>
    <w:p w14:paraId="7326B8D2" w14:textId="77777777" w:rsidR="00EF3DFB" w:rsidRDefault="00D27C17">
      <w:pPr>
        <w:pStyle w:val="ListParagraph"/>
        <w:numPr>
          <w:ilvl w:val="0"/>
          <w:numId w:val="31"/>
        </w:numPr>
        <w:tabs>
          <w:tab w:val="left" w:pos="909"/>
          <w:tab w:val="left" w:pos="910"/>
        </w:tabs>
        <w:spacing w:before="1"/>
        <w:rPr>
          <w:sz w:val="20"/>
        </w:rPr>
      </w:pPr>
      <w:r>
        <w:rPr>
          <w:sz w:val="20"/>
        </w:rPr>
        <w:t>Strengthening the portfolio by investing in attractive categories aligned with its capabilities and</w:t>
      </w:r>
      <w:r>
        <w:rPr>
          <w:spacing w:val="-20"/>
          <w:sz w:val="20"/>
        </w:rPr>
        <w:t xml:space="preserve"> </w:t>
      </w:r>
      <w:r>
        <w:rPr>
          <w:sz w:val="20"/>
        </w:rPr>
        <w:t>strategy;</w:t>
      </w:r>
    </w:p>
    <w:p w14:paraId="7326B8D3" w14:textId="77777777" w:rsidR="00EF3DFB" w:rsidRDefault="00D27C17">
      <w:pPr>
        <w:pStyle w:val="ListParagraph"/>
        <w:numPr>
          <w:ilvl w:val="0"/>
          <w:numId w:val="31"/>
        </w:numPr>
        <w:tabs>
          <w:tab w:val="left" w:pos="909"/>
          <w:tab w:val="left" w:pos="910"/>
        </w:tabs>
        <w:spacing w:before="10" w:line="249" w:lineRule="auto"/>
        <w:ind w:right="170"/>
        <w:rPr>
          <w:sz w:val="20"/>
        </w:rPr>
      </w:pPr>
      <w:r>
        <w:rPr>
          <w:sz w:val="20"/>
        </w:rPr>
        <w:t>Driving sustainable profitable growth by focusing on innovation, as well as growth in digital marketing, e-commerce and its international</w:t>
      </w:r>
      <w:r>
        <w:rPr>
          <w:spacing w:val="-3"/>
          <w:sz w:val="20"/>
        </w:rPr>
        <w:t xml:space="preserve"> </w:t>
      </w:r>
      <w:r>
        <w:rPr>
          <w:sz w:val="20"/>
        </w:rPr>
        <w:t>business</w:t>
      </w:r>
      <w:r>
        <w:rPr>
          <w:sz w:val="20"/>
        </w:rPr>
        <w:t>es;</w:t>
      </w:r>
    </w:p>
    <w:p w14:paraId="7326B8D4" w14:textId="77777777" w:rsidR="00EF3DFB" w:rsidRDefault="00D27C17">
      <w:pPr>
        <w:pStyle w:val="ListParagraph"/>
        <w:numPr>
          <w:ilvl w:val="0"/>
          <w:numId w:val="31"/>
        </w:numPr>
        <w:tabs>
          <w:tab w:val="left" w:pos="909"/>
          <w:tab w:val="left" w:pos="910"/>
        </w:tabs>
        <w:spacing w:before="1"/>
        <w:rPr>
          <w:sz w:val="20"/>
        </w:rPr>
      </w:pPr>
      <w:r>
        <w:rPr>
          <w:sz w:val="20"/>
        </w:rPr>
        <w:t>Improving margins by driving productivity and overhead savings, while reinvesting into the</w:t>
      </w:r>
      <w:r>
        <w:rPr>
          <w:spacing w:val="-12"/>
          <w:sz w:val="20"/>
        </w:rPr>
        <w:t xml:space="preserve"> </w:t>
      </w:r>
      <w:r>
        <w:rPr>
          <w:sz w:val="20"/>
        </w:rPr>
        <w:t>business;</w:t>
      </w:r>
    </w:p>
    <w:p w14:paraId="7326B8D5" w14:textId="77777777" w:rsidR="00EF3DFB" w:rsidRDefault="00D27C17">
      <w:pPr>
        <w:pStyle w:val="ListParagraph"/>
        <w:numPr>
          <w:ilvl w:val="0"/>
          <w:numId w:val="31"/>
        </w:numPr>
        <w:tabs>
          <w:tab w:val="left" w:pos="909"/>
          <w:tab w:val="left" w:pos="910"/>
        </w:tabs>
        <w:spacing w:before="10"/>
        <w:rPr>
          <w:sz w:val="20"/>
        </w:rPr>
      </w:pPr>
      <w:r>
        <w:rPr>
          <w:sz w:val="20"/>
        </w:rPr>
        <w:t>Enhancing cash efficiency by improving key working capital metrics, resulting in a lower cash conversion cycle;</w:t>
      </w:r>
      <w:r>
        <w:rPr>
          <w:spacing w:val="-30"/>
          <w:sz w:val="20"/>
        </w:rPr>
        <w:t xml:space="preserve"> </w:t>
      </w:r>
      <w:r>
        <w:rPr>
          <w:sz w:val="20"/>
        </w:rPr>
        <w:t>and</w:t>
      </w:r>
    </w:p>
    <w:p w14:paraId="7326B8D6" w14:textId="77777777" w:rsidR="00EF3DFB" w:rsidRDefault="00D27C17">
      <w:pPr>
        <w:pStyle w:val="ListParagraph"/>
        <w:numPr>
          <w:ilvl w:val="0"/>
          <w:numId w:val="31"/>
        </w:numPr>
        <w:tabs>
          <w:tab w:val="left" w:pos="909"/>
          <w:tab w:val="left" w:pos="910"/>
        </w:tabs>
        <w:spacing w:before="10"/>
        <w:rPr>
          <w:sz w:val="20"/>
        </w:rPr>
      </w:pPr>
      <w:r>
        <w:rPr>
          <w:sz w:val="20"/>
        </w:rPr>
        <w:t>Building a winning team through eng</w:t>
      </w:r>
      <w:r>
        <w:rPr>
          <w:sz w:val="20"/>
        </w:rPr>
        <w:t>agement and focusing the best people on the right</w:t>
      </w:r>
      <w:r>
        <w:rPr>
          <w:spacing w:val="-15"/>
          <w:sz w:val="20"/>
        </w:rPr>
        <w:t xml:space="preserve"> </w:t>
      </w:r>
      <w:r>
        <w:rPr>
          <w:sz w:val="20"/>
        </w:rPr>
        <w:t>things.</w:t>
      </w:r>
    </w:p>
    <w:p w14:paraId="7326B8D7" w14:textId="77777777" w:rsidR="00EF3DFB" w:rsidRDefault="00EF3DFB">
      <w:pPr>
        <w:pStyle w:val="BodyText"/>
        <w:spacing w:before="9"/>
        <w:rPr>
          <w:sz w:val="21"/>
        </w:rPr>
      </w:pPr>
    </w:p>
    <w:p w14:paraId="7326B8D8" w14:textId="77777777" w:rsidR="00EF3DFB" w:rsidRDefault="00D27C17">
      <w:pPr>
        <w:pStyle w:val="BodyText"/>
        <w:ind w:left="190"/>
        <w:jc w:val="both"/>
      </w:pPr>
      <w:r>
        <w:t>Continued execution of these strategic imperatives will better position the Company for long-term sustainable growth.</w:t>
      </w:r>
    </w:p>
    <w:p w14:paraId="7326B8D9" w14:textId="77777777" w:rsidR="00EF3DFB" w:rsidRDefault="00EF3DFB">
      <w:pPr>
        <w:pStyle w:val="BodyText"/>
        <w:spacing w:before="4"/>
        <w:rPr>
          <w:sz w:val="21"/>
        </w:rPr>
      </w:pPr>
    </w:p>
    <w:p w14:paraId="7326B8DA" w14:textId="77777777" w:rsidR="00EF3DFB" w:rsidRDefault="00D27C17">
      <w:pPr>
        <w:ind w:left="190"/>
        <w:jc w:val="both"/>
        <w:rPr>
          <w:i/>
          <w:sz w:val="20"/>
        </w:rPr>
      </w:pPr>
      <w:r>
        <w:rPr>
          <w:i/>
          <w:sz w:val="20"/>
        </w:rPr>
        <w:t>Coronavirus (COVID-19)</w:t>
      </w:r>
    </w:p>
    <w:p w14:paraId="7326B8DB" w14:textId="77777777" w:rsidR="00EF3DFB" w:rsidRDefault="00EF3DFB">
      <w:pPr>
        <w:pStyle w:val="BodyText"/>
        <w:spacing w:before="8"/>
        <w:rPr>
          <w:i/>
          <w:sz w:val="21"/>
        </w:rPr>
      </w:pPr>
    </w:p>
    <w:p w14:paraId="7326B8DC" w14:textId="77777777" w:rsidR="00EF3DFB" w:rsidRDefault="00D27C17">
      <w:pPr>
        <w:pStyle w:val="BodyText"/>
        <w:spacing w:line="249" w:lineRule="auto"/>
        <w:ind w:left="190" w:right="168"/>
        <w:jc w:val="both"/>
      </w:pPr>
      <w:r>
        <w:t>Beginning late in the fourth quarter of 2019 through 2020 and into 2021, COVID-19 emerged and subsequently spread globally, ultimately being declared a pandemic by the World Health Organization. The pandemic resulted in various federal, state and local gov</w:t>
      </w:r>
      <w:r>
        <w:t>ernments, as well as private entities, mandating restrictions on travel and public gatherings, closure of non-essential commerce, stay at home orders and quarantining of people to limit exposure to the virus. The Company's global operations, similar to tho</w:t>
      </w:r>
      <w:r>
        <w:t>se of many large, multi-national corporations, experienced significant COVID-19 related disruption to its business in three primary areas:</w:t>
      </w:r>
    </w:p>
    <w:p w14:paraId="7326B8DD" w14:textId="77777777" w:rsidR="00EF3DFB" w:rsidRDefault="00EF3DFB">
      <w:pPr>
        <w:pStyle w:val="BodyText"/>
        <w:spacing w:before="3"/>
        <w:rPr>
          <w:sz w:val="21"/>
        </w:rPr>
      </w:pPr>
    </w:p>
    <w:p w14:paraId="7326B8DE" w14:textId="77777777" w:rsidR="00EF3DFB" w:rsidRDefault="00D27C17">
      <w:pPr>
        <w:pStyle w:val="ListParagraph"/>
        <w:numPr>
          <w:ilvl w:val="0"/>
          <w:numId w:val="31"/>
        </w:numPr>
        <w:tabs>
          <w:tab w:val="left" w:pos="910"/>
        </w:tabs>
        <w:spacing w:line="249" w:lineRule="auto"/>
        <w:ind w:right="168"/>
        <w:jc w:val="both"/>
        <w:rPr>
          <w:sz w:val="20"/>
        </w:rPr>
      </w:pPr>
      <w:r>
        <w:rPr>
          <w:sz w:val="20"/>
          <w:u w:val="single"/>
        </w:rPr>
        <w:t>Supply chain.</w:t>
      </w:r>
      <w:r>
        <w:rPr>
          <w:sz w:val="20"/>
        </w:rPr>
        <w:t xml:space="preserve"> While the majority of the Company’s factories are considered essential in their applicable jurisdictio</w:t>
      </w:r>
      <w:r>
        <w:rPr>
          <w:sz w:val="20"/>
        </w:rPr>
        <w:t xml:space="preserve">ns and have remained operational, the Company experienced disruption at certain of its facilities. Of its 135 manufacturing and distribution facilities, approximately 20 were temporarily closed at the end of the first quarter of 2020, the most significant </w:t>
      </w:r>
      <w:r>
        <w:rPr>
          <w:sz w:val="20"/>
        </w:rPr>
        <w:t>of</w:t>
      </w:r>
      <w:r>
        <w:rPr>
          <w:spacing w:val="15"/>
          <w:sz w:val="20"/>
        </w:rPr>
        <w:t xml:space="preserve"> </w:t>
      </w:r>
      <w:r>
        <w:rPr>
          <w:sz w:val="20"/>
        </w:rPr>
        <w:t>which</w:t>
      </w:r>
      <w:r>
        <w:rPr>
          <w:spacing w:val="15"/>
          <w:sz w:val="20"/>
        </w:rPr>
        <w:t xml:space="preserve"> </w:t>
      </w:r>
      <w:r>
        <w:rPr>
          <w:sz w:val="20"/>
        </w:rPr>
        <w:t>were</w:t>
      </w:r>
      <w:r>
        <w:rPr>
          <w:spacing w:val="15"/>
          <w:sz w:val="20"/>
        </w:rPr>
        <w:t xml:space="preserve"> </w:t>
      </w:r>
      <w:r>
        <w:rPr>
          <w:sz w:val="20"/>
        </w:rPr>
        <w:t>its</w:t>
      </w:r>
      <w:r>
        <w:rPr>
          <w:spacing w:val="15"/>
          <w:sz w:val="20"/>
        </w:rPr>
        <w:t xml:space="preserve"> </w:t>
      </w:r>
      <w:r>
        <w:rPr>
          <w:sz w:val="20"/>
        </w:rPr>
        <w:t>South</w:t>
      </w:r>
      <w:r>
        <w:rPr>
          <w:spacing w:val="15"/>
          <w:sz w:val="20"/>
        </w:rPr>
        <w:t xml:space="preserve"> </w:t>
      </w:r>
      <w:r>
        <w:rPr>
          <w:sz w:val="20"/>
        </w:rPr>
        <w:t>Deerfield,</w:t>
      </w:r>
      <w:r>
        <w:rPr>
          <w:spacing w:val="15"/>
          <w:sz w:val="20"/>
        </w:rPr>
        <w:t xml:space="preserve"> </w:t>
      </w:r>
      <w:r>
        <w:rPr>
          <w:sz w:val="20"/>
        </w:rPr>
        <w:t>MA,</w:t>
      </w:r>
      <w:r>
        <w:rPr>
          <w:spacing w:val="15"/>
          <w:sz w:val="20"/>
        </w:rPr>
        <w:t xml:space="preserve"> </w:t>
      </w:r>
      <w:r>
        <w:rPr>
          <w:sz w:val="20"/>
        </w:rPr>
        <w:t>Home</w:t>
      </w:r>
      <w:r>
        <w:rPr>
          <w:spacing w:val="15"/>
          <w:sz w:val="20"/>
        </w:rPr>
        <w:t xml:space="preserve"> </w:t>
      </w:r>
      <w:r>
        <w:rPr>
          <w:sz w:val="20"/>
        </w:rPr>
        <w:t>Fragrance</w:t>
      </w:r>
      <w:r>
        <w:rPr>
          <w:spacing w:val="15"/>
          <w:sz w:val="20"/>
        </w:rPr>
        <w:t xml:space="preserve"> </w:t>
      </w:r>
      <w:r>
        <w:rPr>
          <w:sz w:val="20"/>
        </w:rPr>
        <w:t>plant,</w:t>
      </w:r>
      <w:r>
        <w:rPr>
          <w:spacing w:val="15"/>
          <w:sz w:val="20"/>
        </w:rPr>
        <w:t xml:space="preserve"> </w:t>
      </w:r>
      <w:r>
        <w:rPr>
          <w:sz w:val="20"/>
        </w:rPr>
        <w:t>its</w:t>
      </w:r>
      <w:r>
        <w:rPr>
          <w:spacing w:val="15"/>
          <w:sz w:val="20"/>
        </w:rPr>
        <w:t xml:space="preserve"> </w:t>
      </w:r>
      <w:r>
        <w:rPr>
          <w:sz w:val="20"/>
        </w:rPr>
        <w:t>Mexicali,</w:t>
      </w:r>
      <w:r>
        <w:rPr>
          <w:spacing w:val="15"/>
          <w:sz w:val="20"/>
        </w:rPr>
        <w:t xml:space="preserve"> </w:t>
      </w:r>
      <w:r>
        <w:rPr>
          <w:sz w:val="20"/>
        </w:rPr>
        <w:t>Mexico</w:t>
      </w:r>
      <w:r>
        <w:rPr>
          <w:spacing w:val="15"/>
          <w:sz w:val="20"/>
        </w:rPr>
        <w:t xml:space="preserve"> </w:t>
      </w:r>
      <w:r>
        <w:rPr>
          <w:sz w:val="20"/>
        </w:rPr>
        <w:t>and</w:t>
      </w:r>
      <w:r>
        <w:rPr>
          <w:spacing w:val="15"/>
          <w:sz w:val="20"/>
        </w:rPr>
        <w:t xml:space="preserve"> </w:t>
      </w:r>
      <w:r>
        <w:rPr>
          <w:sz w:val="20"/>
        </w:rPr>
        <w:t>India</w:t>
      </w:r>
      <w:r>
        <w:rPr>
          <w:spacing w:val="15"/>
          <w:sz w:val="20"/>
        </w:rPr>
        <w:t xml:space="preserve"> </w:t>
      </w:r>
      <w:r>
        <w:rPr>
          <w:sz w:val="20"/>
        </w:rPr>
        <w:t>Writing</w:t>
      </w:r>
      <w:r>
        <w:rPr>
          <w:spacing w:val="15"/>
          <w:sz w:val="20"/>
        </w:rPr>
        <w:t xml:space="preserve"> </w:t>
      </w:r>
      <w:r>
        <w:rPr>
          <w:sz w:val="20"/>
        </w:rPr>
        <w:t>facilities</w:t>
      </w:r>
      <w:r>
        <w:rPr>
          <w:spacing w:val="15"/>
          <w:sz w:val="20"/>
        </w:rPr>
        <w:t xml:space="preserve"> </w:t>
      </w:r>
      <w:r>
        <w:rPr>
          <w:sz w:val="20"/>
        </w:rPr>
        <w:t>and</w:t>
      </w:r>
      <w:r>
        <w:rPr>
          <w:spacing w:val="15"/>
          <w:sz w:val="20"/>
        </w:rPr>
        <w:t xml:space="preserve"> </w:t>
      </w:r>
      <w:r>
        <w:rPr>
          <w:sz w:val="20"/>
        </w:rPr>
        <w:t>its</w:t>
      </w:r>
    </w:p>
    <w:p w14:paraId="7326B8DF" w14:textId="77777777" w:rsidR="00EF3DFB" w:rsidRDefault="00EF3DFB">
      <w:pPr>
        <w:spacing w:line="249" w:lineRule="auto"/>
        <w:jc w:val="both"/>
        <w:rPr>
          <w:sz w:val="20"/>
        </w:rPr>
        <w:sectPr w:rsidR="00EF3DFB">
          <w:footerReference w:type="default" r:id="rId8"/>
          <w:pgSz w:w="12240" w:h="15840"/>
          <w:pgMar w:top="600" w:right="640" w:bottom="480" w:left="620" w:header="0" w:footer="291" w:gutter="0"/>
          <w:pgNumType w:start="1"/>
          <w:cols w:space="720"/>
        </w:sectPr>
      </w:pPr>
    </w:p>
    <w:p w14:paraId="7326B8E0" w14:textId="77777777" w:rsidR="00EF3DFB" w:rsidRDefault="00D27C17">
      <w:pPr>
        <w:pStyle w:val="BodyText"/>
        <w:spacing w:before="72" w:line="249" w:lineRule="auto"/>
        <w:ind w:left="910" w:right="168"/>
        <w:jc w:val="both"/>
      </w:pPr>
      <w:r>
        <w:lastRenderedPageBreak/>
        <w:t>Juarez, Mexico Connected Home and Security facility, all of which were closed in accordance with state government guidelines. By the end of the third quarter of 2020, substantially all of the Company's manufacturing and distribution facilities reopened and</w:t>
      </w:r>
      <w:r>
        <w:t xml:space="preserve"> were operating at or near capacity. Since then, the Company's facilities have replenished most of the inventory levels that were depleted by lost production during the temporary closure period. The Company does, however, continue to face intermittent supp</w:t>
      </w:r>
      <w:r>
        <w:t>ly and labor shortages, capacity constraints, and transportation and logistical challenges and expects this to persist until the current economic and public health conditions improve globally.</w:t>
      </w:r>
    </w:p>
    <w:p w14:paraId="7326B8E1" w14:textId="77777777" w:rsidR="00EF3DFB" w:rsidRDefault="00EF3DFB">
      <w:pPr>
        <w:pStyle w:val="BodyText"/>
        <w:spacing w:before="3"/>
        <w:rPr>
          <w:sz w:val="21"/>
        </w:rPr>
      </w:pPr>
    </w:p>
    <w:p w14:paraId="7326B8E2" w14:textId="77777777" w:rsidR="00EF3DFB" w:rsidRDefault="00D27C17">
      <w:pPr>
        <w:pStyle w:val="ListParagraph"/>
        <w:numPr>
          <w:ilvl w:val="0"/>
          <w:numId w:val="31"/>
        </w:numPr>
        <w:tabs>
          <w:tab w:val="left" w:pos="910"/>
        </w:tabs>
        <w:spacing w:line="249" w:lineRule="auto"/>
        <w:ind w:right="168"/>
        <w:jc w:val="both"/>
        <w:rPr>
          <w:sz w:val="20"/>
        </w:rPr>
      </w:pPr>
      <w:r>
        <w:rPr>
          <w:sz w:val="20"/>
          <w:u w:val="single"/>
        </w:rPr>
        <w:t>Retail.</w:t>
      </w:r>
      <w:r>
        <w:rPr>
          <w:sz w:val="20"/>
        </w:rPr>
        <w:t xml:space="preserve"> While the Company’s largest retail customers experienc</w:t>
      </w:r>
      <w:r>
        <w:rPr>
          <w:sz w:val="20"/>
        </w:rPr>
        <w:t>ed a surge in sales as their stores remained open, a number of secondary customers, primarily in the specialty and department store channels, temporarily closed their brick and mortar doors in March 2020, and began to reopen in certain regions where condit</w:t>
      </w:r>
      <w:r>
        <w:rPr>
          <w:sz w:val="20"/>
        </w:rPr>
        <w:t>ions improved towards the end of the second quarter of 2020. These dynamics, in combination with some retailers’ prioritization of essential items, have had a meaningful impact on the Company's traditional order patterns. In addition, the Company temporari</w:t>
      </w:r>
      <w:r>
        <w:rPr>
          <w:sz w:val="20"/>
        </w:rPr>
        <w:t>ly closed its Yankee Candle retail stores in North America as of mid-March. All of these stores reopened by the end of the third quarter and have remained open</w:t>
      </w:r>
      <w:r>
        <w:rPr>
          <w:spacing w:val="-2"/>
          <w:sz w:val="20"/>
        </w:rPr>
        <w:t xml:space="preserve"> </w:t>
      </w:r>
      <w:r>
        <w:rPr>
          <w:sz w:val="20"/>
        </w:rPr>
        <w:t>since.</w:t>
      </w:r>
    </w:p>
    <w:p w14:paraId="7326B8E3" w14:textId="77777777" w:rsidR="00EF3DFB" w:rsidRDefault="00EF3DFB">
      <w:pPr>
        <w:pStyle w:val="BodyText"/>
        <w:spacing w:before="4"/>
        <w:rPr>
          <w:sz w:val="21"/>
        </w:rPr>
      </w:pPr>
    </w:p>
    <w:p w14:paraId="7326B8E4" w14:textId="77777777" w:rsidR="00EF3DFB" w:rsidRDefault="00D27C17">
      <w:pPr>
        <w:pStyle w:val="ListParagraph"/>
        <w:numPr>
          <w:ilvl w:val="0"/>
          <w:numId w:val="31"/>
        </w:numPr>
        <w:tabs>
          <w:tab w:val="left" w:pos="910"/>
        </w:tabs>
        <w:spacing w:line="249" w:lineRule="auto"/>
        <w:ind w:right="168"/>
        <w:jc w:val="both"/>
        <w:rPr>
          <w:sz w:val="20"/>
        </w:rPr>
      </w:pPr>
      <w:r>
        <w:rPr>
          <w:sz w:val="20"/>
          <w:u w:val="single"/>
        </w:rPr>
        <w:t>Consumer demand patterns.</w:t>
      </w:r>
      <w:r>
        <w:rPr>
          <w:sz w:val="20"/>
        </w:rPr>
        <w:t xml:space="preserve"> During the quarantine phase of the pandemic, consumer purchasi</w:t>
      </w:r>
      <w:r>
        <w:rPr>
          <w:sz w:val="20"/>
        </w:rPr>
        <w:t>ng behavior strongly shifted to certain focused categories. While certain of the Company’s product categories in the Food, Commercial and Appliances and Cookware business benefited from this shift, others, particularly the Writing business, experienced sig</w:t>
      </w:r>
      <w:r>
        <w:rPr>
          <w:sz w:val="20"/>
        </w:rPr>
        <w:t>nificant slowing. Changes in consumer purchasing patterns, temporary office closures, as well as the shift to remote learning for schools and other higher education programs in the Fall semester of 2020 adversely impacted the performance of the Writing bus</w:t>
      </w:r>
      <w:r>
        <w:rPr>
          <w:sz w:val="20"/>
        </w:rPr>
        <w:t>iness during</w:t>
      </w:r>
      <w:r>
        <w:rPr>
          <w:spacing w:val="-1"/>
          <w:sz w:val="20"/>
        </w:rPr>
        <w:t xml:space="preserve"> </w:t>
      </w:r>
      <w:r>
        <w:rPr>
          <w:sz w:val="20"/>
        </w:rPr>
        <w:t>2020.</w:t>
      </w:r>
    </w:p>
    <w:p w14:paraId="7326B8E5" w14:textId="77777777" w:rsidR="00EF3DFB" w:rsidRDefault="00EF3DFB">
      <w:pPr>
        <w:pStyle w:val="BodyText"/>
        <w:spacing w:before="4"/>
        <w:rPr>
          <w:sz w:val="21"/>
        </w:rPr>
      </w:pPr>
    </w:p>
    <w:p w14:paraId="7326B8E6" w14:textId="77777777" w:rsidR="00EF3DFB" w:rsidRDefault="00D27C17">
      <w:pPr>
        <w:pStyle w:val="BodyText"/>
        <w:spacing w:line="249" w:lineRule="auto"/>
        <w:ind w:left="190" w:right="169"/>
        <w:jc w:val="both"/>
      </w:pPr>
      <w:r>
        <w:t>In response to the COVID-19 pandemic, the Company focused on protecting the health and well-being of its employees; maintaining financial viability and business continuity; and keeping manufacturing facilities and distribution centers operating, where perm</w:t>
      </w:r>
      <w:r>
        <w:t>itted and deemed prudent, to provide products to our consumers. The Company put in place internal protocols including the establishment of a COVID-19 task force to monitor the situation, as well as communications and guidance issued by foreign, federal, st</w:t>
      </w:r>
      <w:r>
        <w:t>ate and local governments. The Company instituted mandatory work-from-home policies for employees able to work from home in various locations around the world and implemented a number of precautionary measures at its manufacturing plants, warehouses, distr</w:t>
      </w:r>
      <w:r>
        <w:t>ibution centers and R&amp;D centers to reduce person-to-person contact and improve the personal safety for our front- line employees. Furthermore, the Company temporarily closed all of the world-wide Yankee Candle retail stores. By the end of the third quarter</w:t>
      </w:r>
      <w:r>
        <w:t xml:space="preserve"> of 2020, all of the Company’s temporarily closed manufacturing and distribution sites reopened and were operating at or near capacity. In addition, most of the Company's office locations have reopened on a limited</w:t>
      </w:r>
      <w:r>
        <w:rPr>
          <w:spacing w:val="-17"/>
        </w:rPr>
        <w:t xml:space="preserve"> </w:t>
      </w:r>
      <w:r>
        <w:t>basis.</w:t>
      </w:r>
    </w:p>
    <w:p w14:paraId="7326B8E7" w14:textId="77777777" w:rsidR="00EF3DFB" w:rsidRDefault="00EF3DFB">
      <w:pPr>
        <w:pStyle w:val="BodyText"/>
        <w:spacing w:before="6"/>
        <w:rPr>
          <w:sz w:val="21"/>
        </w:rPr>
      </w:pPr>
    </w:p>
    <w:p w14:paraId="7326B8E8" w14:textId="77777777" w:rsidR="00EF3DFB" w:rsidRDefault="00D27C17">
      <w:pPr>
        <w:pStyle w:val="BodyText"/>
        <w:spacing w:line="249" w:lineRule="auto"/>
        <w:ind w:left="190" w:right="168"/>
        <w:jc w:val="both"/>
      </w:pPr>
      <w:r>
        <w:t xml:space="preserve">The Company continues to monitor </w:t>
      </w:r>
      <w:r>
        <w:t xml:space="preserve">developments, including government requirements and recommendations at the national, state, and local level to evaluate possible cessation or extensions to all or part of such COVID-19 precautionary initiatives. As part of the Company's efforts to contain </w:t>
      </w:r>
      <w:r>
        <w:t xml:space="preserve">costs and maintain financial liquidity and flexibility, it instituted a hiring freeze for non-essential roles, furloughed all field-based and most corporate retail employees in North America, from April 1, 2020 through the third quarter of 2020, tightened </w:t>
      </w:r>
      <w:r>
        <w:t>discretionary spending, reduced non-essential travel and optimized advertising and promotional expenses. In addition, the Company announced a restructuring program during the second quarter of 2020 to reduce overhead costs, streamline certain underperformi</w:t>
      </w:r>
      <w:r>
        <w:t>ng operations and improve future profitability.</w:t>
      </w:r>
    </w:p>
    <w:p w14:paraId="7326B8E9" w14:textId="77777777" w:rsidR="00EF3DFB" w:rsidRDefault="00EF3DFB">
      <w:pPr>
        <w:pStyle w:val="BodyText"/>
        <w:spacing w:before="5"/>
        <w:rPr>
          <w:sz w:val="21"/>
        </w:rPr>
      </w:pPr>
    </w:p>
    <w:p w14:paraId="7326B8EA" w14:textId="77777777" w:rsidR="00EF3DFB" w:rsidRDefault="00D27C17">
      <w:pPr>
        <w:pStyle w:val="BodyText"/>
        <w:ind w:left="190" w:right="167"/>
        <w:jc w:val="both"/>
      </w:pPr>
      <w:r>
        <w:t xml:space="preserve">While the negative effects from the COVID-19 global pandemic in the first half of 2020 were material to the Company's operating results, the Company saw positive momentum, which included sales growth during </w:t>
      </w:r>
      <w:r>
        <w:t>the second half of the year and strong liquidity with over $1.4 billion in operating cash flow for the year ended December 31, 2020. The Company believes, however, the extent of the impact of the COVID-19 pandemic to its businesses, operating results, cash</w:t>
      </w:r>
      <w:r>
        <w:t xml:space="preserve"> flows, liquidity and financial condition will be primarily driven by the severity and duration of the pandemic, the impact of new strains and variants of the coronavirus, the pandemic’s impact on the U.S. and global economies and the timing, scope and eff</w:t>
      </w:r>
      <w:r>
        <w:t>ectiveness of federal, state and local governmental plans to administer vaccines to the general public, especially in areas where conditions have recently worsened and lockdowns or travel bans have been reinstituted. Those primary drivers are beyond the Co</w:t>
      </w:r>
      <w:r>
        <w:t>mpany's knowledge and control, and as a result, at this time it is difficult to predict the cumulative impact, both in terms of severity and duration, COVID-19 will have on its future sales, operating results, cash flows and financial condition. Furthermor</w:t>
      </w:r>
      <w:r>
        <w:t>e, the impact to the Company's businesses, operating results, cash flows, liquidity and financial condition may be further adversely impacted if the COVID-19 global pandemic continues to exist or worsens for a prolonged period of time or if plans to admini</w:t>
      </w:r>
      <w:r>
        <w:t>ster vaccines are</w:t>
      </w:r>
      <w:r>
        <w:rPr>
          <w:spacing w:val="-15"/>
        </w:rPr>
        <w:t xml:space="preserve"> </w:t>
      </w:r>
      <w:r>
        <w:t>delayed.</w:t>
      </w:r>
    </w:p>
    <w:p w14:paraId="7326B8EB" w14:textId="77777777" w:rsidR="00EF3DFB" w:rsidRDefault="00EF3DFB">
      <w:pPr>
        <w:pStyle w:val="BodyText"/>
        <w:spacing w:before="10"/>
      </w:pPr>
    </w:p>
    <w:p w14:paraId="7326B8EC" w14:textId="77777777" w:rsidR="00EF3DFB" w:rsidRDefault="00D27C17">
      <w:pPr>
        <w:ind w:left="190" w:right="168"/>
        <w:jc w:val="both"/>
        <w:rPr>
          <w:sz w:val="20"/>
        </w:rPr>
      </w:pPr>
      <w:r>
        <w:rPr>
          <w:sz w:val="20"/>
        </w:rPr>
        <w:t xml:space="preserve">See </w:t>
      </w:r>
      <w:r>
        <w:rPr>
          <w:i/>
          <w:sz w:val="20"/>
        </w:rPr>
        <w:t xml:space="preserve">Recent Developments, Liquidity and Capital Resources </w:t>
      </w:r>
      <w:r>
        <w:rPr>
          <w:sz w:val="20"/>
        </w:rPr>
        <w:t xml:space="preserve">and </w:t>
      </w:r>
      <w:r>
        <w:rPr>
          <w:i/>
          <w:sz w:val="20"/>
        </w:rPr>
        <w:t xml:space="preserve">Critical Accounting Estimates </w:t>
      </w:r>
      <w:r>
        <w:rPr>
          <w:sz w:val="20"/>
        </w:rPr>
        <w:t xml:space="preserve">in </w:t>
      </w:r>
      <w:r>
        <w:rPr>
          <w:i/>
          <w:sz w:val="20"/>
        </w:rPr>
        <w:t xml:space="preserve">Item 7, Management’s Discussion and Analysis of Financial Condition and Results of Operations </w:t>
      </w:r>
      <w:r>
        <w:rPr>
          <w:sz w:val="20"/>
        </w:rPr>
        <w:t xml:space="preserve">and </w:t>
      </w:r>
      <w:r>
        <w:rPr>
          <w:i/>
          <w:sz w:val="20"/>
        </w:rPr>
        <w:t>Footnotes 1 and 7 of the Notes to Co</w:t>
      </w:r>
      <w:r>
        <w:rPr>
          <w:i/>
          <w:sz w:val="20"/>
        </w:rPr>
        <w:t xml:space="preserve">nsolidated Financial Statements </w:t>
      </w:r>
      <w:r>
        <w:rPr>
          <w:sz w:val="20"/>
        </w:rPr>
        <w:t>for further information.</w:t>
      </w:r>
    </w:p>
    <w:p w14:paraId="7326B8ED" w14:textId="77777777" w:rsidR="00EF3DFB" w:rsidRDefault="00EF3DFB">
      <w:pPr>
        <w:jc w:val="both"/>
        <w:rPr>
          <w:sz w:val="20"/>
        </w:rPr>
        <w:sectPr w:rsidR="00EF3DFB">
          <w:pgSz w:w="12240" w:h="15840"/>
          <w:pgMar w:top="600" w:right="640" w:bottom="480" w:left="620" w:header="0" w:footer="291" w:gutter="0"/>
          <w:cols w:space="720"/>
        </w:sectPr>
      </w:pPr>
    </w:p>
    <w:p w14:paraId="7326B8EE" w14:textId="77777777" w:rsidR="00EF3DFB" w:rsidRDefault="00D27C17">
      <w:pPr>
        <w:pStyle w:val="Heading2"/>
        <w:spacing w:before="68"/>
        <w:jc w:val="left"/>
      </w:pPr>
      <w:r>
        <w:rPr>
          <w:u w:val="single"/>
        </w:rPr>
        <w:lastRenderedPageBreak/>
        <w:t>Organizational Structure</w:t>
      </w:r>
    </w:p>
    <w:p w14:paraId="7326B8EF" w14:textId="77777777" w:rsidR="00EF3DFB" w:rsidRDefault="00EF3DFB">
      <w:pPr>
        <w:pStyle w:val="BodyText"/>
        <w:spacing w:before="9"/>
        <w:rPr>
          <w:b/>
          <w:sz w:val="11"/>
        </w:rPr>
      </w:pPr>
    </w:p>
    <w:p w14:paraId="7326B8F0" w14:textId="77777777" w:rsidR="00EF3DFB" w:rsidRDefault="00D27C17">
      <w:pPr>
        <w:pStyle w:val="BodyText"/>
        <w:spacing w:before="92"/>
        <w:ind w:left="190"/>
      </w:pPr>
      <w:r>
        <w:t>The Company’s five primary operating segments are as follows:</w:t>
      </w:r>
    </w:p>
    <w:p w14:paraId="7326B8F1" w14:textId="77777777" w:rsidR="00EF3DFB" w:rsidRDefault="00EF3DFB">
      <w:pPr>
        <w:pStyle w:val="BodyText"/>
      </w:pPr>
    </w:p>
    <w:p w14:paraId="7326B8F2" w14:textId="77777777" w:rsidR="00EF3DFB" w:rsidRDefault="00EF3DFB">
      <w:pPr>
        <w:pStyle w:val="BodyText"/>
        <w:spacing w:before="11"/>
        <w:rPr>
          <w:sz w:val="14"/>
        </w:rPr>
      </w:pPr>
    </w:p>
    <w:tbl>
      <w:tblPr>
        <w:tblW w:w="0" w:type="auto"/>
        <w:tblInd w:w="190" w:type="dxa"/>
        <w:tblLayout w:type="fixed"/>
        <w:tblCellMar>
          <w:left w:w="0" w:type="dxa"/>
          <w:right w:w="0" w:type="dxa"/>
        </w:tblCellMar>
        <w:tblLook w:val="01E0" w:firstRow="1" w:lastRow="1" w:firstColumn="1" w:lastColumn="1" w:noHBand="0" w:noVBand="0"/>
      </w:tblPr>
      <w:tblGrid>
        <w:gridCol w:w="2715"/>
        <w:gridCol w:w="4020"/>
        <w:gridCol w:w="3886"/>
      </w:tblGrid>
      <w:tr w:rsidR="00EF3DFB" w14:paraId="7326B8F6" w14:textId="77777777">
        <w:trPr>
          <w:trHeight w:val="241"/>
        </w:trPr>
        <w:tc>
          <w:tcPr>
            <w:tcW w:w="2715" w:type="dxa"/>
            <w:tcBorders>
              <w:bottom w:val="single" w:sz="8" w:space="0" w:color="000000"/>
            </w:tcBorders>
          </w:tcPr>
          <w:p w14:paraId="7326B8F3" w14:textId="77777777" w:rsidR="00EF3DFB" w:rsidRDefault="00D27C17">
            <w:pPr>
              <w:pStyle w:val="TableParagraph"/>
              <w:spacing w:line="221" w:lineRule="exact"/>
              <w:ind w:left="52"/>
              <w:rPr>
                <w:b/>
                <w:sz w:val="20"/>
              </w:rPr>
            </w:pPr>
            <w:r>
              <w:rPr>
                <w:b/>
                <w:sz w:val="20"/>
              </w:rPr>
              <w:t>Segment</w:t>
            </w:r>
          </w:p>
        </w:tc>
        <w:tc>
          <w:tcPr>
            <w:tcW w:w="4020" w:type="dxa"/>
            <w:tcBorders>
              <w:bottom w:val="single" w:sz="8" w:space="0" w:color="000000"/>
            </w:tcBorders>
          </w:tcPr>
          <w:p w14:paraId="7326B8F4" w14:textId="77777777" w:rsidR="00EF3DFB" w:rsidRDefault="00D27C17">
            <w:pPr>
              <w:pStyle w:val="TableParagraph"/>
              <w:spacing w:line="221" w:lineRule="exact"/>
              <w:ind w:left="127"/>
              <w:rPr>
                <w:b/>
                <w:sz w:val="20"/>
              </w:rPr>
            </w:pPr>
            <w:r>
              <w:rPr>
                <w:b/>
                <w:sz w:val="20"/>
              </w:rPr>
              <w:t>Key Brands</w:t>
            </w:r>
          </w:p>
        </w:tc>
        <w:tc>
          <w:tcPr>
            <w:tcW w:w="3886" w:type="dxa"/>
            <w:tcBorders>
              <w:bottom w:val="single" w:sz="8" w:space="0" w:color="000000"/>
            </w:tcBorders>
          </w:tcPr>
          <w:p w14:paraId="7326B8F5" w14:textId="77777777" w:rsidR="00EF3DFB" w:rsidRDefault="00D27C17">
            <w:pPr>
              <w:pStyle w:val="TableParagraph"/>
              <w:spacing w:line="221" w:lineRule="exact"/>
              <w:ind w:left="97"/>
              <w:rPr>
                <w:b/>
                <w:sz w:val="20"/>
              </w:rPr>
            </w:pPr>
            <w:r>
              <w:rPr>
                <w:b/>
                <w:sz w:val="20"/>
              </w:rPr>
              <w:t>Description of Primary Products</w:t>
            </w:r>
          </w:p>
        </w:tc>
      </w:tr>
      <w:tr w:rsidR="00EF3DFB" w14:paraId="7326B8FA" w14:textId="77777777">
        <w:trPr>
          <w:trHeight w:val="213"/>
        </w:trPr>
        <w:tc>
          <w:tcPr>
            <w:tcW w:w="2715" w:type="dxa"/>
            <w:tcBorders>
              <w:top w:val="single" w:sz="8" w:space="0" w:color="000000"/>
            </w:tcBorders>
            <w:shd w:val="clear" w:color="auto" w:fill="CCEDFF"/>
          </w:tcPr>
          <w:p w14:paraId="7326B8F7" w14:textId="77777777" w:rsidR="00EF3DFB" w:rsidRDefault="00D27C17">
            <w:pPr>
              <w:pStyle w:val="TableParagraph"/>
              <w:spacing w:line="194" w:lineRule="exact"/>
              <w:ind w:left="52"/>
              <w:rPr>
                <w:sz w:val="20"/>
              </w:rPr>
            </w:pPr>
            <w:r>
              <w:rPr>
                <w:sz w:val="20"/>
              </w:rPr>
              <w:t>Appliances and Cookware</w:t>
            </w:r>
          </w:p>
        </w:tc>
        <w:tc>
          <w:tcPr>
            <w:tcW w:w="4020" w:type="dxa"/>
            <w:tcBorders>
              <w:top w:val="single" w:sz="8" w:space="0" w:color="000000"/>
            </w:tcBorders>
            <w:shd w:val="clear" w:color="auto" w:fill="CCEDFF"/>
          </w:tcPr>
          <w:p w14:paraId="7326B8F8" w14:textId="77777777" w:rsidR="00EF3DFB" w:rsidRDefault="00D27C17">
            <w:pPr>
              <w:pStyle w:val="TableParagraph"/>
              <w:spacing w:line="194" w:lineRule="exact"/>
              <w:ind w:left="127"/>
              <w:rPr>
                <w:sz w:val="20"/>
              </w:rPr>
            </w:pPr>
            <w:r>
              <w:rPr>
                <w:sz w:val="20"/>
              </w:rPr>
              <w:t>Calphalon®, Crock-Pot®, Mr. Coffee®,</w:t>
            </w:r>
          </w:p>
        </w:tc>
        <w:tc>
          <w:tcPr>
            <w:tcW w:w="3886" w:type="dxa"/>
            <w:tcBorders>
              <w:top w:val="single" w:sz="8" w:space="0" w:color="000000"/>
            </w:tcBorders>
            <w:shd w:val="clear" w:color="auto" w:fill="CCEDFF"/>
          </w:tcPr>
          <w:p w14:paraId="7326B8F9" w14:textId="77777777" w:rsidR="00EF3DFB" w:rsidRDefault="00D27C17">
            <w:pPr>
              <w:pStyle w:val="TableParagraph"/>
              <w:spacing w:line="194" w:lineRule="exact"/>
              <w:ind w:left="97"/>
              <w:rPr>
                <w:sz w:val="20"/>
              </w:rPr>
            </w:pPr>
            <w:r>
              <w:rPr>
                <w:sz w:val="20"/>
              </w:rPr>
              <w:t>Household products, including kitchen</w:t>
            </w:r>
          </w:p>
        </w:tc>
      </w:tr>
      <w:tr w:rsidR="00EF3DFB" w14:paraId="7326B8FE" w14:textId="77777777">
        <w:trPr>
          <w:trHeight w:val="200"/>
        </w:trPr>
        <w:tc>
          <w:tcPr>
            <w:tcW w:w="2715" w:type="dxa"/>
            <w:shd w:val="clear" w:color="auto" w:fill="CCEDFF"/>
          </w:tcPr>
          <w:p w14:paraId="7326B8FB" w14:textId="77777777" w:rsidR="00EF3DFB" w:rsidRDefault="00EF3DFB">
            <w:pPr>
              <w:pStyle w:val="TableParagraph"/>
              <w:rPr>
                <w:sz w:val="12"/>
              </w:rPr>
            </w:pPr>
          </w:p>
        </w:tc>
        <w:tc>
          <w:tcPr>
            <w:tcW w:w="4020" w:type="dxa"/>
            <w:shd w:val="clear" w:color="auto" w:fill="CCEDFF"/>
          </w:tcPr>
          <w:p w14:paraId="7326B8FC" w14:textId="77777777" w:rsidR="00EF3DFB" w:rsidRDefault="00D27C17">
            <w:pPr>
              <w:pStyle w:val="TableParagraph"/>
              <w:spacing w:line="180" w:lineRule="exact"/>
              <w:ind w:left="127"/>
              <w:rPr>
                <w:sz w:val="20"/>
              </w:rPr>
            </w:pPr>
            <w:r>
              <w:rPr>
                <w:sz w:val="20"/>
              </w:rPr>
              <w:t>Oster® and Sunbeam®</w:t>
            </w:r>
          </w:p>
        </w:tc>
        <w:tc>
          <w:tcPr>
            <w:tcW w:w="3886" w:type="dxa"/>
            <w:shd w:val="clear" w:color="auto" w:fill="CCEDFF"/>
          </w:tcPr>
          <w:p w14:paraId="7326B8FD" w14:textId="77777777" w:rsidR="00EF3DFB" w:rsidRDefault="00D27C17">
            <w:pPr>
              <w:pStyle w:val="TableParagraph"/>
              <w:spacing w:line="180" w:lineRule="exact"/>
              <w:ind w:left="97"/>
              <w:rPr>
                <w:sz w:val="20"/>
              </w:rPr>
            </w:pPr>
            <w:r>
              <w:rPr>
                <w:sz w:val="20"/>
              </w:rPr>
              <w:t>appliances, gourmet cookware, bakeware and</w:t>
            </w:r>
          </w:p>
        </w:tc>
      </w:tr>
      <w:tr w:rsidR="00EF3DFB" w14:paraId="7326B902" w14:textId="77777777">
        <w:trPr>
          <w:trHeight w:val="251"/>
        </w:trPr>
        <w:tc>
          <w:tcPr>
            <w:tcW w:w="2715" w:type="dxa"/>
            <w:shd w:val="clear" w:color="auto" w:fill="CCEDFF"/>
          </w:tcPr>
          <w:p w14:paraId="7326B8FF" w14:textId="77777777" w:rsidR="00EF3DFB" w:rsidRDefault="00EF3DFB">
            <w:pPr>
              <w:pStyle w:val="TableParagraph"/>
              <w:rPr>
                <w:sz w:val="18"/>
              </w:rPr>
            </w:pPr>
          </w:p>
        </w:tc>
        <w:tc>
          <w:tcPr>
            <w:tcW w:w="4020" w:type="dxa"/>
            <w:shd w:val="clear" w:color="auto" w:fill="CCEDFF"/>
          </w:tcPr>
          <w:p w14:paraId="7326B900" w14:textId="77777777" w:rsidR="00EF3DFB" w:rsidRDefault="00EF3DFB">
            <w:pPr>
              <w:pStyle w:val="TableParagraph"/>
              <w:rPr>
                <w:sz w:val="18"/>
              </w:rPr>
            </w:pPr>
          </w:p>
        </w:tc>
        <w:tc>
          <w:tcPr>
            <w:tcW w:w="3886" w:type="dxa"/>
            <w:shd w:val="clear" w:color="auto" w:fill="CCEDFF"/>
          </w:tcPr>
          <w:p w14:paraId="7326B901" w14:textId="77777777" w:rsidR="00EF3DFB" w:rsidRDefault="00D27C17">
            <w:pPr>
              <w:pStyle w:val="TableParagraph"/>
              <w:spacing w:line="211" w:lineRule="exact"/>
              <w:ind w:left="97"/>
              <w:rPr>
                <w:sz w:val="20"/>
              </w:rPr>
            </w:pPr>
            <w:r>
              <w:rPr>
                <w:sz w:val="20"/>
              </w:rPr>
              <w:t>cutlery</w:t>
            </w:r>
          </w:p>
        </w:tc>
      </w:tr>
      <w:tr w:rsidR="00EF3DFB" w14:paraId="7326B906" w14:textId="77777777">
        <w:trPr>
          <w:trHeight w:val="223"/>
        </w:trPr>
        <w:tc>
          <w:tcPr>
            <w:tcW w:w="2715" w:type="dxa"/>
          </w:tcPr>
          <w:p w14:paraId="7326B903" w14:textId="77777777" w:rsidR="00EF3DFB" w:rsidRDefault="00D27C17">
            <w:pPr>
              <w:pStyle w:val="TableParagraph"/>
              <w:spacing w:before="4" w:line="199" w:lineRule="exact"/>
              <w:ind w:left="52"/>
              <w:rPr>
                <w:sz w:val="20"/>
              </w:rPr>
            </w:pPr>
            <w:r>
              <w:rPr>
                <w:sz w:val="20"/>
              </w:rPr>
              <w:t>Commercial Solutions</w:t>
            </w:r>
          </w:p>
        </w:tc>
        <w:tc>
          <w:tcPr>
            <w:tcW w:w="4020" w:type="dxa"/>
          </w:tcPr>
          <w:p w14:paraId="7326B904" w14:textId="77777777" w:rsidR="00EF3DFB" w:rsidRDefault="00D27C17">
            <w:pPr>
              <w:pStyle w:val="TableParagraph"/>
              <w:spacing w:before="4" w:line="199" w:lineRule="exact"/>
              <w:ind w:left="127"/>
              <w:rPr>
                <w:sz w:val="20"/>
              </w:rPr>
            </w:pPr>
            <w:r>
              <w:rPr>
                <w:sz w:val="20"/>
              </w:rPr>
              <w:t>BRK®, First Alert®, Mapa®, Quickie®,</w:t>
            </w:r>
          </w:p>
        </w:tc>
        <w:tc>
          <w:tcPr>
            <w:tcW w:w="3886" w:type="dxa"/>
          </w:tcPr>
          <w:p w14:paraId="7326B905" w14:textId="77777777" w:rsidR="00EF3DFB" w:rsidRDefault="00D27C17">
            <w:pPr>
              <w:pStyle w:val="TableParagraph"/>
              <w:spacing w:before="4" w:line="199" w:lineRule="exact"/>
              <w:ind w:left="97"/>
              <w:rPr>
                <w:sz w:val="20"/>
              </w:rPr>
            </w:pPr>
            <w:r>
              <w:rPr>
                <w:sz w:val="20"/>
              </w:rPr>
              <w:t>Commercial cleaning and maintenance</w:t>
            </w:r>
          </w:p>
        </w:tc>
      </w:tr>
      <w:tr w:rsidR="00EF3DFB" w14:paraId="7326B90A" w14:textId="77777777">
        <w:trPr>
          <w:trHeight w:val="200"/>
        </w:trPr>
        <w:tc>
          <w:tcPr>
            <w:tcW w:w="2715" w:type="dxa"/>
          </w:tcPr>
          <w:p w14:paraId="7326B907" w14:textId="77777777" w:rsidR="00EF3DFB" w:rsidRDefault="00EF3DFB">
            <w:pPr>
              <w:pStyle w:val="TableParagraph"/>
              <w:rPr>
                <w:sz w:val="12"/>
              </w:rPr>
            </w:pPr>
          </w:p>
        </w:tc>
        <w:tc>
          <w:tcPr>
            <w:tcW w:w="4020" w:type="dxa"/>
          </w:tcPr>
          <w:p w14:paraId="7326B908" w14:textId="77777777" w:rsidR="00EF3DFB" w:rsidRDefault="00D27C17">
            <w:pPr>
              <w:pStyle w:val="TableParagraph"/>
              <w:spacing w:line="180" w:lineRule="exact"/>
              <w:ind w:left="127"/>
              <w:rPr>
                <w:sz w:val="20"/>
              </w:rPr>
            </w:pPr>
            <w:r>
              <w:rPr>
                <w:sz w:val="20"/>
              </w:rPr>
              <w:t>Rubbermaid®, Rubbermaid Commercial</w:t>
            </w:r>
          </w:p>
        </w:tc>
        <w:tc>
          <w:tcPr>
            <w:tcW w:w="3886" w:type="dxa"/>
          </w:tcPr>
          <w:p w14:paraId="7326B909" w14:textId="77777777" w:rsidR="00EF3DFB" w:rsidRDefault="00D27C17">
            <w:pPr>
              <w:pStyle w:val="TableParagraph"/>
              <w:spacing w:line="180" w:lineRule="exact"/>
              <w:ind w:left="97"/>
              <w:rPr>
                <w:sz w:val="20"/>
              </w:rPr>
            </w:pPr>
            <w:r>
              <w:rPr>
                <w:sz w:val="20"/>
              </w:rPr>
              <w:t>solutions; closet and garage organization;</w:t>
            </w:r>
          </w:p>
        </w:tc>
      </w:tr>
      <w:tr w:rsidR="00EF3DFB" w14:paraId="7326B90E" w14:textId="77777777">
        <w:trPr>
          <w:trHeight w:val="200"/>
        </w:trPr>
        <w:tc>
          <w:tcPr>
            <w:tcW w:w="2715" w:type="dxa"/>
          </w:tcPr>
          <w:p w14:paraId="7326B90B" w14:textId="77777777" w:rsidR="00EF3DFB" w:rsidRDefault="00EF3DFB">
            <w:pPr>
              <w:pStyle w:val="TableParagraph"/>
              <w:rPr>
                <w:sz w:val="12"/>
              </w:rPr>
            </w:pPr>
          </w:p>
        </w:tc>
        <w:tc>
          <w:tcPr>
            <w:tcW w:w="4020" w:type="dxa"/>
          </w:tcPr>
          <w:p w14:paraId="7326B90C" w14:textId="77777777" w:rsidR="00EF3DFB" w:rsidRDefault="00D27C17">
            <w:pPr>
              <w:pStyle w:val="TableParagraph"/>
              <w:spacing w:line="180" w:lineRule="exact"/>
              <w:ind w:left="127"/>
              <w:rPr>
                <w:sz w:val="20"/>
              </w:rPr>
            </w:pPr>
            <w:r>
              <w:rPr>
                <w:sz w:val="20"/>
              </w:rPr>
              <w:t>Products®, and Spontex®</w:t>
            </w:r>
          </w:p>
        </w:tc>
        <w:tc>
          <w:tcPr>
            <w:tcW w:w="3886" w:type="dxa"/>
          </w:tcPr>
          <w:p w14:paraId="7326B90D" w14:textId="77777777" w:rsidR="00EF3DFB" w:rsidRDefault="00D27C17">
            <w:pPr>
              <w:pStyle w:val="TableParagraph"/>
              <w:spacing w:line="180" w:lineRule="exact"/>
              <w:ind w:left="97"/>
              <w:rPr>
                <w:sz w:val="20"/>
              </w:rPr>
            </w:pPr>
            <w:r>
              <w:rPr>
                <w:sz w:val="20"/>
              </w:rPr>
              <w:t>hygiene systems and material handling</w:t>
            </w:r>
          </w:p>
        </w:tc>
      </w:tr>
      <w:tr w:rsidR="00EF3DFB" w14:paraId="7326B912" w14:textId="77777777">
        <w:trPr>
          <w:trHeight w:val="200"/>
        </w:trPr>
        <w:tc>
          <w:tcPr>
            <w:tcW w:w="2715" w:type="dxa"/>
          </w:tcPr>
          <w:p w14:paraId="7326B90F" w14:textId="77777777" w:rsidR="00EF3DFB" w:rsidRDefault="00EF3DFB">
            <w:pPr>
              <w:pStyle w:val="TableParagraph"/>
              <w:rPr>
                <w:sz w:val="12"/>
              </w:rPr>
            </w:pPr>
          </w:p>
        </w:tc>
        <w:tc>
          <w:tcPr>
            <w:tcW w:w="4020" w:type="dxa"/>
          </w:tcPr>
          <w:p w14:paraId="7326B910" w14:textId="77777777" w:rsidR="00EF3DFB" w:rsidRDefault="00EF3DFB">
            <w:pPr>
              <w:pStyle w:val="TableParagraph"/>
              <w:rPr>
                <w:sz w:val="12"/>
              </w:rPr>
            </w:pPr>
          </w:p>
        </w:tc>
        <w:tc>
          <w:tcPr>
            <w:tcW w:w="3886" w:type="dxa"/>
          </w:tcPr>
          <w:p w14:paraId="7326B911" w14:textId="77777777" w:rsidR="00EF3DFB" w:rsidRDefault="00D27C17">
            <w:pPr>
              <w:pStyle w:val="TableParagraph"/>
              <w:spacing w:line="180" w:lineRule="exact"/>
              <w:ind w:left="97"/>
              <w:rPr>
                <w:sz w:val="20"/>
              </w:rPr>
            </w:pPr>
            <w:r>
              <w:rPr>
                <w:sz w:val="20"/>
              </w:rPr>
              <w:t>solutions; connected home and security and</w:t>
            </w:r>
          </w:p>
        </w:tc>
      </w:tr>
      <w:tr w:rsidR="00EF3DFB" w14:paraId="7326B916" w14:textId="77777777">
        <w:trPr>
          <w:trHeight w:val="241"/>
        </w:trPr>
        <w:tc>
          <w:tcPr>
            <w:tcW w:w="2715" w:type="dxa"/>
          </w:tcPr>
          <w:p w14:paraId="7326B913" w14:textId="77777777" w:rsidR="00EF3DFB" w:rsidRDefault="00EF3DFB">
            <w:pPr>
              <w:pStyle w:val="TableParagraph"/>
              <w:rPr>
                <w:sz w:val="16"/>
              </w:rPr>
            </w:pPr>
          </w:p>
        </w:tc>
        <w:tc>
          <w:tcPr>
            <w:tcW w:w="4020" w:type="dxa"/>
          </w:tcPr>
          <w:p w14:paraId="7326B914" w14:textId="77777777" w:rsidR="00EF3DFB" w:rsidRDefault="00EF3DFB">
            <w:pPr>
              <w:pStyle w:val="TableParagraph"/>
              <w:rPr>
                <w:sz w:val="16"/>
              </w:rPr>
            </w:pPr>
          </w:p>
        </w:tc>
        <w:tc>
          <w:tcPr>
            <w:tcW w:w="3886" w:type="dxa"/>
          </w:tcPr>
          <w:p w14:paraId="7326B915" w14:textId="77777777" w:rsidR="00EF3DFB" w:rsidRDefault="00D27C17">
            <w:pPr>
              <w:pStyle w:val="TableParagraph"/>
              <w:spacing w:line="211" w:lineRule="exact"/>
              <w:ind w:left="97"/>
              <w:rPr>
                <w:sz w:val="20"/>
              </w:rPr>
            </w:pPr>
            <w:r>
              <w:rPr>
                <w:sz w:val="20"/>
              </w:rPr>
              <w:t>smoke and carbon monoxide alarms</w:t>
            </w:r>
          </w:p>
        </w:tc>
      </w:tr>
      <w:tr w:rsidR="00EF3DFB" w14:paraId="7326B91A" w14:textId="77777777">
        <w:trPr>
          <w:trHeight w:val="223"/>
        </w:trPr>
        <w:tc>
          <w:tcPr>
            <w:tcW w:w="2715" w:type="dxa"/>
            <w:shd w:val="clear" w:color="auto" w:fill="CCEDFF"/>
          </w:tcPr>
          <w:p w14:paraId="7326B917" w14:textId="77777777" w:rsidR="00EF3DFB" w:rsidRDefault="00D27C17">
            <w:pPr>
              <w:pStyle w:val="TableParagraph"/>
              <w:spacing w:before="4" w:line="199" w:lineRule="exact"/>
              <w:ind w:left="52"/>
              <w:rPr>
                <w:sz w:val="20"/>
              </w:rPr>
            </w:pPr>
            <w:r>
              <w:rPr>
                <w:sz w:val="20"/>
              </w:rPr>
              <w:t>Home Solutions</w:t>
            </w:r>
          </w:p>
        </w:tc>
        <w:tc>
          <w:tcPr>
            <w:tcW w:w="4020" w:type="dxa"/>
            <w:shd w:val="clear" w:color="auto" w:fill="CCEDFF"/>
          </w:tcPr>
          <w:p w14:paraId="7326B918" w14:textId="77777777" w:rsidR="00EF3DFB" w:rsidRDefault="00D27C17">
            <w:pPr>
              <w:pStyle w:val="TableParagraph"/>
              <w:spacing w:before="4" w:line="199" w:lineRule="exact"/>
              <w:ind w:left="127"/>
              <w:rPr>
                <w:sz w:val="20"/>
              </w:rPr>
            </w:pPr>
            <w:r>
              <w:rPr>
                <w:sz w:val="20"/>
              </w:rPr>
              <w:t>Ball® (1), Chesapeake Bay Candle®,</w:t>
            </w:r>
          </w:p>
        </w:tc>
        <w:tc>
          <w:tcPr>
            <w:tcW w:w="3886" w:type="dxa"/>
            <w:shd w:val="clear" w:color="auto" w:fill="CCEDFF"/>
          </w:tcPr>
          <w:p w14:paraId="7326B919" w14:textId="77777777" w:rsidR="00EF3DFB" w:rsidRDefault="00D27C17">
            <w:pPr>
              <w:pStyle w:val="TableParagraph"/>
              <w:spacing w:before="4" w:line="199" w:lineRule="exact"/>
              <w:ind w:left="97"/>
              <w:rPr>
                <w:sz w:val="20"/>
              </w:rPr>
            </w:pPr>
            <w:r>
              <w:rPr>
                <w:sz w:val="20"/>
              </w:rPr>
              <w:t>Food and home storage products; fresh</w:t>
            </w:r>
          </w:p>
        </w:tc>
      </w:tr>
      <w:tr w:rsidR="00EF3DFB" w14:paraId="7326B91E" w14:textId="77777777">
        <w:trPr>
          <w:trHeight w:val="200"/>
        </w:trPr>
        <w:tc>
          <w:tcPr>
            <w:tcW w:w="2715" w:type="dxa"/>
            <w:shd w:val="clear" w:color="auto" w:fill="CCEDFF"/>
          </w:tcPr>
          <w:p w14:paraId="7326B91B" w14:textId="77777777" w:rsidR="00EF3DFB" w:rsidRDefault="00EF3DFB">
            <w:pPr>
              <w:pStyle w:val="TableParagraph"/>
              <w:rPr>
                <w:sz w:val="12"/>
              </w:rPr>
            </w:pPr>
          </w:p>
        </w:tc>
        <w:tc>
          <w:tcPr>
            <w:tcW w:w="4020" w:type="dxa"/>
            <w:shd w:val="clear" w:color="auto" w:fill="CCEDFF"/>
          </w:tcPr>
          <w:p w14:paraId="7326B91C" w14:textId="77777777" w:rsidR="00EF3DFB" w:rsidRDefault="00D27C17">
            <w:pPr>
              <w:pStyle w:val="TableParagraph"/>
              <w:spacing w:line="180" w:lineRule="exact"/>
              <w:ind w:left="127"/>
              <w:rPr>
                <w:sz w:val="20"/>
              </w:rPr>
            </w:pPr>
            <w:r>
              <w:rPr>
                <w:sz w:val="20"/>
              </w:rPr>
              <w:t>FoodSaver®, Rubbermaid®, Sistema®,</w:t>
            </w:r>
          </w:p>
        </w:tc>
        <w:tc>
          <w:tcPr>
            <w:tcW w:w="3886" w:type="dxa"/>
            <w:shd w:val="clear" w:color="auto" w:fill="CCEDFF"/>
          </w:tcPr>
          <w:p w14:paraId="7326B91D" w14:textId="77777777" w:rsidR="00EF3DFB" w:rsidRDefault="00D27C17">
            <w:pPr>
              <w:pStyle w:val="TableParagraph"/>
              <w:spacing w:line="180" w:lineRule="exact"/>
              <w:ind w:left="97"/>
              <w:rPr>
                <w:sz w:val="20"/>
              </w:rPr>
            </w:pPr>
            <w:r>
              <w:rPr>
                <w:sz w:val="20"/>
              </w:rPr>
              <w:t>preserving products, vacuum sealing products</w:t>
            </w:r>
          </w:p>
        </w:tc>
      </w:tr>
      <w:tr w:rsidR="00EF3DFB" w14:paraId="7326B922" w14:textId="77777777">
        <w:trPr>
          <w:trHeight w:val="281"/>
        </w:trPr>
        <w:tc>
          <w:tcPr>
            <w:tcW w:w="2715" w:type="dxa"/>
            <w:shd w:val="clear" w:color="auto" w:fill="CCEDFF"/>
          </w:tcPr>
          <w:p w14:paraId="7326B91F" w14:textId="77777777" w:rsidR="00EF3DFB" w:rsidRDefault="00EF3DFB">
            <w:pPr>
              <w:pStyle w:val="TableParagraph"/>
              <w:rPr>
                <w:sz w:val="18"/>
              </w:rPr>
            </w:pPr>
          </w:p>
        </w:tc>
        <w:tc>
          <w:tcPr>
            <w:tcW w:w="4020" w:type="dxa"/>
            <w:shd w:val="clear" w:color="auto" w:fill="CCEDFF"/>
          </w:tcPr>
          <w:p w14:paraId="7326B920" w14:textId="77777777" w:rsidR="00EF3DFB" w:rsidRDefault="00D27C17">
            <w:pPr>
              <w:pStyle w:val="TableParagraph"/>
              <w:spacing w:line="211" w:lineRule="exact"/>
              <w:ind w:left="127"/>
              <w:rPr>
                <w:sz w:val="20"/>
              </w:rPr>
            </w:pPr>
            <w:r>
              <w:rPr>
                <w:sz w:val="20"/>
              </w:rPr>
              <w:t>WoodWick® and Yankee Candle®</w:t>
            </w:r>
          </w:p>
        </w:tc>
        <w:tc>
          <w:tcPr>
            <w:tcW w:w="3886" w:type="dxa"/>
            <w:shd w:val="clear" w:color="auto" w:fill="CCEDFF"/>
          </w:tcPr>
          <w:p w14:paraId="7326B921" w14:textId="77777777" w:rsidR="00EF3DFB" w:rsidRDefault="00D27C17">
            <w:pPr>
              <w:pStyle w:val="TableParagraph"/>
              <w:spacing w:line="211" w:lineRule="exact"/>
              <w:ind w:left="97"/>
              <w:rPr>
                <w:sz w:val="20"/>
              </w:rPr>
            </w:pPr>
            <w:r>
              <w:rPr>
                <w:sz w:val="20"/>
              </w:rPr>
              <w:t>and home fragrance products</w:t>
            </w:r>
          </w:p>
        </w:tc>
      </w:tr>
      <w:tr w:rsidR="00EF3DFB" w14:paraId="7326B926" w14:textId="77777777">
        <w:trPr>
          <w:trHeight w:val="223"/>
        </w:trPr>
        <w:tc>
          <w:tcPr>
            <w:tcW w:w="2715" w:type="dxa"/>
          </w:tcPr>
          <w:p w14:paraId="7326B923" w14:textId="77777777" w:rsidR="00EF3DFB" w:rsidRDefault="00D27C17">
            <w:pPr>
              <w:pStyle w:val="TableParagraph"/>
              <w:spacing w:before="4" w:line="199" w:lineRule="exact"/>
              <w:ind w:left="52"/>
              <w:rPr>
                <w:sz w:val="20"/>
              </w:rPr>
            </w:pPr>
            <w:r>
              <w:rPr>
                <w:sz w:val="20"/>
              </w:rPr>
              <w:t>Learning and Development</w:t>
            </w:r>
          </w:p>
        </w:tc>
        <w:tc>
          <w:tcPr>
            <w:tcW w:w="4020" w:type="dxa"/>
          </w:tcPr>
          <w:p w14:paraId="7326B924" w14:textId="77777777" w:rsidR="00EF3DFB" w:rsidRDefault="00D27C17">
            <w:pPr>
              <w:pStyle w:val="TableParagraph"/>
              <w:spacing w:before="4" w:line="199" w:lineRule="exact"/>
              <w:ind w:left="127"/>
              <w:rPr>
                <w:sz w:val="20"/>
              </w:rPr>
            </w:pPr>
            <w:r>
              <w:rPr>
                <w:sz w:val="20"/>
              </w:rPr>
              <w:t>Aprica®, Baby Jogger®, Dymo®, Elmer’s®,</w:t>
            </w:r>
          </w:p>
        </w:tc>
        <w:tc>
          <w:tcPr>
            <w:tcW w:w="3886" w:type="dxa"/>
          </w:tcPr>
          <w:p w14:paraId="7326B925" w14:textId="77777777" w:rsidR="00EF3DFB" w:rsidRDefault="00D27C17">
            <w:pPr>
              <w:pStyle w:val="TableParagraph"/>
              <w:spacing w:before="4" w:line="199" w:lineRule="exact"/>
              <w:ind w:left="97"/>
              <w:rPr>
                <w:sz w:val="20"/>
              </w:rPr>
            </w:pPr>
            <w:r>
              <w:rPr>
                <w:sz w:val="20"/>
              </w:rPr>
              <w:t>Baby gear and infant care products; writing</w:t>
            </w:r>
          </w:p>
        </w:tc>
      </w:tr>
      <w:tr w:rsidR="00EF3DFB" w14:paraId="7326B92A" w14:textId="77777777">
        <w:trPr>
          <w:trHeight w:val="200"/>
        </w:trPr>
        <w:tc>
          <w:tcPr>
            <w:tcW w:w="2715" w:type="dxa"/>
          </w:tcPr>
          <w:p w14:paraId="7326B927" w14:textId="77777777" w:rsidR="00EF3DFB" w:rsidRDefault="00EF3DFB">
            <w:pPr>
              <w:pStyle w:val="TableParagraph"/>
              <w:rPr>
                <w:sz w:val="12"/>
              </w:rPr>
            </w:pPr>
          </w:p>
        </w:tc>
        <w:tc>
          <w:tcPr>
            <w:tcW w:w="4020" w:type="dxa"/>
          </w:tcPr>
          <w:p w14:paraId="7326B928" w14:textId="77777777" w:rsidR="00EF3DFB" w:rsidRDefault="00D27C17">
            <w:pPr>
              <w:pStyle w:val="TableParagraph"/>
              <w:spacing w:line="180" w:lineRule="exact"/>
              <w:ind w:left="127"/>
              <w:rPr>
                <w:sz w:val="20"/>
              </w:rPr>
            </w:pPr>
            <w:r>
              <w:rPr>
                <w:sz w:val="20"/>
              </w:rPr>
              <w:t>EXPO®, Graco®, Mr. Sketch®, NUK®, Paper</w:t>
            </w:r>
          </w:p>
        </w:tc>
        <w:tc>
          <w:tcPr>
            <w:tcW w:w="3886" w:type="dxa"/>
          </w:tcPr>
          <w:p w14:paraId="7326B929" w14:textId="77777777" w:rsidR="00EF3DFB" w:rsidRDefault="00D27C17">
            <w:pPr>
              <w:pStyle w:val="TableParagraph"/>
              <w:spacing w:line="180" w:lineRule="exact"/>
              <w:ind w:left="97"/>
              <w:rPr>
                <w:sz w:val="20"/>
              </w:rPr>
            </w:pPr>
            <w:r>
              <w:rPr>
                <w:sz w:val="20"/>
              </w:rPr>
              <w:t>instruments, including markers and</w:t>
            </w:r>
          </w:p>
        </w:tc>
      </w:tr>
      <w:tr w:rsidR="00EF3DFB" w14:paraId="7326B92E" w14:textId="77777777">
        <w:trPr>
          <w:trHeight w:val="200"/>
        </w:trPr>
        <w:tc>
          <w:tcPr>
            <w:tcW w:w="2715" w:type="dxa"/>
          </w:tcPr>
          <w:p w14:paraId="7326B92B" w14:textId="77777777" w:rsidR="00EF3DFB" w:rsidRDefault="00EF3DFB">
            <w:pPr>
              <w:pStyle w:val="TableParagraph"/>
              <w:rPr>
                <w:sz w:val="12"/>
              </w:rPr>
            </w:pPr>
          </w:p>
        </w:tc>
        <w:tc>
          <w:tcPr>
            <w:tcW w:w="4020" w:type="dxa"/>
          </w:tcPr>
          <w:p w14:paraId="7326B92C" w14:textId="77777777" w:rsidR="00EF3DFB" w:rsidRDefault="00D27C17">
            <w:pPr>
              <w:pStyle w:val="TableParagraph"/>
              <w:spacing w:line="180" w:lineRule="exact"/>
              <w:ind w:left="127"/>
              <w:rPr>
                <w:sz w:val="20"/>
              </w:rPr>
            </w:pPr>
            <w:r>
              <w:rPr>
                <w:sz w:val="20"/>
              </w:rPr>
              <w:t>Mate®, Parker®, Prismacolor®, Sharpie®,</w:t>
            </w:r>
          </w:p>
        </w:tc>
        <w:tc>
          <w:tcPr>
            <w:tcW w:w="3886" w:type="dxa"/>
          </w:tcPr>
          <w:p w14:paraId="7326B92D" w14:textId="77777777" w:rsidR="00EF3DFB" w:rsidRDefault="00D27C17">
            <w:pPr>
              <w:pStyle w:val="TableParagraph"/>
              <w:spacing w:line="180" w:lineRule="exact"/>
              <w:ind w:left="97"/>
              <w:rPr>
                <w:sz w:val="20"/>
              </w:rPr>
            </w:pPr>
            <w:r>
              <w:rPr>
                <w:sz w:val="20"/>
              </w:rPr>
              <w:t>highlighters, pens and pencils; art products;</w:t>
            </w:r>
          </w:p>
        </w:tc>
      </w:tr>
      <w:tr w:rsidR="00EF3DFB" w14:paraId="7326B932" w14:textId="77777777">
        <w:trPr>
          <w:trHeight w:val="200"/>
        </w:trPr>
        <w:tc>
          <w:tcPr>
            <w:tcW w:w="2715" w:type="dxa"/>
          </w:tcPr>
          <w:p w14:paraId="7326B92F" w14:textId="77777777" w:rsidR="00EF3DFB" w:rsidRDefault="00EF3DFB">
            <w:pPr>
              <w:pStyle w:val="TableParagraph"/>
              <w:rPr>
                <w:sz w:val="12"/>
              </w:rPr>
            </w:pPr>
          </w:p>
        </w:tc>
        <w:tc>
          <w:tcPr>
            <w:tcW w:w="4020" w:type="dxa"/>
          </w:tcPr>
          <w:p w14:paraId="7326B930" w14:textId="77777777" w:rsidR="00EF3DFB" w:rsidRDefault="00D27C17">
            <w:pPr>
              <w:pStyle w:val="TableParagraph"/>
              <w:spacing w:line="180" w:lineRule="exact"/>
              <w:ind w:left="127"/>
              <w:rPr>
                <w:sz w:val="20"/>
              </w:rPr>
            </w:pPr>
            <w:r>
              <w:rPr>
                <w:sz w:val="20"/>
              </w:rPr>
              <w:t>Tigex® Waterman® and X-Acto®</w:t>
            </w:r>
          </w:p>
        </w:tc>
        <w:tc>
          <w:tcPr>
            <w:tcW w:w="3886" w:type="dxa"/>
          </w:tcPr>
          <w:p w14:paraId="7326B931" w14:textId="77777777" w:rsidR="00EF3DFB" w:rsidRDefault="00D27C17">
            <w:pPr>
              <w:pStyle w:val="TableParagraph"/>
              <w:spacing w:line="180" w:lineRule="exact"/>
              <w:ind w:left="97"/>
              <w:rPr>
                <w:sz w:val="20"/>
              </w:rPr>
            </w:pPr>
            <w:r>
              <w:rPr>
                <w:sz w:val="20"/>
              </w:rPr>
              <w:t>activity-based adhesive and cutting products</w:t>
            </w:r>
          </w:p>
        </w:tc>
      </w:tr>
      <w:tr w:rsidR="00EF3DFB" w14:paraId="7326B936" w14:textId="77777777">
        <w:trPr>
          <w:trHeight w:val="241"/>
        </w:trPr>
        <w:tc>
          <w:tcPr>
            <w:tcW w:w="2715" w:type="dxa"/>
          </w:tcPr>
          <w:p w14:paraId="7326B933" w14:textId="77777777" w:rsidR="00EF3DFB" w:rsidRDefault="00EF3DFB">
            <w:pPr>
              <w:pStyle w:val="TableParagraph"/>
              <w:rPr>
                <w:sz w:val="16"/>
              </w:rPr>
            </w:pPr>
          </w:p>
        </w:tc>
        <w:tc>
          <w:tcPr>
            <w:tcW w:w="4020" w:type="dxa"/>
          </w:tcPr>
          <w:p w14:paraId="7326B934" w14:textId="77777777" w:rsidR="00EF3DFB" w:rsidRDefault="00EF3DFB">
            <w:pPr>
              <w:pStyle w:val="TableParagraph"/>
              <w:rPr>
                <w:sz w:val="16"/>
              </w:rPr>
            </w:pPr>
          </w:p>
        </w:tc>
        <w:tc>
          <w:tcPr>
            <w:tcW w:w="3886" w:type="dxa"/>
          </w:tcPr>
          <w:p w14:paraId="7326B935" w14:textId="77777777" w:rsidR="00EF3DFB" w:rsidRDefault="00D27C17">
            <w:pPr>
              <w:pStyle w:val="TableParagraph"/>
              <w:spacing w:line="211" w:lineRule="exact"/>
              <w:ind w:left="97"/>
              <w:rPr>
                <w:sz w:val="20"/>
              </w:rPr>
            </w:pPr>
            <w:r>
              <w:rPr>
                <w:sz w:val="20"/>
              </w:rPr>
              <w:t>and labeling s</w:t>
            </w:r>
            <w:r>
              <w:rPr>
                <w:sz w:val="20"/>
              </w:rPr>
              <w:t>olutions</w:t>
            </w:r>
          </w:p>
        </w:tc>
      </w:tr>
      <w:tr w:rsidR="00EF3DFB" w14:paraId="7326B93A" w14:textId="77777777">
        <w:trPr>
          <w:trHeight w:val="223"/>
        </w:trPr>
        <w:tc>
          <w:tcPr>
            <w:tcW w:w="2715" w:type="dxa"/>
            <w:shd w:val="clear" w:color="auto" w:fill="CCEDFF"/>
          </w:tcPr>
          <w:p w14:paraId="7326B937" w14:textId="77777777" w:rsidR="00EF3DFB" w:rsidRDefault="00D27C17">
            <w:pPr>
              <w:pStyle w:val="TableParagraph"/>
              <w:spacing w:before="4" w:line="199" w:lineRule="exact"/>
              <w:ind w:left="52"/>
              <w:rPr>
                <w:sz w:val="20"/>
              </w:rPr>
            </w:pPr>
            <w:r>
              <w:rPr>
                <w:sz w:val="20"/>
              </w:rPr>
              <w:t>Outdoor and Recreation</w:t>
            </w:r>
          </w:p>
        </w:tc>
        <w:tc>
          <w:tcPr>
            <w:tcW w:w="4020" w:type="dxa"/>
            <w:shd w:val="clear" w:color="auto" w:fill="CCEDFF"/>
          </w:tcPr>
          <w:p w14:paraId="7326B938" w14:textId="77777777" w:rsidR="00EF3DFB" w:rsidRDefault="00D27C17">
            <w:pPr>
              <w:pStyle w:val="TableParagraph"/>
              <w:spacing w:before="4" w:line="199" w:lineRule="exact"/>
              <w:ind w:left="127"/>
              <w:rPr>
                <w:sz w:val="20"/>
              </w:rPr>
            </w:pPr>
            <w:r>
              <w:rPr>
                <w:sz w:val="20"/>
              </w:rPr>
              <w:t>Coleman®, Contigo®, ExOfficio®, Marmot®</w:t>
            </w:r>
          </w:p>
        </w:tc>
        <w:tc>
          <w:tcPr>
            <w:tcW w:w="3886" w:type="dxa"/>
            <w:shd w:val="clear" w:color="auto" w:fill="CCEDFF"/>
          </w:tcPr>
          <w:p w14:paraId="7326B939" w14:textId="77777777" w:rsidR="00EF3DFB" w:rsidRDefault="00D27C17">
            <w:pPr>
              <w:pStyle w:val="TableParagraph"/>
              <w:spacing w:before="4" w:line="199" w:lineRule="exact"/>
              <w:ind w:left="97"/>
              <w:rPr>
                <w:sz w:val="20"/>
              </w:rPr>
            </w:pPr>
            <w:r>
              <w:rPr>
                <w:sz w:val="20"/>
              </w:rPr>
              <w:t>Products for outdoor and outdoor-related</w:t>
            </w:r>
          </w:p>
        </w:tc>
      </w:tr>
      <w:tr w:rsidR="00EF3DFB" w14:paraId="7326B93E" w14:textId="77777777">
        <w:trPr>
          <w:trHeight w:val="241"/>
        </w:trPr>
        <w:tc>
          <w:tcPr>
            <w:tcW w:w="2715" w:type="dxa"/>
            <w:shd w:val="clear" w:color="auto" w:fill="CCEDFF"/>
          </w:tcPr>
          <w:p w14:paraId="7326B93B" w14:textId="77777777" w:rsidR="00EF3DFB" w:rsidRDefault="00EF3DFB">
            <w:pPr>
              <w:pStyle w:val="TableParagraph"/>
              <w:rPr>
                <w:sz w:val="16"/>
              </w:rPr>
            </w:pPr>
          </w:p>
        </w:tc>
        <w:tc>
          <w:tcPr>
            <w:tcW w:w="4020" w:type="dxa"/>
            <w:shd w:val="clear" w:color="auto" w:fill="CCEDFF"/>
          </w:tcPr>
          <w:p w14:paraId="7326B93C" w14:textId="77777777" w:rsidR="00EF3DFB" w:rsidRDefault="00EF3DFB">
            <w:pPr>
              <w:pStyle w:val="TableParagraph"/>
              <w:rPr>
                <w:sz w:val="16"/>
              </w:rPr>
            </w:pPr>
          </w:p>
        </w:tc>
        <w:tc>
          <w:tcPr>
            <w:tcW w:w="3886" w:type="dxa"/>
            <w:shd w:val="clear" w:color="auto" w:fill="CCEDFF"/>
          </w:tcPr>
          <w:p w14:paraId="7326B93D" w14:textId="77777777" w:rsidR="00EF3DFB" w:rsidRDefault="00D27C17">
            <w:pPr>
              <w:pStyle w:val="TableParagraph"/>
              <w:spacing w:line="211" w:lineRule="exact"/>
              <w:ind w:left="97"/>
              <w:rPr>
                <w:sz w:val="20"/>
              </w:rPr>
            </w:pPr>
            <w:r>
              <w:rPr>
                <w:sz w:val="20"/>
              </w:rPr>
              <w:t>activities</w:t>
            </w:r>
          </w:p>
        </w:tc>
      </w:tr>
    </w:tbl>
    <w:p w14:paraId="7326B93F" w14:textId="77777777" w:rsidR="00EF3DFB" w:rsidRDefault="00EF3DFB">
      <w:pPr>
        <w:pStyle w:val="BodyText"/>
        <w:spacing w:before="4"/>
        <w:rPr>
          <w:sz w:val="22"/>
        </w:rPr>
      </w:pPr>
    </w:p>
    <w:p w14:paraId="7326B940" w14:textId="77777777" w:rsidR="00EF3DFB" w:rsidRDefault="00D27C17">
      <w:pPr>
        <w:pStyle w:val="ListParagraph"/>
        <w:numPr>
          <w:ilvl w:val="0"/>
          <w:numId w:val="30"/>
        </w:numPr>
        <w:tabs>
          <w:tab w:val="left" w:pos="911"/>
          <w:tab w:val="left" w:pos="912"/>
        </w:tabs>
        <w:spacing w:before="93"/>
        <w:ind w:hanging="721"/>
        <w:rPr>
          <w:sz w:val="16"/>
        </w:rPr>
      </w:pPr>
      <w:r>
        <w:rPr>
          <w:noProof/>
        </w:rPr>
        <w:drawing>
          <wp:anchor distT="0" distB="0" distL="0" distR="0" simplePos="0" relativeHeight="268023743" behindDoc="1" locked="0" layoutInCell="1" allowOverlap="1" wp14:anchorId="7326D6CB" wp14:editId="7326D6CC">
            <wp:simplePos x="0" y="0"/>
            <wp:positionH relativeFrom="page">
              <wp:posOffset>664463</wp:posOffset>
            </wp:positionH>
            <wp:positionV relativeFrom="paragraph">
              <wp:posOffset>-36591</wp:posOffset>
            </wp:positionV>
            <wp:extent cx="276224" cy="190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76224" cy="190500"/>
                    </a:xfrm>
                    <a:prstGeom prst="rect">
                      <a:avLst/>
                    </a:prstGeom>
                  </pic:spPr>
                </pic:pic>
              </a:graphicData>
            </a:graphic>
          </wp:anchor>
        </w:drawing>
      </w:r>
      <w:r>
        <w:rPr>
          <w:sz w:val="16"/>
        </w:rPr>
        <w:t>and Ball®, TMs Ball Corporation, used under</w:t>
      </w:r>
      <w:r>
        <w:rPr>
          <w:spacing w:val="-7"/>
          <w:sz w:val="16"/>
        </w:rPr>
        <w:t xml:space="preserve"> </w:t>
      </w:r>
      <w:r>
        <w:rPr>
          <w:sz w:val="16"/>
        </w:rPr>
        <w:t>license.</w:t>
      </w:r>
    </w:p>
    <w:p w14:paraId="7326B941" w14:textId="77777777" w:rsidR="00EF3DFB" w:rsidRDefault="00EF3DFB">
      <w:pPr>
        <w:pStyle w:val="BodyText"/>
        <w:spacing w:before="6"/>
        <w:rPr>
          <w:sz w:val="14"/>
        </w:rPr>
      </w:pPr>
    </w:p>
    <w:p w14:paraId="7326B942" w14:textId="77777777" w:rsidR="00EF3DFB" w:rsidRDefault="00D27C17">
      <w:pPr>
        <w:pStyle w:val="BodyText"/>
        <w:spacing w:before="92" w:line="249" w:lineRule="auto"/>
        <w:ind w:left="190" w:right="167"/>
        <w:jc w:val="both"/>
      </w:pPr>
      <w:r>
        <w:rPr>
          <w:color w:val="202528"/>
        </w:rPr>
        <w:t>This structure reflects the manner in which the chief operating decision maker regularly assesses information for decision-making purposes, including the allocation of resources. The Company also provides general corporate services to its segments which is</w:t>
      </w:r>
      <w:r>
        <w:rPr>
          <w:color w:val="202528"/>
        </w:rPr>
        <w:t xml:space="preserve"> reported as a non-operating segment, Corporate. See </w:t>
      </w:r>
      <w:r>
        <w:rPr>
          <w:i/>
          <w:color w:val="202528"/>
        </w:rPr>
        <w:t xml:space="preserve">Footnote 17 of the Notes to the Consolidated Financial Statements </w:t>
      </w:r>
      <w:r>
        <w:rPr>
          <w:color w:val="202528"/>
        </w:rPr>
        <w:t>for further information.</w:t>
      </w:r>
    </w:p>
    <w:p w14:paraId="7326B943" w14:textId="77777777" w:rsidR="00EF3DFB" w:rsidRDefault="00EF3DFB">
      <w:pPr>
        <w:pStyle w:val="BodyText"/>
        <w:spacing w:before="2"/>
        <w:rPr>
          <w:sz w:val="21"/>
        </w:rPr>
      </w:pPr>
    </w:p>
    <w:p w14:paraId="7326B944" w14:textId="77777777" w:rsidR="00EF3DFB" w:rsidRDefault="00D27C17">
      <w:pPr>
        <w:ind w:left="190"/>
        <w:jc w:val="both"/>
        <w:rPr>
          <w:i/>
          <w:sz w:val="20"/>
        </w:rPr>
      </w:pPr>
      <w:r>
        <w:rPr>
          <w:i/>
          <w:sz w:val="20"/>
        </w:rPr>
        <w:t>Appliances and Cookware</w:t>
      </w:r>
    </w:p>
    <w:p w14:paraId="7326B945" w14:textId="77777777" w:rsidR="00EF3DFB" w:rsidRDefault="00EF3DFB">
      <w:pPr>
        <w:pStyle w:val="BodyText"/>
        <w:spacing w:before="8"/>
        <w:rPr>
          <w:i/>
          <w:sz w:val="21"/>
        </w:rPr>
      </w:pPr>
    </w:p>
    <w:p w14:paraId="7326B946" w14:textId="77777777" w:rsidR="00EF3DFB" w:rsidRDefault="00D27C17">
      <w:pPr>
        <w:pStyle w:val="BodyText"/>
        <w:spacing w:line="249" w:lineRule="auto"/>
        <w:ind w:left="190" w:right="168"/>
        <w:jc w:val="both"/>
      </w:pPr>
      <w:r>
        <w:t>The Appliances and Cookware segment designs, manufactures, sources, markets and distri</w:t>
      </w:r>
      <w:r>
        <w:t>butes a diverse line of household products.</w:t>
      </w:r>
      <w:r>
        <w:rPr>
          <w:spacing w:val="-4"/>
        </w:rPr>
        <w:t xml:space="preserve"> </w:t>
      </w:r>
      <w:r>
        <w:t>Kitchen</w:t>
      </w:r>
      <w:r>
        <w:rPr>
          <w:spacing w:val="-4"/>
        </w:rPr>
        <w:t xml:space="preserve"> </w:t>
      </w:r>
      <w:r>
        <w:t>appliances</w:t>
      </w:r>
      <w:r>
        <w:rPr>
          <w:spacing w:val="-5"/>
        </w:rPr>
        <w:t xml:space="preserve"> </w:t>
      </w:r>
      <w:r>
        <w:t>are</w:t>
      </w:r>
      <w:r>
        <w:rPr>
          <w:spacing w:val="-5"/>
        </w:rPr>
        <w:t xml:space="preserve"> </w:t>
      </w:r>
      <w:r>
        <w:t>primarily</w:t>
      </w:r>
      <w:r>
        <w:rPr>
          <w:spacing w:val="-4"/>
        </w:rPr>
        <w:t xml:space="preserve"> </w:t>
      </w:r>
      <w:r>
        <w:t>sold</w:t>
      </w:r>
      <w:r>
        <w:rPr>
          <w:spacing w:val="-4"/>
        </w:rPr>
        <w:t xml:space="preserve"> </w:t>
      </w:r>
      <w:r>
        <w:t>under</w:t>
      </w:r>
      <w:r>
        <w:rPr>
          <w:spacing w:val="-4"/>
        </w:rPr>
        <w:t xml:space="preserve"> </w:t>
      </w:r>
      <w:r>
        <w:t>the</w:t>
      </w:r>
      <w:r>
        <w:rPr>
          <w:spacing w:val="-5"/>
        </w:rPr>
        <w:t xml:space="preserve"> </w:t>
      </w:r>
      <w:r>
        <w:t>Crock-Pot®,</w:t>
      </w:r>
      <w:r>
        <w:rPr>
          <w:spacing w:val="-4"/>
        </w:rPr>
        <w:t xml:space="preserve"> </w:t>
      </w:r>
      <w:r>
        <w:t>Mr.</w:t>
      </w:r>
      <w:r>
        <w:rPr>
          <w:spacing w:val="-4"/>
        </w:rPr>
        <w:t xml:space="preserve"> </w:t>
      </w:r>
      <w:r>
        <w:t>Coffee®,</w:t>
      </w:r>
      <w:r>
        <w:rPr>
          <w:spacing w:val="-4"/>
        </w:rPr>
        <w:t xml:space="preserve"> </w:t>
      </w:r>
      <w:r>
        <w:t>Oster®</w:t>
      </w:r>
      <w:r>
        <w:rPr>
          <w:spacing w:val="-5"/>
        </w:rPr>
        <w:t xml:space="preserve"> </w:t>
      </w:r>
      <w:r>
        <w:t>and</w:t>
      </w:r>
      <w:r>
        <w:rPr>
          <w:spacing w:val="-4"/>
        </w:rPr>
        <w:t xml:space="preserve"> </w:t>
      </w:r>
      <w:r>
        <w:t>Sunbeam®</w:t>
      </w:r>
      <w:r>
        <w:rPr>
          <w:spacing w:val="-5"/>
        </w:rPr>
        <w:t xml:space="preserve"> </w:t>
      </w:r>
      <w:r>
        <w:t>trademarks.</w:t>
      </w:r>
      <w:r>
        <w:rPr>
          <w:spacing w:val="-4"/>
        </w:rPr>
        <w:t xml:space="preserve"> </w:t>
      </w:r>
      <w:r>
        <w:t xml:space="preserve">Aluminum and stainless-steel cookware and bakeware are sold under the Calphalon® trademark. The Appliances </w:t>
      </w:r>
      <w:r>
        <w:t>and Cookware segment also has rights to sell various small appliance products in substantially all of Europe under the Breville® brand</w:t>
      </w:r>
      <w:r>
        <w:rPr>
          <w:spacing w:val="-27"/>
        </w:rPr>
        <w:t xml:space="preserve"> </w:t>
      </w:r>
      <w:r>
        <w:t>name.</w:t>
      </w:r>
    </w:p>
    <w:p w14:paraId="7326B947" w14:textId="77777777" w:rsidR="00EF3DFB" w:rsidRDefault="00EF3DFB">
      <w:pPr>
        <w:pStyle w:val="BodyText"/>
        <w:spacing w:before="2"/>
        <w:rPr>
          <w:sz w:val="21"/>
        </w:rPr>
      </w:pPr>
    </w:p>
    <w:p w14:paraId="7326B948" w14:textId="77777777" w:rsidR="00EF3DFB" w:rsidRDefault="00D27C17">
      <w:pPr>
        <w:pStyle w:val="BodyText"/>
        <w:spacing w:line="249" w:lineRule="auto"/>
        <w:ind w:left="190" w:right="169"/>
        <w:jc w:val="both"/>
      </w:pPr>
      <w:r>
        <w:t>The Appliances and Cookware segment primarily markets its products directly to warehouse clubs, department stores, drug/grocery stores, home centers, mass merchants, specialty retailers, distributors and e-commerce companies.</w:t>
      </w:r>
    </w:p>
    <w:p w14:paraId="7326B949" w14:textId="77777777" w:rsidR="00EF3DFB" w:rsidRDefault="00EF3DFB">
      <w:pPr>
        <w:pStyle w:val="BodyText"/>
        <w:rPr>
          <w:sz w:val="21"/>
        </w:rPr>
      </w:pPr>
    </w:p>
    <w:p w14:paraId="7326B94A" w14:textId="77777777" w:rsidR="00EF3DFB" w:rsidRDefault="00D27C17">
      <w:pPr>
        <w:spacing w:before="1"/>
        <w:ind w:left="190"/>
        <w:jc w:val="both"/>
        <w:rPr>
          <w:i/>
          <w:sz w:val="20"/>
        </w:rPr>
      </w:pPr>
      <w:r>
        <w:rPr>
          <w:i/>
          <w:sz w:val="20"/>
        </w:rPr>
        <w:t>Commercial Solutions</w:t>
      </w:r>
    </w:p>
    <w:p w14:paraId="7326B94B" w14:textId="77777777" w:rsidR="00EF3DFB" w:rsidRDefault="00EF3DFB">
      <w:pPr>
        <w:pStyle w:val="BodyText"/>
        <w:spacing w:before="8"/>
        <w:rPr>
          <w:i/>
          <w:sz w:val="21"/>
        </w:rPr>
      </w:pPr>
    </w:p>
    <w:p w14:paraId="7326B94C" w14:textId="77777777" w:rsidR="00EF3DFB" w:rsidRDefault="00D27C17">
      <w:pPr>
        <w:pStyle w:val="BodyText"/>
        <w:spacing w:line="249" w:lineRule="auto"/>
        <w:ind w:left="190" w:right="169"/>
        <w:jc w:val="both"/>
      </w:pPr>
      <w:r>
        <w:t>The Com</w:t>
      </w:r>
      <w:r>
        <w:t xml:space="preserve">mercial Solutions segment designs, manufactures, sources, and distributes commercial cleaning and maintenance solutions products, closet and garage organization products; hygiene systems and material handling solutions primarily under the Quickie®, Mapa®, </w:t>
      </w:r>
      <w:r>
        <w:t>Rubbermaid®, Rubbermaid Commercial Products® and Spontex® trademarks. The Company also manufactures and distributes connected home and security products as well as smoke and carbon monoxide alarms mostly under the BRK® and First Alert® trademarks.</w:t>
      </w:r>
    </w:p>
    <w:p w14:paraId="7326B94D" w14:textId="77777777" w:rsidR="00EF3DFB" w:rsidRDefault="00EF3DFB">
      <w:pPr>
        <w:pStyle w:val="BodyText"/>
        <w:spacing w:before="2"/>
        <w:rPr>
          <w:sz w:val="21"/>
        </w:rPr>
      </w:pPr>
    </w:p>
    <w:p w14:paraId="7326B94E" w14:textId="77777777" w:rsidR="00EF3DFB" w:rsidRDefault="00D27C17">
      <w:pPr>
        <w:pStyle w:val="BodyText"/>
        <w:spacing w:line="249" w:lineRule="auto"/>
        <w:ind w:left="190" w:right="167"/>
        <w:jc w:val="both"/>
      </w:pPr>
      <w:r>
        <w:t>The Com</w:t>
      </w:r>
      <w:r>
        <w:t xml:space="preserve">mercial Solutions segment primarily markets its products directly to warehouse clubs, department stores, home centers, commercial products distributors, mass merchants, specialty retailers, distributors, e-commerce companies, select contract customers and </w:t>
      </w:r>
      <w:r>
        <w:t>other professional</w:t>
      </w:r>
      <w:r>
        <w:rPr>
          <w:spacing w:val="-3"/>
        </w:rPr>
        <w:t xml:space="preserve"> </w:t>
      </w:r>
      <w:r>
        <w:t>customers.</w:t>
      </w:r>
    </w:p>
    <w:p w14:paraId="7326B94F" w14:textId="77777777" w:rsidR="00EF3DFB" w:rsidRDefault="00EF3DFB">
      <w:pPr>
        <w:pStyle w:val="BodyText"/>
        <w:spacing w:before="1"/>
        <w:rPr>
          <w:sz w:val="21"/>
        </w:rPr>
      </w:pPr>
    </w:p>
    <w:p w14:paraId="7326B950" w14:textId="77777777" w:rsidR="00EF3DFB" w:rsidRDefault="00D27C17">
      <w:pPr>
        <w:spacing w:before="1"/>
        <w:ind w:left="190"/>
        <w:jc w:val="both"/>
        <w:rPr>
          <w:i/>
          <w:sz w:val="20"/>
        </w:rPr>
      </w:pPr>
      <w:r>
        <w:rPr>
          <w:i/>
          <w:sz w:val="20"/>
        </w:rPr>
        <w:t>Home Solutions</w:t>
      </w:r>
    </w:p>
    <w:p w14:paraId="7326B951" w14:textId="77777777" w:rsidR="00EF3DFB" w:rsidRDefault="00EF3DFB">
      <w:pPr>
        <w:pStyle w:val="BodyText"/>
        <w:spacing w:before="8"/>
        <w:rPr>
          <w:i/>
          <w:sz w:val="21"/>
        </w:rPr>
      </w:pPr>
    </w:p>
    <w:p w14:paraId="7326B952" w14:textId="77777777" w:rsidR="00EF3DFB" w:rsidRDefault="00D27C17">
      <w:pPr>
        <w:pStyle w:val="BodyText"/>
        <w:spacing w:line="249" w:lineRule="auto"/>
        <w:ind w:left="190" w:right="168"/>
        <w:jc w:val="both"/>
      </w:pPr>
      <w:r>
        <w:t xml:space="preserve">The Home Solutions segment designs, manufactures, sources, markets and distributes a diverse line of household products. Food storage products are sold primarily under the FoodSaver®, Rubbermaid® and Sistema® </w:t>
      </w:r>
      <w:r>
        <w:t>trademarks. The Company also sells certain home canning and food storage products under the Ball® trademark, pursuant to a license from Ball Corporation. Home fragrance products are sold primarily under the Chesapeake Bay Candle®, WoodWick® and Yankee Cand</w:t>
      </w:r>
      <w:r>
        <w:t>le® trademarks.</w:t>
      </w:r>
    </w:p>
    <w:p w14:paraId="7326B953" w14:textId="77777777" w:rsidR="00EF3DFB" w:rsidRDefault="00EF3DFB">
      <w:pPr>
        <w:spacing w:line="249" w:lineRule="auto"/>
        <w:jc w:val="both"/>
        <w:sectPr w:rsidR="00EF3DFB">
          <w:pgSz w:w="12240" w:h="15840"/>
          <w:pgMar w:top="600" w:right="640" w:bottom="480" w:left="620" w:header="0" w:footer="291" w:gutter="0"/>
          <w:cols w:space="720"/>
        </w:sectPr>
      </w:pPr>
    </w:p>
    <w:p w14:paraId="7326B954" w14:textId="77777777" w:rsidR="00EF3DFB" w:rsidRDefault="00D27C17">
      <w:pPr>
        <w:pStyle w:val="BodyText"/>
        <w:spacing w:before="72" w:line="249" w:lineRule="auto"/>
        <w:ind w:left="190" w:right="169"/>
        <w:jc w:val="both"/>
      </w:pPr>
      <w:r>
        <w:lastRenderedPageBreak/>
        <w:t>The Home Solutions segment primarily markets its products directly to warehouse clubs, department stores, grocery stores, home centers, mass merchants, specialty retailers, distributors and e-commerce companies, as well as dir</w:t>
      </w:r>
      <w:r>
        <w:t>ect to consumers online and in Yankee Candle retail stores.</w:t>
      </w:r>
    </w:p>
    <w:p w14:paraId="7326B955" w14:textId="77777777" w:rsidR="00EF3DFB" w:rsidRDefault="00EF3DFB">
      <w:pPr>
        <w:pStyle w:val="BodyText"/>
        <w:spacing w:before="1"/>
        <w:rPr>
          <w:sz w:val="21"/>
        </w:rPr>
      </w:pPr>
    </w:p>
    <w:p w14:paraId="7326B956" w14:textId="77777777" w:rsidR="00EF3DFB" w:rsidRDefault="00D27C17">
      <w:pPr>
        <w:ind w:left="190"/>
        <w:jc w:val="both"/>
        <w:rPr>
          <w:i/>
          <w:sz w:val="20"/>
        </w:rPr>
      </w:pPr>
      <w:r>
        <w:rPr>
          <w:i/>
          <w:sz w:val="20"/>
        </w:rPr>
        <w:t>Learning and Development</w:t>
      </w:r>
    </w:p>
    <w:p w14:paraId="7326B957" w14:textId="77777777" w:rsidR="00EF3DFB" w:rsidRDefault="00EF3DFB">
      <w:pPr>
        <w:pStyle w:val="BodyText"/>
        <w:spacing w:before="8"/>
        <w:rPr>
          <w:i/>
          <w:sz w:val="21"/>
        </w:rPr>
      </w:pPr>
    </w:p>
    <w:p w14:paraId="7326B958" w14:textId="77777777" w:rsidR="00EF3DFB" w:rsidRDefault="00D27C17">
      <w:pPr>
        <w:pStyle w:val="BodyText"/>
        <w:spacing w:line="249" w:lineRule="auto"/>
        <w:ind w:left="190" w:right="168"/>
        <w:jc w:val="both"/>
      </w:pPr>
      <w:r>
        <w:t>The Learning and Development segment designs, manufactures, sources, markets and distributes writing instruments, including markers and highlighters, pens and pencils; art products; activity-based adhesive and cutting products; labeling solutions; baby gea</w:t>
      </w:r>
      <w:r>
        <w:t>r and infant care products. Writing instruments, activity-based adhesive and cutting products and labeling solutions products are sold primarily under the Dymo®, Elmer’s®, EXPO®, Mr. Sketch®, Paper Mate®, Parker®, Prismacolor®, Sharpie®, Waterman® and X-Ac</w:t>
      </w:r>
      <w:r>
        <w:t>to® trademarks. Baby gear and infant care and health products are sold primarily under the Baby Jogger®, Graco®, NUK® and Tigex® trademarks.</w:t>
      </w:r>
    </w:p>
    <w:p w14:paraId="7326B959" w14:textId="77777777" w:rsidR="00EF3DFB" w:rsidRDefault="00EF3DFB">
      <w:pPr>
        <w:pStyle w:val="BodyText"/>
        <w:spacing w:before="3"/>
        <w:rPr>
          <w:sz w:val="21"/>
        </w:rPr>
      </w:pPr>
    </w:p>
    <w:p w14:paraId="7326B95A" w14:textId="77777777" w:rsidR="00EF3DFB" w:rsidRDefault="00D27C17">
      <w:pPr>
        <w:pStyle w:val="BodyText"/>
        <w:spacing w:before="1" w:line="249" w:lineRule="auto"/>
        <w:ind w:left="190" w:right="168"/>
        <w:jc w:val="both"/>
      </w:pPr>
      <w:r>
        <w:t>The Learning and Development segment primarily markets its products directly to mass merchants, warehouse clubs, d</w:t>
      </w:r>
      <w:r>
        <w:t>rug/grocery stores, office superstores, office supply stores, contract stationers, travel retail, distributors and e-commerce companies, and direct to consumers online.</w:t>
      </w:r>
    </w:p>
    <w:p w14:paraId="7326B95B" w14:textId="77777777" w:rsidR="00EF3DFB" w:rsidRDefault="00EF3DFB">
      <w:pPr>
        <w:pStyle w:val="BodyText"/>
        <w:spacing w:before="1"/>
        <w:rPr>
          <w:sz w:val="21"/>
        </w:rPr>
      </w:pPr>
    </w:p>
    <w:p w14:paraId="7326B95C" w14:textId="77777777" w:rsidR="00EF3DFB" w:rsidRDefault="00D27C17">
      <w:pPr>
        <w:ind w:left="190"/>
        <w:jc w:val="both"/>
        <w:rPr>
          <w:i/>
          <w:sz w:val="20"/>
        </w:rPr>
      </w:pPr>
      <w:r>
        <w:rPr>
          <w:i/>
          <w:sz w:val="20"/>
        </w:rPr>
        <w:t>Outdoor and Recreation</w:t>
      </w:r>
    </w:p>
    <w:p w14:paraId="7326B95D" w14:textId="77777777" w:rsidR="00EF3DFB" w:rsidRDefault="00EF3DFB">
      <w:pPr>
        <w:pStyle w:val="BodyText"/>
        <w:spacing w:before="8"/>
        <w:rPr>
          <w:i/>
          <w:sz w:val="21"/>
        </w:rPr>
      </w:pPr>
    </w:p>
    <w:p w14:paraId="7326B95E" w14:textId="77777777" w:rsidR="00EF3DFB" w:rsidRDefault="00D27C17">
      <w:pPr>
        <w:pStyle w:val="BodyText"/>
        <w:spacing w:line="249" w:lineRule="auto"/>
        <w:ind w:left="190" w:right="167"/>
        <w:jc w:val="both"/>
      </w:pPr>
      <w:r>
        <w:t>The Outdoor and Recreation segment designs, manufactures, sources, markets and distributes global consumer active lifestyle products for outdoor and outdoor-related activities. Active lifestyle products are sold primarily under the Coleman®, Contigo®, ExOf</w:t>
      </w:r>
      <w:r>
        <w:t>ficio® and Marmot® trademarks.</w:t>
      </w:r>
    </w:p>
    <w:p w14:paraId="7326B95F" w14:textId="77777777" w:rsidR="00EF3DFB" w:rsidRDefault="00EF3DFB">
      <w:pPr>
        <w:pStyle w:val="BodyText"/>
        <w:spacing w:before="1"/>
        <w:rPr>
          <w:sz w:val="21"/>
        </w:rPr>
      </w:pPr>
    </w:p>
    <w:p w14:paraId="7326B960" w14:textId="77777777" w:rsidR="00EF3DFB" w:rsidRDefault="00D27C17">
      <w:pPr>
        <w:pStyle w:val="BodyText"/>
        <w:spacing w:line="249" w:lineRule="auto"/>
        <w:ind w:left="190" w:right="169"/>
        <w:jc w:val="both"/>
      </w:pPr>
      <w:r>
        <w:t>The Outdoor and Recreation segment primarily markets its products directly to warehouse clubs, department stores, grocery stores, mass merchants, sporting goods and specialty retailers, distributors and e-commerce companies,</w:t>
      </w:r>
      <w:r>
        <w:t xml:space="preserve"> as well as direct to consumers online.</w:t>
      </w:r>
    </w:p>
    <w:p w14:paraId="7326B961" w14:textId="77777777" w:rsidR="00EF3DFB" w:rsidRDefault="00EF3DFB">
      <w:pPr>
        <w:pStyle w:val="BodyText"/>
        <w:spacing w:before="1"/>
        <w:rPr>
          <w:sz w:val="21"/>
        </w:rPr>
      </w:pPr>
    </w:p>
    <w:p w14:paraId="7326B962" w14:textId="77777777" w:rsidR="00EF3DFB" w:rsidRDefault="00D27C17">
      <w:pPr>
        <w:spacing w:line="249" w:lineRule="auto"/>
        <w:ind w:left="190" w:right="168"/>
        <w:jc w:val="both"/>
        <w:rPr>
          <w:sz w:val="20"/>
        </w:rPr>
      </w:pPr>
      <w:r>
        <w:rPr>
          <w:sz w:val="20"/>
        </w:rPr>
        <w:t xml:space="preserve">See </w:t>
      </w:r>
      <w:r>
        <w:rPr>
          <w:i/>
          <w:sz w:val="20"/>
        </w:rPr>
        <w:t xml:space="preserve">Management’s Discussion and Analysis of Financial Condition and Results of Operations </w:t>
      </w:r>
      <w:r>
        <w:rPr>
          <w:sz w:val="20"/>
        </w:rPr>
        <w:t>of this Annual Report on Form 10-K for further discussion.</w:t>
      </w:r>
    </w:p>
    <w:p w14:paraId="7326B963" w14:textId="77777777" w:rsidR="00EF3DFB" w:rsidRDefault="00EF3DFB">
      <w:pPr>
        <w:pStyle w:val="BodyText"/>
        <w:spacing w:before="8"/>
      </w:pPr>
    </w:p>
    <w:p w14:paraId="7326B964" w14:textId="77777777" w:rsidR="00EF3DFB" w:rsidRDefault="00D27C17">
      <w:pPr>
        <w:pStyle w:val="Heading2"/>
      </w:pPr>
      <w:r>
        <w:t>OTHER INFORMATION</w:t>
      </w:r>
    </w:p>
    <w:p w14:paraId="7326B965" w14:textId="77777777" w:rsidR="00EF3DFB" w:rsidRDefault="00EF3DFB">
      <w:pPr>
        <w:pStyle w:val="BodyText"/>
        <w:spacing w:before="1"/>
        <w:rPr>
          <w:b/>
          <w:sz w:val="22"/>
        </w:rPr>
      </w:pPr>
    </w:p>
    <w:p w14:paraId="7326B966" w14:textId="77777777" w:rsidR="00EF3DFB" w:rsidRDefault="00D27C17">
      <w:pPr>
        <w:ind w:left="190"/>
        <w:jc w:val="both"/>
        <w:rPr>
          <w:i/>
          <w:sz w:val="20"/>
        </w:rPr>
      </w:pPr>
      <w:r>
        <w:rPr>
          <w:i/>
          <w:sz w:val="20"/>
        </w:rPr>
        <w:t>Multi-Product Offering</w:t>
      </w:r>
    </w:p>
    <w:p w14:paraId="7326B967" w14:textId="77777777" w:rsidR="00EF3DFB" w:rsidRDefault="00EF3DFB">
      <w:pPr>
        <w:pStyle w:val="BodyText"/>
        <w:spacing w:before="8"/>
        <w:rPr>
          <w:i/>
          <w:sz w:val="21"/>
        </w:rPr>
      </w:pPr>
    </w:p>
    <w:p w14:paraId="7326B968" w14:textId="77777777" w:rsidR="00EF3DFB" w:rsidRDefault="00D27C17">
      <w:pPr>
        <w:pStyle w:val="BodyText"/>
        <w:spacing w:line="249" w:lineRule="auto"/>
        <w:ind w:left="190" w:right="169"/>
        <w:jc w:val="both"/>
      </w:pPr>
      <w:r>
        <w:t>The Company’s broad pr</w:t>
      </w:r>
      <w:r>
        <w:t>oduct offering in multiple categories permits it to more effectively meet the needs of its customers. With families of leading brand names and profitable and innovative new products, the Company can assist volume purchasers in selling a more profitable pro</w:t>
      </w:r>
      <w:r>
        <w:t>duct mix. As a potential single source for an entire product line, the Company can use program merchandising to improve product presentation, optimize display space for both sales and income, and encourage impulse buying by retail consumers.</w:t>
      </w:r>
    </w:p>
    <w:p w14:paraId="7326B969" w14:textId="77777777" w:rsidR="00EF3DFB" w:rsidRDefault="00EF3DFB">
      <w:pPr>
        <w:pStyle w:val="BodyText"/>
        <w:spacing w:before="2"/>
        <w:rPr>
          <w:sz w:val="21"/>
        </w:rPr>
      </w:pPr>
    </w:p>
    <w:p w14:paraId="7326B96A" w14:textId="77777777" w:rsidR="00EF3DFB" w:rsidRDefault="00D27C17">
      <w:pPr>
        <w:ind w:left="190"/>
        <w:jc w:val="both"/>
        <w:rPr>
          <w:i/>
          <w:sz w:val="20"/>
        </w:rPr>
      </w:pPr>
      <w:r>
        <w:rPr>
          <w:i/>
          <w:sz w:val="20"/>
        </w:rPr>
        <w:t>Raw Materials and Sourced Finished Goods</w:t>
      </w:r>
    </w:p>
    <w:p w14:paraId="7326B96B" w14:textId="77777777" w:rsidR="00EF3DFB" w:rsidRDefault="00EF3DFB">
      <w:pPr>
        <w:pStyle w:val="BodyText"/>
        <w:spacing w:before="8"/>
        <w:rPr>
          <w:i/>
          <w:sz w:val="21"/>
        </w:rPr>
      </w:pPr>
    </w:p>
    <w:p w14:paraId="7326B96C" w14:textId="77777777" w:rsidR="00EF3DFB" w:rsidRDefault="00D27C17">
      <w:pPr>
        <w:pStyle w:val="BodyText"/>
        <w:spacing w:before="1"/>
        <w:ind w:left="190" w:right="168"/>
        <w:jc w:val="both"/>
      </w:pPr>
      <w:r>
        <w:t>The Company has multiple foreign and domestic sources of supply for substantially all of its material requirements. The raw materials</w:t>
      </w:r>
      <w:r>
        <w:rPr>
          <w:spacing w:val="-4"/>
        </w:rPr>
        <w:t xml:space="preserve"> </w:t>
      </w:r>
      <w:r>
        <w:t>and</w:t>
      </w:r>
      <w:r>
        <w:rPr>
          <w:spacing w:val="-4"/>
        </w:rPr>
        <w:t xml:space="preserve"> </w:t>
      </w:r>
      <w:r>
        <w:t>various</w:t>
      </w:r>
      <w:r>
        <w:rPr>
          <w:spacing w:val="-4"/>
        </w:rPr>
        <w:t xml:space="preserve"> </w:t>
      </w:r>
      <w:r>
        <w:t>purchased</w:t>
      </w:r>
      <w:r>
        <w:rPr>
          <w:spacing w:val="-4"/>
        </w:rPr>
        <w:t xml:space="preserve"> </w:t>
      </w:r>
      <w:r>
        <w:t>components</w:t>
      </w:r>
      <w:r>
        <w:rPr>
          <w:spacing w:val="-4"/>
        </w:rPr>
        <w:t xml:space="preserve"> </w:t>
      </w:r>
      <w:r>
        <w:t>required</w:t>
      </w:r>
      <w:r>
        <w:rPr>
          <w:spacing w:val="-4"/>
        </w:rPr>
        <w:t xml:space="preserve"> </w:t>
      </w:r>
      <w:r>
        <w:t>for</w:t>
      </w:r>
      <w:r>
        <w:rPr>
          <w:spacing w:val="-4"/>
        </w:rPr>
        <w:t xml:space="preserve"> </w:t>
      </w:r>
      <w:r>
        <w:t>its</w:t>
      </w:r>
      <w:r>
        <w:rPr>
          <w:spacing w:val="-4"/>
        </w:rPr>
        <w:t xml:space="preserve"> </w:t>
      </w:r>
      <w:r>
        <w:t>products</w:t>
      </w:r>
      <w:r>
        <w:rPr>
          <w:spacing w:val="-4"/>
        </w:rPr>
        <w:t xml:space="preserve"> </w:t>
      </w:r>
      <w:r>
        <w:t>have</w:t>
      </w:r>
      <w:r>
        <w:rPr>
          <w:spacing w:val="-4"/>
        </w:rPr>
        <w:t xml:space="preserve"> </w:t>
      </w:r>
      <w:r>
        <w:t>generally</w:t>
      </w:r>
      <w:r>
        <w:rPr>
          <w:spacing w:val="-4"/>
        </w:rPr>
        <w:t xml:space="preserve"> </w:t>
      </w:r>
      <w:r>
        <w:t>been</w:t>
      </w:r>
      <w:r>
        <w:rPr>
          <w:spacing w:val="-4"/>
        </w:rPr>
        <w:t xml:space="preserve"> </w:t>
      </w:r>
      <w:r>
        <w:t>a</w:t>
      </w:r>
      <w:r>
        <w:t>vailable</w:t>
      </w:r>
      <w:r>
        <w:rPr>
          <w:spacing w:val="-4"/>
        </w:rPr>
        <w:t xml:space="preserve"> </w:t>
      </w:r>
      <w:r>
        <w:t>in</w:t>
      </w:r>
      <w:r>
        <w:rPr>
          <w:spacing w:val="-4"/>
        </w:rPr>
        <w:t xml:space="preserve"> </w:t>
      </w:r>
      <w:r>
        <w:t>sufficient</w:t>
      </w:r>
      <w:r>
        <w:rPr>
          <w:spacing w:val="-4"/>
        </w:rPr>
        <w:t xml:space="preserve"> </w:t>
      </w:r>
      <w:r>
        <w:t>quantities,</w:t>
      </w:r>
      <w:r>
        <w:rPr>
          <w:spacing w:val="-4"/>
        </w:rPr>
        <w:t xml:space="preserve"> </w:t>
      </w:r>
      <w:r>
        <w:t>although the Company did experience capacity constraints around certain raw materials and finished goods in 2020 driven largely by demand volatility related to the COVID-19 pandemic. The Company’s product offerings requir</w:t>
      </w:r>
      <w:r>
        <w:t>e the purchase of resin, corrugate, glass, plastic, expanded polystyrene, extinguisher powder, nylon, paper, plastic resin, sawdust, tin plate, wax and wood, natural rubber, electrical components, glass fiber, magnesium, adhesives, various paper-related pa</w:t>
      </w:r>
      <w:r>
        <w:t>ckaging materials and metals, including steel, stainless steel, aluminum and copper. The Company’s resin purchases are principally comprised of polyethylene, polypropylene and copolyester.</w:t>
      </w:r>
    </w:p>
    <w:p w14:paraId="7326B96D" w14:textId="77777777" w:rsidR="00EF3DFB" w:rsidRDefault="00EF3DFB">
      <w:pPr>
        <w:pStyle w:val="BodyText"/>
        <w:spacing w:before="10"/>
      </w:pPr>
    </w:p>
    <w:p w14:paraId="7326B96E" w14:textId="77777777" w:rsidR="00EF3DFB" w:rsidRDefault="00D27C17">
      <w:pPr>
        <w:pStyle w:val="BodyText"/>
        <w:spacing w:line="249" w:lineRule="auto"/>
        <w:ind w:left="190" w:right="168"/>
        <w:jc w:val="both"/>
      </w:pPr>
      <w:r>
        <w:t>The Company also relies on third-party manufacturers as a source f</w:t>
      </w:r>
      <w:r>
        <w:t>or finished goods. Historically, the Company has experienced inflation in sourced product costs due to currency fluctuations and increased input and labor costs. For a limited number of product lines, a single manufacturer or a limited number of manufactur</w:t>
      </w:r>
      <w:r>
        <w:t>ers may supply substantially all the finished goods for a product   line. In particular, certain businesses within the Company’s Learning and Development segment rely on third-party manufacturers for substantially all of their products. Specifically, the B</w:t>
      </w:r>
      <w:r>
        <w:t>aby business unit has a single source of supply for products that comprise a majority of its sales and which owns the intellectual property for many of those</w:t>
      </w:r>
      <w:r>
        <w:rPr>
          <w:spacing w:val="-12"/>
        </w:rPr>
        <w:t xml:space="preserve"> </w:t>
      </w:r>
      <w:r>
        <w:t>products.</w:t>
      </w:r>
    </w:p>
    <w:p w14:paraId="7326B96F" w14:textId="77777777" w:rsidR="00EF3DFB" w:rsidRDefault="00EF3DFB">
      <w:pPr>
        <w:pStyle w:val="BodyText"/>
        <w:spacing w:before="3"/>
        <w:rPr>
          <w:sz w:val="21"/>
        </w:rPr>
      </w:pPr>
    </w:p>
    <w:p w14:paraId="7326B970" w14:textId="77777777" w:rsidR="00EF3DFB" w:rsidRDefault="00D27C17">
      <w:pPr>
        <w:ind w:left="190"/>
        <w:jc w:val="both"/>
        <w:rPr>
          <w:i/>
          <w:sz w:val="20"/>
        </w:rPr>
      </w:pPr>
      <w:r>
        <w:rPr>
          <w:i/>
          <w:sz w:val="20"/>
        </w:rPr>
        <w:t>Backlog</w:t>
      </w:r>
    </w:p>
    <w:p w14:paraId="7326B971" w14:textId="77777777" w:rsidR="00EF3DFB" w:rsidRDefault="00EF3DFB">
      <w:pPr>
        <w:pStyle w:val="BodyText"/>
        <w:spacing w:before="9"/>
        <w:rPr>
          <w:i/>
          <w:sz w:val="21"/>
        </w:rPr>
      </w:pPr>
    </w:p>
    <w:p w14:paraId="7326B972" w14:textId="77777777" w:rsidR="00EF3DFB" w:rsidRDefault="00D27C17">
      <w:pPr>
        <w:pStyle w:val="BodyText"/>
        <w:ind w:left="190"/>
        <w:jc w:val="both"/>
      </w:pPr>
      <w:r>
        <w:t>The dollar value of unshipped orders is not material.</w:t>
      </w:r>
    </w:p>
    <w:p w14:paraId="7326B973" w14:textId="77777777" w:rsidR="00EF3DFB" w:rsidRDefault="00EF3DFB">
      <w:pPr>
        <w:jc w:val="both"/>
        <w:sectPr w:rsidR="00EF3DFB">
          <w:pgSz w:w="12240" w:h="15840"/>
          <w:pgMar w:top="600" w:right="640" w:bottom="480" w:left="620" w:header="0" w:footer="291" w:gutter="0"/>
          <w:cols w:space="720"/>
        </w:sectPr>
      </w:pPr>
    </w:p>
    <w:p w14:paraId="7326B974" w14:textId="77777777" w:rsidR="00EF3DFB" w:rsidRDefault="00D27C17">
      <w:pPr>
        <w:spacing w:before="72"/>
        <w:ind w:left="190"/>
        <w:jc w:val="both"/>
        <w:rPr>
          <w:i/>
          <w:sz w:val="20"/>
        </w:rPr>
      </w:pPr>
      <w:r>
        <w:rPr>
          <w:i/>
          <w:sz w:val="20"/>
        </w:rPr>
        <w:lastRenderedPageBreak/>
        <w:t>Seasonal V</w:t>
      </w:r>
      <w:r>
        <w:rPr>
          <w:i/>
          <w:sz w:val="20"/>
        </w:rPr>
        <w:t>ariations</w:t>
      </w:r>
    </w:p>
    <w:p w14:paraId="7326B975" w14:textId="77777777" w:rsidR="00EF3DFB" w:rsidRDefault="00EF3DFB">
      <w:pPr>
        <w:pStyle w:val="BodyText"/>
        <w:spacing w:before="8"/>
        <w:rPr>
          <w:i/>
          <w:sz w:val="21"/>
        </w:rPr>
      </w:pPr>
    </w:p>
    <w:p w14:paraId="7326B976" w14:textId="77777777" w:rsidR="00EF3DFB" w:rsidRDefault="00D27C17">
      <w:pPr>
        <w:pStyle w:val="BodyText"/>
        <w:spacing w:line="249" w:lineRule="auto"/>
        <w:ind w:left="190" w:right="167"/>
        <w:jc w:val="both"/>
      </w:pPr>
      <w:r>
        <w:t>Sales of the Company’s products tend to be seasonal, with sales, operating income and operating cash flow in the first quarter generally lower than any other quarter during the year, driven principally by reduced volume and the mix of products s</w:t>
      </w:r>
      <w:r>
        <w:t>old in the first quarter. The seasonality of the Company’s sales volume combined with the accounting for fixed costs, such as depreciation, amortization, rent, personnel costs and interest expense, impacts the Company’s results on a quarterly basis. In add</w:t>
      </w:r>
      <w:r>
        <w:t>ition, the Company tends to generate the majority of its operating cash flow in the third and fourth quarters of the year due to seasonal variations in operating results, the timing of annual performance-based compensation payments, customer program paymen</w:t>
      </w:r>
      <w:r>
        <w:t>ts, working capital requirements and credit terms provided to</w:t>
      </w:r>
      <w:r>
        <w:rPr>
          <w:spacing w:val="-7"/>
        </w:rPr>
        <w:t xml:space="preserve"> </w:t>
      </w:r>
      <w:r>
        <w:t>customers.</w:t>
      </w:r>
    </w:p>
    <w:p w14:paraId="7326B977" w14:textId="77777777" w:rsidR="00EF3DFB" w:rsidRDefault="00EF3DFB">
      <w:pPr>
        <w:pStyle w:val="BodyText"/>
        <w:spacing w:before="4"/>
        <w:rPr>
          <w:sz w:val="21"/>
        </w:rPr>
      </w:pPr>
    </w:p>
    <w:p w14:paraId="7326B978" w14:textId="77777777" w:rsidR="00EF3DFB" w:rsidRDefault="00D27C17">
      <w:pPr>
        <w:pStyle w:val="BodyText"/>
        <w:spacing w:line="249" w:lineRule="auto"/>
        <w:ind w:left="190" w:right="168"/>
        <w:jc w:val="both"/>
      </w:pPr>
      <w:r>
        <w:t>In 2020, the Company's sales and operating results were disrupted by the COVID-19 pandemic, negatively impacting the Company's performance during the first half of the year, partiall</w:t>
      </w:r>
      <w:r>
        <w:t>y offset by positive performance during the second half of the year. The Company believes the seasonality of its businesses will revert back to historical patterns as the impact of the global pandemic lessens.</w:t>
      </w:r>
    </w:p>
    <w:p w14:paraId="7326B979" w14:textId="77777777" w:rsidR="00EF3DFB" w:rsidRDefault="00EF3DFB">
      <w:pPr>
        <w:pStyle w:val="BodyText"/>
        <w:spacing w:before="2"/>
        <w:rPr>
          <w:sz w:val="21"/>
        </w:rPr>
      </w:pPr>
    </w:p>
    <w:p w14:paraId="7326B97A" w14:textId="77777777" w:rsidR="00EF3DFB" w:rsidRDefault="00D27C17">
      <w:pPr>
        <w:ind w:left="190"/>
        <w:jc w:val="both"/>
        <w:rPr>
          <w:i/>
          <w:sz w:val="20"/>
        </w:rPr>
      </w:pPr>
      <w:r>
        <w:rPr>
          <w:i/>
          <w:sz w:val="20"/>
        </w:rPr>
        <w:t>Patents and Trademarks</w:t>
      </w:r>
    </w:p>
    <w:p w14:paraId="7326B97B" w14:textId="77777777" w:rsidR="00EF3DFB" w:rsidRDefault="00EF3DFB">
      <w:pPr>
        <w:pStyle w:val="BodyText"/>
        <w:spacing w:before="9"/>
        <w:rPr>
          <w:i/>
          <w:sz w:val="21"/>
        </w:rPr>
      </w:pPr>
    </w:p>
    <w:p w14:paraId="7326B97C" w14:textId="77777777" w:rsidR="00EF3DFB" w:rsidRDefault="00D27C17">
      <w:pPr>
        <w:pStyle w:val="BodyText"/>
        <w:spacing w:line="249" w:lineRule="auto"/>
        <w:ind w:left="190" w:right="168"/>
        <w:jc w:val="both"/>
      </w:pPr>
      <w:r>
        <w:t>The Company has many patents, trademarks, brand names and tradenames that are, in the aggregate, important to its business. The Company’s most significant registered trademarks include Aprica®, Baby Jogger®, Calphalon®, Campingaz®, Coleman®, Contigo®, Croc</w:t>
      </w:r>
      <w:r>
        <w:t>k-Pot®, Dymo®, Elmer’s®, EXPO®, First Alert®, FoodSaver®, Graco®, Mapa®, Marmot®, Mr. Coffee®, NUK®, Oster®, Paper Mate®, Parker®, Quickie®, Rubbermaid Commercial Products®, Rubbermaid®, Sistema®, Spontex®, Sunbeam®, WoodWick®, Sharpie® and Yankee Candle®.</w:t>
      </w:r>
    </w:p>
    <w:p w14:paraId="7326B97D" w14:textId="77777777" w:rsidR="00EF3DFB" w:rsidRDefault="00EF3DFB">
      <w:pPr>
        <w:pStyle w:val="BodyText"/>
        <w:spacing w:before="2"/>
        <w:rPr>
          <w:sz w:val="21"/>
        </w:rPr>
      </w:pPr>
    </w:p>
    <w:p w14:paraId="7326B97E" w14:textId="77777777" w:rsidR="00EF3DFB" w:rsidRDefault="00D27C17">
      <w:pPr>
        <w:spacing w:before="1"/>
        <w:ind w:left="190"/>
        <w:jc w:val="both"/>
        <w:rPr>
          <w:i/>
          <w:sz w:val="20"/>
        </w:rPr>
      </w:pPr>
      <w:r>
        <w:rPr>
          <w:i/>
          <w:sz w:val="20"/>
        </w:rPr>
        <w:t>Customers/Competition</w:t>
      </w:r>
    </w:p>
    <w:p w14:paraId="7326B97F" w14:textId="77777777" w:rsidR="00EF3DFB" w:rsidRDefault="00EF3DFB">
      <w:pPr>
        <w:pStyle w:val="BodyText"/>
        <w:spacing w:before="8"/>
        <w:rPr>
          <w:i/>
          <w:sz w:val="21"/>
        </w:rPr>
      </w:pPr>
    </w:p>
    <w:p w14:paraId="7326B980" w14:textId="77777777" w:rsidR="00EF3DFB" w:rsidRDefault="00D27C17">
      <w:pPr>
        <w:pStyle w:val="BodyText"/>
        <w:spacing w:line="249" w:lineRule="auto"/>
        <w:ind w:left="190" w:right="168"/>
        <w:jc w:val="both"/>
      </w:pPr>
      <w:r>
        <w:t>The Company’s principal customers are large mass merchandisers, such as discount stores, home centers, warehouse clubs, office superstores, direct-to-consumer channels, specialty retailers and wholesalers, commercial distributors a</w:t>
      </w:r>
      <w:r>
        <w:t>nd e-commerce companies. The dominant share of the market represented by large mass merchandisers, together with consumer shopping patterns, contributes to a market environment in which dominant multi-category retailers and e-commerce companies have strong</w:t>
      </w:r>
      <w:r>
        <w:t xml:space="preserve"> negotiating power with suppliers. This environment may limit the Company’s ability to recover cost increases through pricing.</w:t>
      </w:r>
    </w:p>
    <w:p w14:paraId="7326B981" w14:textId="77777777" w:rsidR="00EF3DFB" w:rsidRDefault="00EF3DFB">
      <w:pPr>
        <w:pStyle w:val="BodyText"/>
        <w:spacing w:before="2"/>
        <w:rPr>
          <w:sz w:val="21"/>
        </w:rPr>
      </w:pPr>
    </w:p>
    <w:p w14:paraId="7326B982" w14:textId="77777777" w:rsidR="00EF3DFB" w:rsidRDefault="00D27C17">
      <w:pPr>
        <w:pStyle w:val="BodyText"/>
        <w:spacing w:before="1" w:line="249" w:lineRule="auto"/>
        <w:ind w:left="190" w:right="169"/>
        <w:jc w:val="both"/>
      </w:pPr>
      <w:r>
        <w:t>Current trends among retailers and e-commerce companies include fostering high levels of competition among suppliers, reducing c</w:t>
      </w:r>
      <w:r>
        <w:t>urrent inventory levels, demanding innovative new products and products tailored to each of their unique requirements and requiring suppliers to maintain or reduce product prices and deliver products with shorter lead times. Other trends, in the absence of</w:t>
      </w:r>
      <w:r>
        <w:t xml:space="preserve"> a strong new product development effort or strong end-user brands, are for retailers and e-commerce companies to import generic products directly from foreign sources and to source and sell products under their own private label brands, which compete with</w:t>
      </w:r>
      <w:r>
        <w:t xml:space="preserve"> the Company’s products. The combination of these market influences has created an intensely competitive environment in which the Company’s principal customers continuously evaluate which product suppliers to use, resulting in downward pricing pressures an</w:t>
      </w:r>
      <w:r>
        <w:t>d the need for big, consumer-meaningful brands, the ongoing introduction and commercialization of innovative new products, continuing improvements in category management and customer service, and the maintenance of strong relationships with large, high-vol</w:t>
      </w:r>
      <w:r>
        <w:t xml:space="preserve">ume purchasers. The Company competes with numerous manufacturers and distributors of consumer products, many of which are large and well-established. Our Yankee Candle retail stores compete primarily with specialty candle and personal care retailers and a </w:t>
      </w:r>
      <w:r>
        <w:t>variety of other retailers, including department stores, gift stores and national specialty retailers that sells candles.</w:t>
      </w:r>
    </w:p>
    <w:p w14:paraId="7326B983" w14:textId="77777777" w:rsidR="00EF3DFB" w:rsidRDefault="00EF3DFB">
      <w:pPr>
        <w:pStyle w:val="BodyText"/>
        <w:spacing w:before="8"/>
        <w:rPr>
          <w:sz w:val="21"/>
        </w:rPr>
      </w:pPr>
    </w:p>
    <w:p w14:paraId="7326B984" w14:textId="77777777" w:rsidR="00EF3DFB" w:rsidRDefault="00D27C17">
      <w:pPr>
        <w:pStyle w:val="BodyText"/>
        <w:spacing w:line="249" w:lineRule="auto"/>
        <w:ind w:left="190" w:right="170"/>
        <w:jc w:val="both"/>
      </w:pPr>
      <w:r>
        <w:t xml:space="preserve">The Company’s principal methods of meeting its competitive challenges are creating and maintaining leading brands and differentiated </w:t>
      </w:r>
      <w:r>
        <w:t>products that deliver superior value and performance; delivering superior customer service and consistent on-time delivery and producing and procuring products at a competitive cost. In addition, the Company has experienced management that focuses on build</w:t>
      </w:r>
      <w:r>
        <w:t>ing consumer loyalty and increased consumer demand through increased investment in consumer insights and using those insights to develop innovative products and product features that meet consumers’ needs.</w:t>
      </w:r>
    </w:p>
    <w:p w14:paraId="7326B985" w14:textId="77777777" w:rsidR="00EF3DFB" w:rsidRDefault="00EF3DFB">
      <w:pPr>
        <w:pStyle w:val="BodyText"/>
        <w:spacing w:before="2"/>
        <w:rPr>
          <w:sz w:val="21"/>
        </w:rPr>
      </w:pPr>
    </w:p>
    <w:p w14:paraId="7326B986" w14:textId="77777777" w:rsidR="00EF3DFB" w:rsidRDefault="00D27C17">
      <w:pPr>
        <w:pStyle w:val="BodyText"/>
        <w:spacing w:line="249" w:lineRule="auto"/>
        <w:ind w:left="190" w:right="168"/>
        <w:jc w:val="both"/>
      </w:pPr>
      <w:r>
        <w:t>The Company has also positioned itself to respond</w:t>
      </w:r>
      <w:r>
        <w:t xml:space="preserve"> to the competitive challenges in the retail environment by developing strong relationships with large, high-volume purchasers. The Company markets its strong multi-product offering through virtually every category of high-volume retailers, including disco</w:t>
      </w:r>
      <w:r>
        <w:t>unt, drug/grocery and variety chains; warehouse clubs; department, hardware and specialty stores; home centers; office superstores; contract stationers; and e-commerce companies. The Company’s largest customer, Walmart Inc. and subsidiaries (“Walmart”), ac</w:t>
      </w:r>
      <w:r>
        <w:t>counted for approximately 15% of net sales in 2020, 2019 and 2018. Amazon, the Company's second largest customer, accounted for 12%, 9%, and 8% of net sales in 2020, 2019 and 2018, respectively. The Company’s top-ten customers in 2020 included (</w:t>
      </w:r>
      <w:r>
        <w:rPr>
          <w:i/>
        </w:rPr>
        <w:t>in alphabet</w:t>
      </w:r>
      <w:r>
        <w:rPr>
          <w:i/>
        </w:rPr>
        <w:t>ical order</w:t>
      </w:r>
      <w:r>
        <w:t>): Amazon, Bed, Bath &amp; Beyond, Costco, Lowe’s, Kroger, Office Depot, Staples, Target, The Home Depot and Walmart.</w:t>
      </w:r>
    </w:p>
    <w:p w14:paraId="7326B987" w14:textId="77777777" w:rsidR="00EF3DFB" w:rsidRDefault="00EF3DFB">
      <w:pPr>
        <w:spacing w:line="249" w:lineRule="auto"/>
        <w:jc w:val="both"/>
        <w:sectPr w:rsidR="00EF3DFB">
          <w:pgSz w:w="12240" w:h="15840"/>
          <w:pgMar w:top="840" w:right="640" w:bottom="480" w:left="620" w:header="0" w:footer="291" w:gutter="0"/>
          <w:cols w:space="720"/>
        </w:sectPr>
      </w:pPr>
    </w:p>
    <w:p w14:paraId="7326B988" w14:textId="77777777" w:rsidR="00EF3DFB" w:rsidRDefault="00D27C17">
      <w:pPr>
        <w:spacing w:before="72"/>
        <w:ind w:left="190"/>
        <w:jc w:val="both"/>
        <w:rPr>
          <w:i/>
          <w:sz w:val="20"/>
        </w:rPr>
      </w:pPr>
      <w:r>
        <w:rPr>
          <w:i/>
          <w:sz w:val="20"/>
        </w:rPr>
        <w:lastRenderedPageBreak/>
        <w:t>Environmental Matters</w:t>
      </w:r>
    </w:p>
    <w:p w14:paraId="7326B989" w14:textId="77777777" w:rsidR="00EF3DFB" w:rsidRDefault="00EF3DFB">
      <w:pPr>
        <w:pStyle w:val="BodyText"/>
        <w:spacing w:before="8"/>
        <w:rPr>
          <w:i/>
          <w:sz w:val="21"/>
        </w:rPr>
      </w:pPr>
    </w:p>
    <w:p w14:paraId="7326B98A" w14:textId="77777777" w:rsidR="00EF3DFB" w:rsidRDefault="00D27C17">
      <w:pPr>
        <w:pStyle w:val="BodyText"/>
        <w:spacing w:line="249" w:lineRule="auto"/>
        <w:ind w:left="190" w:right="169"/>
        <w:jc w:val="both"/>
      </w:pPr>
      <w:r>
        <w:t>Information regarding the Company’s environmental matters is included in the Management’s Discussion and Analysis of Financial Condition and Results of Operations section of this Annual Report on Form 10-K and in Footnote 18 of the Notes to Consolidated Fi</w:t>
      </w:r>
      <w:r>
        <w:t>nancial Statements and is incorporated by reference herein.</w:t>
      </w:r>
    </w:p>
    <w:p w14:paraId="7326B98B" w14:textId="77777777" w:rsidR="00EF3DFB" w:rsidRDefault="00EF3DFB">
      <w:pPr>
        <w:pStyle w:val="BodyText"/>
        <w:spacing w:before="1"/>
        <w:rPr>
          <w:sz w:val="21"/>
        </w:rPr>
      </w:pPr>
    </w:p>
    <w:p w14:paraId="7326B98C" w14:textId="77777777" w:rsidR="00EF3DFB" w:rsidRDefault="00D27C17">
      <w:pPr>
        <w:ind w:left="190"/>
        <w:jc w:val="both"/>
        <w:rPr>
          <w:i/>
          <w:sz w:val="20"/>
        </w:rPr>
      </w:pPr>
      <w:r>
        <w:rPr>
          <w:i/>
          <w:sz w:val="20"/>
        </w:rPr>
        <w:t>Research and Development</w:t>
      </w:r>
    </w:p>
    <w:p w14:paraId="7326B98D" w14:textId="77777777" w:rsidR="00EF3DFB" w:rsidRDefault="00EF3DFB">
      <w:pPr>
        <w:pStyle w:val="BodyText"/>
        <w:spacing w:before="8"/>
        <w:rPr>
          <w:i/>
          <w:sz w:val="21"/>
        </w:rPr>
      </w:pPr>
    </w:p>
    <w:p w14:paraId="7326B98E" w14:textId="77777777" w:rsidR="00EF3DFB" w:rsidRDefault="00D27C17">
      <w:pPr>
        <w:pStyle w:val="BodyText"/>
        <w:spacing w:before="1" w:line="249" w:lineRule="auto"/>
        <w:ind w:left="190" w:right="168"/>
        <w:jc w:val="both"/>
      </w:pPr>
      <w:r>
        <w:t>The Company’s research and development efforts focus on developing new, differentiated and innovative products to meet consumers’ needs. The Company’s product developmen</w:t>
      </w:r>
      <w:r>
        <w:t>t efforts begin with consumer insights. The Company continues to invest to strengthen its product design, research and development capabilities and has consolidated its design and innovation capabilities and consumer marketing and insight capabilities into</w:t>
      </w:r>
      <w:r>
        <w:t xml:space="preserve"> a global center of excellence to further strengthen these capabilities.</w:t>
      </w:r>
    </w:p>
    <w:p w14:paraId="7326B98F" w14:textId="77777777" w:rsidR="00EF3DFB" w:rsidRDefault="00EF3DFB">
      <w:pPr>
        <w:pStyle w:val="BodyText"/>
        <w:spacing w:before="1"/>
        <w:rPr>
          <w:sz w:val="21"/>
        </w:rPr>
      </w:pPr>
    </w:p>
    <w:p w14:paraId="7326B990" w14:textId="77777777" w:rsidR="00EF3DFB" w:rsidRDefault="00D27C17">
      <w:pPr>
        <w:spacing w:before="1"/>
        <w:ind w:left="190"/>
        <w:jc w:val="both"/>
        <w:rPr>
          <w:i/>
          <w:sz w:val="20"/>
        </w:rPr>
      </w:pPr>
      <w:r>
        <w:rPr>
          <w:i/>
          <w:sz w:val="20"/>
        </w:rPr>
        <w:t>Human Capital Management</w:t>
      </w:r>
    </w:p>
    <w:p w14:paraId="7326B991" w14:textId="77777777" w:rsidR="00EF3DFB" w:rsidRDefault="00EF3DFB">
      <w:pPr>
        <w:pStyle w:val="BodyText"/>
        <w:spacing w:before="8"/>
        <w:rPr>
          <w:i/>
          <w:sz w:val="21"/>
        </w:rPr>
      </w:pPr>
    </w:p>
    <w:p w14:paraId="7326B992" w14:textId="77777777" w:rsidR="00EF3DFB" w:rsidRDefault="00D27C17">
      <w:pPr>
        <w:pStyle w:val="BodyText"/>
        <w:spacing w:line="249" w:lineRule="auto"/>
        <w:ind w:left="190" w:right="168"/>
        <w:jc w:val="both"/>
      </w:pPr>
      <w:r>
        <w:t>Newell Brands is committed to creating a workplace where it supports the success of its people by investing in their personal development and career growth.</w:t>
      </w:r>
      <w:r>
        <w:t xml:space="preserve"> The Company has employees located throughout the world. At December 31, 2020, the Company employed approximately 31,000 people worldwide. Approximately 3,300 were in the Asia-Pacific region, 4,600 were in the Europe, Middle East and Africa region, 7,700 w</w:t>
      </w:r>
      <w:r>
        <w:t>ere in the Latin America region and 15,400 were in the North America region. Of the Company's total employees, approximately 16,000 were employed in manufacturing and supply chain roles. The Company's strong employee base, along with its commitment to unco</w:t>
      </w:r>
      <w:r>
        <w:t>mpromising values, provides the foundation of the Company’s success.</w:t>
      </w:r>
    </w:p>
    <w:p w14:paraId="7326B993" w14:textId="77777777" w:rsidR="00EF3DFB" w:rsidRDefault="00EF3DFB">
      <w:pPr>
        <w:pStyle w:val="BodyText"/>
        <w:spacing w:before="3"/>
        <w:rPr>
          <w:sz w:val="21"/>
        </w:rPr>
      </w:pPr>
    </w:p>
    <w:p w14:paraId="7326B994" w14:textId="77777777" w:rsidR="00EF3DFB" w:rsidRDefault="00D27C17">
      <w:pPr>
        <w:pStyle w:val="BodyText"/>
        <w:spacing w:line="249" w:lineRule="auto"/>
        <w:ind w:left="190" w:right="168"/>
        <w:jc w:val="both"/>
      </w:pPr>
      <w:r>
        <w:t xml:space="preserve">The Company's employees are responsible for upholding the Company's goal of creating a safer, sustainable, productive, and consumer-focused future. The Company's values of Transparency, </w:t>
      </w:r>
      <w:r>
        <w:t>Truth, Trust and Teamwork guide our own actions as well as our relationships with consumers, customers, suppliers and each other. They are grounded in a people-first philosophy enabling the Company to deliver results, drive long-term sustainability and pro</w:t>
      </w:r>
      <w:r>
        <w:t>mote a winning culture. The Company tracks and reports internally on key talent metrics including workforce demographics, critical role pipeline data, diversity data, and engagement and inclusion</w:t>
      </w:r>
      <w:r>
        <w:rPr>
          <w:spacing w:val="-1"/>
        </w:rPr>
        <w:t xml:space="preserve"> </w:t>
      </w:r>
      <w:r>
        <w:t>indices.</w:t>
      </w:r>
    </w:p>
    <w:p w14:paraId="7326B995" w14:textId="77777777" w:rsidR="00EF3DFB" w:rsidRDefault="00EF3DFB">
      <w:pPr>
        <w:pStyle w:val="BodyText"/>
        <w:spacing w:before="4"/>
        <w:rPr>
          <w:sz w:val="21"/>
        </w:rPr>
      </w:pPr>
    </w:p>
    <w:p w14:paraId="7326B996" w14:textId="77777777" w:rsidR="00EF3DFB" w:rsidRDefault="00D27C17">
      <w:pPr>
        <w:pStyle w:val="BodyText"/>
        <w:spacing w:line="249" w:lineRule="auto"/>
        <w:ind w:left="190" w:right="168"/>
        <w:jc w:val="both"/>
      </w:pPr>
      <w:r>
        <w:t>The Company embraces diversity, inclusion and belo</w:t>
      </w:r>
      <w:r>
        <w:t>nging, and strongly believes that a truly consumer-focused workforce should be as diverse as the customers it serves and leverage the skills and perspectives of a wealth of backgrounds of all team members. To attract a global and diverse workforce, the Com</w:t>
      </w:r>
      <w:r>
        <w:t>pany strives to build a culture where employees can bring their whole selves to work. Employee resource groups (“ERGs”) are Company-sponsored groups of employees that support and promote certain mutual objectives of both the employees and the Company, incl</w:t>
      </w:r>
      <w:r>
        <w:t>uding inclusion and diversity and the professional development of employees. The ERGs provide a space where employees can foster connections and develop in a supportive environment. At December 31, 2020, the Company had five</w:t>
      </w:r>
      <w:r>
        <w:rPr>
          <w:spacing w:val="-3"/>
        </w:rPr>
        <w:t xml:space="preserve"> </w:t>
      </w:r>
      <w:r>
        <w:t>ERGs:</w:t>
      </w:r>
    </w:p>
    <w:p w14:paraId="7326B997" w14:textId="77777777" w:rsidR="00EF3DFB" w:rsidRDefault="00EF3DFB">
      <w:pPr>
        <w:pStyle w:val="BodyText"/>
        <w:spacing w:before="4"/>
        <w:rPr>
          <w:sz w:val="21"/>
        </w:rPr>
      </w:pPr>
    </w:p>
    <w:p w14:paraId="7326B998" w14:textId="77777777" w:rsidR="00EF3DFB" w:rsidRDefault="00D27C17">
      <w:pPr>
        <w:pStyle w:val="ListParagraph"/>
        <w:numPr>
          <w:ilvl w:val="1"/>
          <w:numId w:val="30"/>
        </w:numPr>
        <w:tabs>
          <w:tab w:val="left" w:pos="909"/>
          <w:tab w:val="left" w:pos="910"/>
        </w:tabs>
        <w:rPr>
          <w:sz w:val="20"/>
        </w:rPr>
      </w:pPr>
      <w:r>
        <w:rPr>
          <w:sz w:val="20"/>
        </w:rPr>
        <w:t>BEACON (Black and Africa</w:t>
      </w:r>
      <w:r>
        <w:rPr>
          <w:sz w:val="20"/>
        </w:rPr>
        <w:t>n</w:t>
      </w:r>
      <w:r>
        <w:rPr>
          <w:spacing w:val="-2"/>
          <w:sz w:val="20"/>
        </w:rPr>
        <w:t xml:space="preserve"> </w:t>
      </w:r>
      <w:r>
        <w:rPr>
          <w:sz w:val="20"/>
        </w:rPr>
        <w:t>ancestry);</w:t>
      </w:r>
    </w:p>
    <w:p w14:paraId="7326B999" w14:textId="77777777" w:rsidR="00EF3DFB" w:rsidRDefault="00D27C17">
      <w:pPr>
        <w:pStyle w:val="ListParagraph"/>
        <w:numPr>
          <w:ilvl w:val="1"/>
          <w:numId w:val="30"/>
        </w:numPr>
        <w:tabs>
          <w:tab w:val="left" w:pos="909"/>
          <w:tab w:val="left" w:pos="910"/>
        </w:tabs>
        <w:spacing w:before="10"/>
        <w:rPr>
          <w:sz w:val="20"/>
        </w:rPr>
      </w:pPr>
      <w:r>
        <w:rPr>
          <w:sz w:val="20"/>
        </w:rPr>
        <w:t>RAY</w:t>
      </w:r>
      <w:r>
        <w:rPr>
          <w:spacing w:val="-2"/>
          <w:sz w:val="20"/>
        </w:rPr>
        <w:t xml:space="preserve"> </w:t>
      </w:r>
      <w:r>
        <w:rPr>
          <w:sz w:val="20"/>
        </w:rPr>
        <w:t>(Women);</w:t>
      </w:r>
    </w:p>
    <w:p w14:paraId="7326B99A" w14:textId="77777777" w:rsidR="00EF3DFB" w:rsidRDefault="00D27C17">
      <w:pPr>
        <w:pStyle w:val="ListParagraph"/>
        <w:numPr>
          <w:ilvl w:val="1"/>
          <w:numId w:val="30"/>
        </w:numPr>
        <w:tabs>
          <w:tab w:val="left" w:pos="909"/>
          <w:tab w:val="left" w:pos="910"/>
        </w:tabs>
        <w:spacing w:before="10"/>
        <w:rPr>
          <w:sz w:val="20"/>
        </w:rPr>
      </w:pPr>
      <w:r>
        <w:rPr>
          <w:sz w:val="20"/>
        </w:rPr>
        <w:t>OPEN</w:t>
      </w:r>
      <w:r>
        <w:rPr>
          <w:spacing w:val="-2"/>
          <w:sz w:val="20"/>
        </w:rPr>
        <w:t xml:space="preserve"> </w:t>
      </w:r>
      <w:r>
        <w:rPr>
          <w:sz w:val="20"/>
        </w:rPr>
        <w:t>(LGBTQ);</w:t>
      </w:r>
    </w:p>
    <w:p w14:paraId="7326B99B" w14:textId="77777777" w:rsidR="00EF3DFB" w:rsidRDefault="00D27C17">
      <w:pPr>
        <w:pStyle w:val="ListParagraph"/>
        <w:numPr>
          <w:ilvl w:val="1"/>
          <w:numId w:val="30"/>
        </w:numPr>
        <w:tabs>
          <w:tab w:val="left" w:pos="909"/>
          <w:tab w:val="left" w:pos="910"/>
        </w:tabs>
        <w:spacing w:before="10"/>
        <w:rPr>
          <w:sz w:val="20"/>
        </w:rPr>
      </w:pPr>
      <w:r>
        <w:rPr>
          <w:sz w:val="20"/>
        </w:rPr>
        <w:t>NAAPA (Asian-American);</w:t>
      </w:r>
      <w:r>
        <w:rPr>
          <w:spacing w:val="-3"/>
          <w:sz w:val="20"/>
        </w:rPr>
        <w:t xml:space="preserve"> </w:t>
      </w:r>
      <w:r>
        <w:rPr>
          <w:sz w:val="20"/>
        </w:rPr>
        <w:t>and</w:t>
      </w:r>
    </w:p>
    <w:p w14:paraId="7326B99C" w14:textId="77777777" w:rsidR="00EF3DFB" w:rsidRDefault="00D27C17">
      <w:pPr>
        <w:pStyle w:val="ListParagraph"/>
        <w:numPr>
          <w:ilvl w:val="1"/>
          <w:numId w:val="30"/>
        </w:numPr>
        <w:tabs>
          <w:tab w:val="left" w:pos="909"/>
          <w:tab w:val="left" w:pos="910"/>
        </w:tabs>
        <w:spacing w:before="10"/>
        <w:rPr>
          <w:sz w:val="20"/>
        </w:rPr>
      </w:pPr>
      <w:r>
        <w:rPr>
          <w:sz w:val="20"/>
        </w:rPr>
        <w:t>HOLA (Hispanic and</w:t>
      </w:r>
      <w:r>
        <w:rPr>
          <w:spacing w:val="-3"/>
          <w:sz w:val="20"/>
        </w:rPr>
        <w:t xml:space="preserve"> </w:t>
      </w:r>
      <w:r>
        <w:rPr>
          <w:sz w:val="20"/>
        </w:rPr>
        <w:t>Latinx).</w:t>
      </w:r>
    </w:p>
    <w:p w14:paraId="7326B99D" w14:textId="77777777" w:rsidR="00EF3DFB" w:rsidRDefault="00EF3DFB">
      <w:pPr>
        <w:pStyle w:val="BodyText"/>
        <w:spacing w:before="9"/>
        <w:rPr>
          <w:sz w:val="21"/>
        </w:rPr>
      </w:pPr>
    </w:p>
    <w:p w14:paraId="7326B99E" w14:textId="77777777" w:rsidR="00EF3DFB" w:rsidRDefault="00D27C17">
      <w:pPr>
        <w:pStyle w:val="BodyText"/>
        <w:spacing w:line="249" w:lineRule="auto"/>
        <w:ind w:left="190" w:right="169"/>
        <w:jc w:val="both"/>
      </w:pPr>
      <w:r>
        <w:t>The Company is focused on recruitment of diverse candidates and on internal talent development of its diverse leaders so they can advance their careers and move into leadership positions within the Company. The Company has adopted a policy requiring divers</w:t>
      </w:r>
      <w:r>
        <w:t>e slates for recruitment at the Director level and above. Also, during 2019, the Company conducted a fully digital, enterprise-wide engagement survey, which was given to all professional and clerical employees (excluding factory or hourly employees) and wa</w:t>
      </w:r>
      <w:r>
        <w:t>s available in 12 languages, which focused on measuring engagement and inclusion.</w:t>
      </w:r>
    </w:p>
    <w:p w14:paraId="7326B99F" w14:textId="77777777" w:rsidR="00EF3DFB" w:rsidRDefault="00EF3DFB">
      <w:pPr>
        <w:pStyle w:val="BodyText"/>
        <w:spacing w:before="2"/>
        <w:rPr>
          <w:sz w:val="21"/>
        </w:rPr>
      </w:pPr>
    </w:p>
    <w:p w14:paraId="7326B9A0" w14:textId="77777777" w:rsidR="00EF3DFB" w:rsidRDefault="00D27C17">
      <w:pPr>
        <w:pStyle w:val="BodyText"/>
        <w:spacing w:line="249" w:lineRule="auto"/>
        <w:ind w:left="190" w:right="168"/>
        <w:jc w:val="both"/>
      </w:pPr>
      <w:r>
        <w:t>The Company continues to emphasize employee development and training, and strives to align and deliver its People Agenda with its business strategies to recruit, develop and</w:t>
      </w:r>
      <w:r>
        <w:t xml:space="preserve"> retain the right talent, skills and capabilities to deliver on its commitments. To empower employees, the Company provides a range of development programs and opportunities, skills, and resources needed to be successful. Our </w:t>
      </w:r>
      <w:r>
        <w:rPr>
          <w:i/>
        </w:rPr>
        <w:t xml:space="preserve">Grow@Newell </w:t>
      </w:r>
      <w:r>
        <w:t>eLearning platform</w:t>
      </w:r>
      <w:r>
        <w:t>, which is an online portal, supplements the Company's talent development strategies with access to instructor-led classroom or virtual courses and self-directed web-based courses. The Company has a robust talent and succession planning process and has est</w:t>
      </w:r>
      <w:r>
        <w:t>ablished specialized programs to support the development of its talent pipeline for critical roles in general management, engineering, and operations. On an annual basis, the Company conducts an Organization and Leadership Review process with its chief exe</w:t>
      </w:r>
      <w:r>
        <w:t>cutive officer and all segment, business unit, and function leaders focusing on high - performing and high-potential talent, diverse talent, and the succession for its most critical</w:t>
      </w:r>
      <w:r>
        <w:rPr>
          <w:spacing w:val="-15"/>
        </w:rPr>
        <w:t xml:space="preserve"> </w:t>
      </w:r>
      <w:r>
        <w:t>roles.</w:t>
      </w:r>
    </w:p>
    <w:p w14:paraId="7326B9A1" w14:textId="77777777" w:rsidR="00EF3DFB" w:rsidRDefault="00EF3DFB">
      <w:pPr>
        <w:spacing w:line="249" w:lineRule="auto"/>
        <w:jc w:val="both"/>
        <w:sectPr w:rsidR="00EF3DFB">
          <w:pgSz w:w="12240" w:h="15840"/>
          <w:pgMar w:top="600" w:right="640" w:bottom="480" w:left="620" w:header="0" w:footer="291" w:gutter="0"/>
          <w:cols w:space="720"/>
        </w:sectPr>
      </w:pPr>
    </w:p>
    <w:p w14:paraId="7326B9A2" w14:textId="77777777" w:rsidR="00EF3DFB" w:rsidRDefault="00D27C17">
      <w:pPr>
        <w:pStyle w:val="BodyText"/>
        <w:spacing w:before="72" w:line="249" w:lineRule="auto"/>
        <w:ind w:left="190" w:right="170"/>
        <w:jc w:val="both"/>
      </w:pPr>
      <w:r>
        <w:lastRenderedPageBreak/>
        <w:t xml:space="preserve">The Company believes its management team has the experience necessary to effectively execute its strategy and advance its product and technology leadership. The Chief Executive Officer and Executive Committee Team have meaningful industry experience. They </w:t>
      </w:r>
      <w:r>
        <w:t>partner and work closely with an experienced and talented management team who is dedicated to maintaining and expanding our position as a global leader in the consumer products industry. For discussion of the risks relating to the attraction and retention</w:t>
      </w:r>
      <w:bookmarkStart w:id="7" w:name="Item_1A._Risk_factors"/>
      <w:bookmarkStart w:id="8" w:name="_bookmark2"/>
      <w:bookmarkEnd w:id="7"/>
      <w:bookmarkEnd w:id="8"/>
      <w:r>
        <w:t xml:space="preserve"> </w:t>
      </w:r>
      <w:r>
        <w:t xml:space="preserve">of key management and executive employees, see the </w:t>
      </w:r>
      <w:r>
        <w:rPr>
          <w:i/>
        </w:rPr>
        <w:t xml:space="preserve">“Risk Factors” </w:t>
      </w:r>
      <w:r>
        <w:t>section</w:t>
      </w:r>
      <w:r>
        <w:rPr>
          <w:spacing w:val="-11"/>
        </w:rPr>
        <w:t xml:space="preserve"> </w:t>
      </w:r>
      <w:r>
        <w:t>below.</w:t>
      </w:r>
    </w:p>
    <w:p w14:paraId="7326B9A3" w14:textId="77777777" w:rsidR="00EF3DFB" w:rsidRDefault="00EF3DFB">
      <w:pPr>
        <w:pStyle w:val="BodyText"/>
        <w:spacing w:before="10"/>
      </w:pPr>
    </w:p>
    <w:p w14:paraId="7326B9A4" w14:textId="77777777" w:rsidR="00EF3DFB" w:rsidRDefault="00D27C17">
      <w:pPr>
        <w:pStyle w:val="Heading2"/>
        <w:spacing w:before="1"/>
      </w:pPr>
      <w:r>
        <w:t>ITEM 1A. RISK FACTORS</w:t>
      </w:r>
    </w:p>
    <w:p w14:paraId="7326B9A5" w14:textId="77777777" w:rsidR="00EF3DFB" w:rsidRDefault="00EF3DFB">
      <w:pPr>
        <w:pStyle w:val="BodyText"/>
        <w:rPr>
          <w:b/>
          <w:sz w:val="22"/>
        </w:rPr>
      </w:pPr>
    </w:p>
    <w:p w14:paraId="7326B9A6" w14:textId="77777777" w:rsidR="00EF3DFB" w:rsidRDefault="00D27C17">
      <w:pPr>
        <w:pStyle w:val="BodyText"/>
        <w:ind w:left="190" w:right="168"/>
        <w:jc w:val="both"/>
      </w:pPr>
      <w:r>
        <w:t>Ownership of the Company’s securities involves a number of risks and uncertainties. Potential investors should carefully consider the risks and uncerta</w:t>
      </w:r>
      <w:r>
        <w:t>inties described below and the other information in this Annual Report on Form 10-K before deciding whether to invest in the Company’s securities. The Company’s business, financial condition or results of operations could be materially adversely affected b</w:t>
      </w:r>
      <w:r>
        <w:t>y any of these risks. The risks described below are not the only ones facing the Company. Additional risks that are currently unknown to the Company or that the Company currently considers immaterial may also impair its business or adversely affect its fin</w:t>
      </w:r>
      <w:r>
        <w:t>ancial condition or results of</w:t>
      </w:r>
      <w:r>
        <w:rPr>
          <w:spacing w:val="-6"/>
        </w:rPr>
        <w:t xml:space="preserve"> </w:t>
      </w:r>
      <w:r>
        <w:t>operations.</w:t>
      </w:r>
    </w:p>
    <w:p w14:paraId="7326B9A7" w14:textId="77777777" w:rsidR="00EF3DFB" w:rsidRDefault="00EF3DFB">
      <w:pPr>
        <w:pStyle w:val="BodyText"/>
        <w:spacing w:before="6"/>
      </w:pPr>
    </w:p>
    <w:p w14:paraId="7326B9A8" w14:textId="77777777" w:rsidR="00EF3DFB" w:rsidRDefault="00D27C17">
      <w:pPr>
        <w:pStyle w:val="Heading3"/>
        <w:spacing w:before="1"/>
      </w:pPr>
      <w:r>
        <w:t>COVID-19 Related Risks</w:t>
      </w:r>
    </w:p>
    <w:p w14:paraId="7326B9A9" w14:textId="77777777" w:rsidR="00EF3DFB" w:rsidRDefault="00EF3DFB">
      <w:pPr>
        <w:pStyle w:val="BodyText"/>
        <w:spacing w:before="8"/>
        <w:rPr>
          <w:b/>
          <w:i/>
          <w:sz w:val="21"/>
        </w:rPr>
      </w:pPr>
    </w:p>
    <w:p w14:paraId="7326B9AA" w14:textId="77777777" w:rsidR="00EF3DFB" w:rsidRDefault="00D27C17">
      <w:pPr>
        <w:spacing w:line="249" w:lineRule="auto"/>
        <w:ind w:left="190" w:right="168"/>
        <w:jc w:val="both"/>
        <w:rPr>
          <w:b/>
          <w:sz w:val="20"/>
        </w:rPr>
      </w:pPr>
      <w:r>
        <w:rPr>
          <w:b/>
          <w:sz w:val="20"/>
        </w:rPr>
        <w:t>We must successfully manage the demand, supply, and operational challenges associated with the actual or perceived effects of the COVID-19 pandemic or any other disease outbreak, including epidemics, pandemics, or similar widespread public health concerns.</w:t>
      </w:r>
    </w:p>
    <w:p w14:paraId="7326B9AB" w14:textId="77777777" w:rsidR="00EF3DFB" w:rsidRDefault="00EF3DFB">
      <w:pPr>
        <w:pStyle w:val="BodyText"/>
        <w:spacing w:before="4"/>
        <w:rPr>
          <w:b/>
          <w:sz w:val="21"/>
        </w:rPr>
      </w:pPr>
    </w:p>
    <w:p w14:paraId="7326B9AC" w14:textId="77777777" w:rsidR="00EF3DFB" w:rsidRDefault="00D27C17">
      <w:pPr>
        <w:pStyle w:val="BodyText"/>
        <w:spacing w:line="249" w:lineRule="auto"/>
        <w:ind w:left="190" w:right="168"/>
        <w:jc w:val="both"/>
      </w:pPr>
      <w:r>
        <w:t>Our business may be unfavorably impacted by the fear of exposure to or actual effects of the COVID-19 pandemic or any other disease outbreak, epidemic, pandemic, or similar widespread public health concern, such as reduced travel or recommendations or ma</w:t>
      </w:r>
      <w:r>
        <w:t>ndates from governmental authorities to cease particular business activities. These impacts include, but are not limited to:</w:t>
      </w:r>
    </w:p>
    <w:p w14:paraId="7326B9AD" w14:textId="77777777" w:rsidR="00EF3DFB" w:rsidRDefault="00EF3DFB">
      <w:pPr>
        <w:pStyle w:val="BodyText"/>
        <w:spacing w:before="1"/>
        <w:rPr>
          <w:sz w:val="21"/>
        </w:rPr>
      </w:pPr>
    </w:p>
    <w:p w14:paraId="7326B9AE" w14:textId="77777777" w:rsidR="00EF3DFB" w:rsidRDefault="00D27C17">
      <w:pPr>
        <w:pStyle w:val="ListParagraph"/>
        <w:numPr>
          <w:ilvl w:val="1"/>
          <w:numId w:val="30"/>
        </w:numPr>
        <w:tabs>
          <w:tab w:val="left" w:pos="910"/>
        </w:tabs>
        <w:spacing w:line="249" w:lineRule="auto"/>
        <w:ind w:right="168"/>
        <w:jc w:val="both"/>
        <w:rPr>
          <w:sz w:val="20"/>
        </w:rPr>
      </w:pPr>
      <w:r>
        <w:rPr>
          <w:sz w:val="20"/>
        </w:rPr>
        <w:t>Significant reductions or volatility in demand for one or more of our products, which may be caused by, among other things: the te</w:t>
      </w:r>
      <w:r>
        <w:rPr>
          <w:sz w:val="20"/>
        </w:rPr>
        <w:t>mporary inability of consumers to purchase our products due to illness, store closures, school closures or delayed opening for schools and other higher education programs, quarantine or other travel restrictions, or financial hardship among customers, reta</w:t>
      </w:r>
      <w:r>
        <w:rPr>
          <w:sz w:val="20"/>
        </w:rPr>
        <w:t>ilers and consumers, shifts in demand away from one or more of our more discretionary or higher priced products to lower priced products, or stockpiling; if prolonged, such impacts can further increase the difficulty in planning our operations, which may a</w:t>
      </w:r>
      <w:r>
        <w:rPr>
          <w:sz w:val="20"/>
        </w:rPr>
        <w:t>dversely impact our results, liquidity and financial</w:t>
      </w:r>
      <w:r>
        <w:rPr>
          <w:spacing w:val="-22"/>
          <w:sz w:val="20"/>
        </w:rPr>
        <w:t xml:space="preserve"> </w:t>
      </w:r>
      <w:r>
        <w:rPr>
          <w:sz w:val="20"/>
        </w:rPr>
        <w:t>condition;</w:t>
      </w:r>
    </w:p>
    <w:p w14:paraId="7326B9AF" w14:textId="77777777" w:rsidR="00EF3DFB" w:rsidRDefault="00EF3DFB">
      <w:pPr>
        <w:pStyle w:val="BodyText"/>
        <w:spacing w:before="4"/>
        <w:rPr>
          <w:sz w:val="21"/>
        </w:rPr>
      </w:pPr>
    </w:p>
    <w:p w14:paraId="7326B9B0" w14:textId="77777777" w:rsidR="00EF3DFB" w:rsidRDefault="00D27C17">
      <w:pPr>
        <w:pStyle w:val="ListParagraph"/>
        <w:numPr>
          <w:ilvl w:val="1"/>
          <w:numId w:val="30"/>
        </w:numPr>
        <w:tabs>
          <w:tab w:val="left" w:pos="910"/>
        </w:tabs>
        <w:spacing w:line="249" w:lineRule="auto"/>
        <w:ind w:right="168"/>
        <w:jc w:val="both"/>
        <w:rPr>
          <w:sz w:val="20"/>
        </w:rPr>
      </w:pPr>
      <w:r>
        <w:rPr>
          <w:sz w:val="20"/>
        </w:rPr>
        <w:t>Inability to meet our customers’ needs and achieve cost targets due to disruptions in our manufacturing operations, supply arrangements as well as distribution centers caused by the loss or d</w:t>
      </w:r>
      <w:r>
        <w:rPr>
          <w:sz w:val="20"/>
        </w:rPr>
        <w:t>isruption of essential manufacturing and supply elements such as raw materials or other finished product components, transportation, workforce, or other manufacturing and distribution capability including as a result of governmental mandates to close certa</w:t>
      </w:r>
      <w:r>
        <w:rPr>
          <w:sz w:val="20"/>
        </w:rPr>
        <w:t>in of our manufacturing and distribution</w:t>
      </w:r>
      <w:r>
        <w:rPr>
          <w:spacing w:val="-1"/>
          <w:sz w:val="20"/>
        </w:rPr>
        <w:t xml:space="preserve"> </w:t>
      </w:r>
      <w:r>
        <w:rPr>
          <w:sz w:val="20"/>
        </w:rPr>
        <w:t>facilities;</w:t>
      </w:r>
    </w:p>
    <w:p w14:paraId="7326B9B1" w14:textId="77777777" w:rsidR="00EF3DFB" w:rsidRDefault="00EF3DFB">
      <w:pPr>
        <w:pStyle w:val="BodyText"/>
        <w:spacing w:before="2"/>
        <w:rPr>
          <w:sz w:val="21"/>
        </w:rPr>
      </w:pPr>
    </w:p>
    <w:p w14:paraId="7326B9B2" w14:textId="77777777" w:rsidR="00EF3DFB" w:rsidRDefault="00D27C17">
      <w:pPr>
        <w:pStyle w:val="ListParagraph"/>
        <w:numPr>
          <w:ilvl w:val="1"/>
          <w:numId w:val="30"/>
        </w:numPr>
        <w:tabs>
          <w:tab w:val="left" w:pos="910"/>
        </w:tabs>
        <w:spacing w:line="249" w:lineRule="auto"/>
        <w:ind w:right="168"/>
        <w:jc w:val="both"/>
        <w:rPr>
          <w:sz w:val="20"/>
        </w:rPr>
      </w:pPr>
      <w:r>
        <w:rPr>
          <w:sz w:val="20"/>
        </w:rPr>
        <w:t>Failure of third parties on which we rely, including our suppliers, contract manufacturers, distributors, contractors, commercial banks, joint venture partners and external business partners, to meet th</w:t>
      </w:r>
      <w:r>
        <w:rPr>
          <w:sz w:val="20"/>
        </w:rPr>
        <w:t>eir obligations to the Company, or significant disruptions in their ability to do so, which may be caused by their own financial or operational difficulties, which may adversely impact our operations, liquidity and financial condition;</w:t>
      </w:r>
      <w:r>
        <w:rPr>
          <w:spacing w:val="-8"/>
          <w:sz w:val="20"/>
        </w:rPr>
        <w:t xml:space="preserve"> </w:t>
      </w:r>
      <w:r>
        <w:rPr>
          <w:sz w:val="20"/>
        </w:rPr>
        <w:t>or</w:t>
      </w:r>
    </w:p>
    <w:p w14:paraId="7326B9B3" w14:textId="77777777" w:rsidR="00EF3DFB" w:rsidRDefault="00EF3DFB">
      <w:pPr>
        <w:pStyle w:val="BodyText"/>
        <w:spacing w:before="2"/>
        <w:rPr>
          <w:sz w:val="21"/>
        </w:rPr>
      </w:pPr>
    </w:p>
    <w:p w14:paraId="7326B9B4" w14:textId="77777777" w:rsidR="00EF3DFB" w:rsidRDefault="00D27C17">
      <w:pPr>
        <w:pStyle w:val="ListParagraph"/>
        <w:numPr>
          <w:ilvl w:val="1"/>
          <w:numId w:val="30"/>
        </w:numPr>
        <w:tabs>
          <w:tab w:val="left" w:pos="910"/>
        </w:tabs>
        <w:spacing w:line="249" w:lineRule="auto"/>
        <w:ind w:right="168"/>
        <w:jc w:val="both"/>
        <w:rPr>
          <w:sz w:val="20"/>
        </w:rPr>
      </w:pPr>
      <w:r>
        <w:rPr>
          <w:sz w:val="20"/>
        </w:rPr>
        <w:t>Significant chan</w:t>
      </w:r>
      <w:r>
        <w:rPr>
          <w:sz w:val="20"/>
        </w:rPr>
        <w:t>ges in the political and labor conditions in markets in which we manufacture, sell or distribute our products, including quarantines, governmental or regulatory actions, closures or other restrictions that limit or close our manufacturing, distribution, re</w:t>
      </w:r>
      <w:r>
        <w:rPr>
          <w:sz w:val="20"/>
        </w:rPr>
        <w:t>search and development and retail facilities; restrict our employees’ ability or willingness to travel or perform necessary business functions, or otherwise prevent our facilities or our third-party partners, suppliers, or customers from sufficiently staff</w:t>
      </w:r>
      <w:r>
        <w:rPr>
          <w:sz w:val="20"/>
        </w:rPr>
        <w:t>ing operations, including operations necessary for the production, distribution, sale, and support of our products, which could adversely impact our results, liquidity and financial</w:t>
      </w:r>
      <w:r>
        <w:rPr>
          <w:spacing w:val="-13"/>
          <w:sz w:val="20"/>
        </w:rPr>
        <w:t xml:space="preserve"> </w:t>
      </w:r>
      <w:r>
        <w:rPr>
          <w:sz w:val="20"/>
        </w:rPr>
        <w:t>condition.</w:t>
      </w:r>
    </w:p>
    <w:p w14:paraId="7326B9B5" w14:textId="77777777" w:rsidR="00EF3DFB" w:rsidRDefault="00EF3DFB">
      <w:pPr>
        <w:pStyle w:val="BodyText"/>
        <w:spacing w:before="3"/>
        <w:rPr>
          <w:sz w:val="21"/>
        </w:rPr>
      </w:pPr>
    </w:p>
    <w:p w14:paraId="7326B9B6" w14:textId="77777777" w:rsidR="00EF3DFB" w:rsidRDefault="00D27C17">
      <w:pPr>
        <w:pStyle w:val="BodyText"/>
        <w:spacing w:before="1" w:line="249" w:lineRule="auto"/>
        <w:ind w:left="190" w:right="169"/>
        <w:jc w:val="both"/>
      </w:pPr>
      <w:r>
        <w:t>There are no comparable recent events that provide guidance as</w:t>
      </w:r>
      <w:r>
        <w:t xml:space="preserve"> to the effect the spread of COVID-19 as a global pandemic may have, and, as a result, the ultimate impact of the COVID-19 pandemic is highly uncertain and subject to change. We do not yet know the full extent of the impacts on our business, our operations</w:t>
      </w:r>
      <w:r>
        <w:t xml:space="preserve"> or the global economy as a whole. Despite our efforts to manage and remedy these impacts to the Company, the ultimate impact of the COVID-19 pandemic could materially and adversely impact our business, results of operations, liquidity and financial condit</w:t>
      </w:r>
      <w:r>
        <w:t>ion, and depends on factors beyond our knowledge or control. In this regard, the extent of the impact of the pandemic on our business, operating results, cash flows, liquidity and financial conditions will be primarily driven by the duration and severity o</w:t>
      </w:r>
      <w:r>
        <w:t>f the COVID-19 pandemic, its impact on the U.S. and global economies and the timing, scope and effectiveness of federal, state and local governmental plans to administer vaccines to the general public, especially in areas where conditions have recently wor</w:t>
      </w:r>
      <w:r>
        <w:t>sened and lockdowns or travel bans have been</w:t>
      </w:r>
      <w:r>
        <w:rPr>
          <w:spacing w:val="-23"/>
        </w:rPr>
        <w:t xml:space="preserve"> </w:t>
      </w:r>
      <w:r>
        <w:t>reinstituted.</w:t>
      </w:r>
    </w:p>
    <w:p w14:paraId="7326B9B7" w14:textId="77777777" w:rsidR="00EF3DFB" w:rsidRDefault="00EF3DFB">
      <w:pPr>
        <w:spacing w:line="249" w:lineRule="auto"/>
        <w:jc w:val="both"/>
        <w:sectPr w:rsidR="00EF3DFB">
          <w:pgSz w:w="12240" w:h="15840"/>
          <w:pgMar w:top="600" w:right="640" w:bottom="480" w:left="620" w:header="0" w:footer="291" w:gutter="0"/>
          <w:cols w:space="720"/>
        </w:sectPr>
      </w:pPr>
    </w:p>
    <w:p w14:paraId="7326B9B8" w14:textId="77777777" w:rsidR="00EF3DFB" w:rsidRDefault="00D27C17">
      <w:pPr>
        <w:pStyle w:val="Heading2"/>
        <w:spacing w:before="68" w:line="249" w:lineRule="auto"/>
        <w:ind w:right="169"/>
        <w:rPr>
          <w:i/>
        </w:rPr>
      </w:pPr>
      <w:r>
        <w:lastRenderedPageBreak/>
        <w:t>We have experienced significant COVID-19-related disruptions to our businesses, and if we experience future disruption in the near-to-medium term, we may be unable to maintain complia</w:t>
      </w:r>
      <w:r>
        <w:t>nce with the financial covenants or borrowing base requirements in certain of our debt facilities</w:t>
      </w:r>
      <w:r>
        <w:rPr>
          <w:i/>
        </w:rPr>
        <w:t>.</w:t>
      </w:r>
    </w:p>
    <w:p w14:paraId="7326B9B9" w14:textId="77777777" w:rsidR="00EF3DFB" w:rsidRDefault="00EF3DFB">
      <w:pPr>
        <w:pStyle w:val="BodyText"/>
        <w:spacing w:before="4"/>
        <w:rPr>
          <w:b/>
          <w:i/>
          <w:sz w:val="21"/>
        </w:rPr>
      </w:pPr>
    </w:p>
    <w:p w14:paraId="7326B9BA" w14:textId="77777777" w:rsidR="00EF3DFB" w:rsidRDefault="00D27C17">
      <w:pPr>
        <w:pStyle w:val="BodyText"/>
        <w:spacing w:before="1" w:line="249" w:lineRule="auto"/>
        <w:ind w:left="190" w:right="169"/>
        <w:jc w:val="both"/>
      </w:pPr>
      <w:r>
        <w:t>Under the terms of certain of our debt facilities, including the Securitization Facility and Credit Revolver, we are required to comply with certain financi</w:t>
      </w:r>
      <w:r>
        <w:t>al covenants or satisfy certain borrowing basis requirements. As a result of the COVID-19 pandemic, our operations have been and could be further disrupted, and if such disruptions significantly interfere with our operations in the near- to-medium term, we</w:t>
      </w:r>
      <w:r>
        <w:t xml:space="preserve"> may be not be able to satisfy such requirements. In such a situation, we may choose to seek covenant waivers or other relief from the lenders under our debt</w:t>
      </w:r>
      <w:r>
        <w:rPr>
          <w:spacing w:val="-6"/>
        </w:rPr>
        <w:t xml:space="preserve"> </w:t>
      </w:r>
      <w:r>
        <w:t>facilities.</w:t>
      </w:r>
    </w:p>
    <w:p w14:paraId="7326B9BB" w14:textId="77777777" w:rsidR="00EF3DFB" w:rsidRDefault="00EF3DFB">
      <w:pPr>
        <w:pStyle w:val="BodyText"/>
        <w:spacing w:before="2"/>
        <w:rPr>
          <w:sz w:val="21"/>
        </w:rPr>
      </w:pPr>
    </w:p>
    <w:p w14:paraId="7326B9BC" w14:textId="77777777" w:rsidR="00EF3DFB" w:rsidRDefault="00D27C17">
      <w:pPr>
        <w:pStyle w:val="BodyText"/>
        <w:spacing w:line="249" w:lineRule="auto"/>
        <w:ind w:left="190" w:right="167"/>
        <w:jc w:val="both"/>
      </w:pPr>
      <w:r>
        <w:t>Covenant waivers may result in additional fees associated with obtaining the waiver, or our being subject to increased interest rates, additional restrictive covenants and other lender protections under our debt facilities. Our ability to provide additiona</w:t>
      </w:r>
      <w:r>
        <w:t>l lender protections under these facilities, including the granting of security interests in collateral, will be limited by the existing restrictions applicable to the Company under the various documents governing our indebtedness. There can be no assuranc</w:t>
      </w:r>
      <w:r>
        <w:t>e that we would be able to obtain future waivers in a timely manner, on acceptable terms or at all. If we were not able to obtain a covenant waiver under any one or more of these debt facilities, if and when necessary, we could be in default of such agreem</w:t>
      </w:r>
      <w:r>
        <w:t>ents, which could result in cross defaults to our other debt agreements and potential acceleration of amounts due under all of our outstanding debt and derivative contract liabilities. In such a situation, we would need to refinance or repay the applicable</w:t>
      </w:r>
      <w:r>
        <w:t xml:space="preserve"> debt facility or facilities and would be required to raise additional debt or equity capital, or divest assets, to refinance or repay such facility or facilities. If we were to be unable to obtain a covenant waiver in the future under any one or more of t</w:t>
      </w:r>
      <w:r>
        <w:t>hese debt facilities, there can be no assurance that we would be able to raise sufficient debt or equity capital, or divest assets, to refinance or repay such facility or facilities. As a result, the inability to obtain covenant waivers described above wou</w:t>
      </w:r>
      <w:r>
        <w:t>ld have a material adverse effect on the Company.</w:t>
      </w:r>
    </w:p>
    <w:p w14:paraId="7326B9BD" w14:textId="77777777" w:rsidR="00EF3DFB" w:rsidRDefault="00EF3DFB">
      <w:pPr>
        <w:pStyle w:val="BodyText"/>
        <w:spacing w:before="5"/>
        <w:rPr>
          <w:sz w:val="21"/>
        </w:rPr>
      </w:pPr>
    </w:p>
    <w:p w14:paraId="7326B9BE" w14:textId="77777777" w:rsidR="00EF3DFB" w:rsidRDefault="00D27C17">
      <w:pPr>
        <w:pStyle w:val="Heading3"/>
      </w:pPr>
      <w:r>
        <w:t>Industry and Economic Risks</w:t>
      </w:r>
    </w:p>
    <w:p w14:paraId="7326B9BF" w14:textId="77777777" w:rsidR="00EF3DFB" w:rsidRDefault="00EF3DFB">
      <w:pPr>
        <w:pStyle w:val="BodyText"/>
        <w:spacing w:before="9"/>
        <w:rPr>
          <w:b/>
          <w:i/>
          <w:sz w:val="21"/>
        </w:rPr>
      </w:pPr>
    </w:p>
    <w:p w14:paraId="7326B9C0" w14:textId="77777777" w:rsidR="00EF3DFB" w:rsidRDefault="00D27C17">
      <w:pPr>
        <w:ind w:left="190"/>
        <w:jc w:val="both"/>
        <w:rPr>
          <w:b/>
          <w:sz w:val="20"/>
        </w:rPr>
      </w:pPr>
      <w:r>
        <w:rPr>
          <w:b/>
          <w:sz w:val="20"/>
        </w:rPr>
        <w:t>The Company is subject to intense competition in a marketplace dominated by large retailers and e-commerce companies.</w:t>
      </w:r>
    </w:p>
    <w:p w14:paraId="7326B9C1" w14:textId="77777777" w:rsidR="00EF3DFB" w:rsidRDefault="00EF3DFB">
      <w:pPr>
        <w:pStyle w:val="BodyText"/>
        <w:rPr>
          <w:b/>
          <w:sz w:val="22"/>
        </w:rPr>
      </w:pPr>
    </w:p>
    <w:p w14:paraId="7326B9C2" w14:textId="77777777" w:rsidR="00EF3DFB" w:rsidRDefault="00D27C17">
      <w:pPr>
        <w:pStyle w:val="BodyText"/>
        <w:spacing w:line="249" w:lineRule="auto"/>
        <w:ind w:left="190" w:right="169"/>
        <w:jc w:val="both"/>
      </w:pPr>
      <w:r>
        <w:t>The Company competes with numerous other manufacturers and distributors of consumer and commercial products, many of which are large and well-established. A proliferation of digitally native brands has further intensified the competitive landscape. The Com</w:t>
      </w:r>
      <w:r>
        <w:t>pany’s principal customers are large mass merchandisers, discount stores, home centers, warehouse clubs, office superstores, specialty retailers, wholesalers, commercial distributors, direct-to-consumer channels, and e-commerce companies. The dominant shar</w:t>
      </w:r>
      <w:r>
        <w:t>e of the market represented by these large retailers, together with changes in consumer shopping patterns, has contributed to the formation of dominant multi-category retailers and e-commerce companies that have strong negotiating power with suppliers. Cur</w:t>
      </w:r>
      <w:r>
        <w:t xml:space="preserve">rent trends among retailers and e-commerce companies include fostering high levels of competition among suppliers, reducing inventory levels, demanding innovative new products and products tailored to each of their unique requirements, requiring suppliers </w:t>
      </w:r>
      <w:r>
        <w:t>to maintain or reduce product prices in response to competitive, economic or other factors, and requiring product delivery with shorter lead times. Other trends are for retailers and e-commerce companies to import products directly from foreign sources and</w:t>
      </w:r>
      <w:r>
        <w:t xml:space="preserve"> to source and sell products under their own private label brands, typically at lower prices, that compete with the Company’s products.</w:t>
      </w:r>
    </w:p>
    <w:p w14:paraId="7326B9C3" w14:textId="77777777" w:rsidR="00EF3DFB" w:rsidRDefault="00EF3DFB">
      <w:pPr>
        <w:pStyle w:val="BodyText"/>
        <w:spacing w:before="7"/>
        <w:rPr>
          <w:sz w:val="21"/>
        </w:rPr>
      </w:pPr>
    </w:p>
    <w:p w14:paraId="7326B9C4" w14:textId="77777777" w:rsidR="00EF3DFB" w:rsidRDefault="00D27C17">
      <w:pPr>
        <w:pStyle w:val="BodyText"/>
        <w:spacing w:before="1" w:line="249" w:lineRule="auto"/>
        <w:ind w:left="190" w:right="169"/>
        <w:jc w:val="both"/>
      </w:pPr>
      <w:r>
        <w:t xml:space="preserve">The combination of these market influences and retailer consolidation has created an intensely competitive environment </w:t>
      </w:r>
      <w:r>
        <w:t>in which the Company’s principal customers continuously evaluate which product suppliers to use, resulting in downward pricing pressures and the need for consumer-meaningful brands, the ongoing introduction and commercialization of innovative new</w:t>
      </w:r>
      <w:r>
        <w:rPr>
          <w:spacing w:val="7"/>
        </w:rPr>
        <w:t xml:space="preserve"> </w:t>
      </w:r>
      <w:r>
        <w:t>products,</w:t>
      </w:r>
      <w:r>
        <w:t xml:space="preserve"> continuing improvements in category management and customer service, and the maintenance of strong relationships with large, high-volume purchasers. The Company also faces the risk of changes in the strategy or structure of its major customers, such as ov</w:t>
      </w:r>
      <w:r>
        <w:t>erall store and inventory reductions. The intense competition in the retail and e-commerce sectors may result in a number of customers experiencing financial difficulty or failing in the future. To address these challenges, the Company must be able to resp</w:t>
      </w:r>
      <w:r>
        <w:t>ond to competitive factors, and the failure to respond effectively could result in a loss of sales, reduced profitability and a limited ability to recover cost increases through price</w:t>
      </w:r>
      <w:r>
        <w:rPr>
          <w:spacing w:val="-6"/>
        </w:rPr>
        <w:t xml:space="preserve"> </w:t>
      </w:r>
      <w:r>
        <w:t>increases.</w:t>
      </w:r>
    </w:p>
    <w:p w14:paraId="7326B9C5" w14:textId="77777777" w:rsidR="00EF3DFB" w:rsidRDefault="00EF3DFB">
      <w:pPr>
        <w:pStyle w:val="BodyText"/>
        <w:spacing w:before="2"/>
        <w:rPr>
          <w:sz w:val="21"/>
        </w:rPr>
      </w:pPr>
    </w:p>
    <w:p w14:paraId="7326B9C6" w14:textId="77777777" w:rsidR="00EF3DFB" w:rsidRDefault="00D27C17">
      <w:pPr>
        <w:pStyle w:val="Heading2"/>
        <w:spacing w:line="249" w:lineRule="auto"/>
        <w:ind w:right="170"/>
      </w:pPr>
      <w:r>
        <w:t>The Company’s customers may further consolidate, which could</w:t>
      </w:r>
      <w:r>
        <w:t xml:space="preserve"> materially adversely affect the Company’s sales and margins.</w:t>
      </w:r>
    </w:p>
    <w:p w14:paraId="7326B9C7" w14:textId="77777777" w:rsidR="00EF3DFB" w:rsidRDefault="00EF3DFB">
      <w:pPr>
        <w:pStyle w:val="BodyText"/>
        <w:spacing w:before="4"/>
        <w:rPr>
          <w:b/>
          <w:sz w:val="21"/>
        </w:rPr>
      </w:pPr>
    </w:p>
    <w:p w14:paraId="7326B9C8" w14:textId="77777777" w:rsidR="00EF3DFB" w:rsidRDefault="00D27C17">
      <w:pPr>
        <w:pStyle w:val="BodyText"/>
        <w:spacing w:line="249" w:lineRule="auto"/>
        <w:ind w:left="190" w:right="168"/>
        <w:jc w:val="both"/>
      </w:pPr>
      <w:r>
        <w:t>The Company’s customers have steadily consolidated over the last two decades. The Company expects any customers that consolidate will take actions to harmonize pricing from their suppliers, clo</w:t>
      </w:r>
      <w:r>
        <w:t xml:space="preserve">se retail outlets, reduce inventory, and rationalize their supply chain, which could adversely affect the Company’s business and results of operations. There can be no assurance that, following consolidation, the Company’s large customers will continue to </w:t>
      </w:r>
      <w:r>
        <w:t>buy from the Company across different product categories or geographic regions, or at the same levels as prior to consolidation, which could negatively impact the Company’s financial results. Further, if the consolidation trend continues, it could result i</w:t>
      </w:r>
      <w:r>
        <w:t>n future pricing and other competitive pressures that could reduce the Company’s sales and</w:t>
      </w:r>
      <w:r>
        <w:rPr>
          <w:spacing w:val="-5"/>
        </w:rPr>
        <w:t xml:space="preserve"> </w:t>
      </w:r>
      <w:r>
        <w:t>margins.</w:t>
      </w:r>
    </w:p>
    <w:p w14:paraId="7326B9C9" w14:textId="77777777" w:rsidR="00EF3DFB" w:rsidRDefault="00EF3DFB">
      <w:pPr>
        <w:spacing w:line="249" w:lineRule="auto"/>
        <w:jc w:val="both"/>
        <w:sectPr w:rsidR="00EF3DFB">
          <w:pgSz w:w="12240" w:h="15840"/>
          <w:pgMar w:top="600" w:right="640" w:bottom="480" w:left="620" w:header="0" w:footer="291" w:gutter="0"/>
          <w:cols w:space="720"/>
        </w:sectPr>
      </w:pPr>
    </w:p>
    <w:p w14:paraId="7326B9CA" w14:textId="77777777" w:rsidR="00EF3DFB" w:rsidRDefault="00D27C17">
      <w:pPr>
        <w:pStyle w:val="Heading3"/>
        <w:spacing w:before="68"/>
      </w:pPr>
      <w:r>
        <w:lastRenderedPageBreak/>
        <w:t>Strategic and Operational Risks</w:t>
      </w:r>
    </w:p>
    <w:p w14:paraId="7326B9CB" w14:textId="77777777" w:rsidR="00EF3DFB" w:rsidRDefault="00EF3DFB">
      <w:pPr>
        <w:pStyle w:val="BodyText"/>
        <w:spacing w:before="9"/>
        <w:rPr>
          <w:b/>
          <w:i/>
          <w:sz w:val="21"/>
        </w:rPr>
      </w:pPr>
    </w:p>
    <w:p w14:paraId="7326B9CC" w14:textId="77777777" w:rsidR="00EF3DFB" w:rsidRDefault="00D27C17">
      <w:pPr>
        <w:spacing w:line="249" w:lineRule="auto"/>
        <w:ind w:left="190" w:right="169"/>
        <w:jc w:val="both"/>
        <w:rPr>
          <w:b/>
          <w:sz w:val="20"/>
        </w:rPr>
      </w:pPr>
      <w:r>
        <w:rPr>
          <w:b/>
          <w:sz w:val="20"/>
        </w:rPr>
        <w:t>The Company’s sales are dependent on purchases by several large customers and any significant decline in these purchases or pressure from these customers to reduce prices could have a negative effect on the Company’s future financial performance.</w:t>
      </w:r>
    </w:p>
    <w:p w14:paraId="7326B9CD" w14:textId="77777777" w:rsidR="00EF3DFB" w:rsidRDefault="00EF3DFB">
      <w:pPr>
        <w:pStyle w:val="BodyText"/>
        <w:spacing w:before="4"/>
        <w:rPr>
          <w:b/>
          <w:sz w:val="21"/>
        </w:rPr>
      </w:pPr>
    </w:p>
    <w:p w14:paraId="7326B9CE" w14:textId="77777777" w:rsidR="00EF3DFB" w:rsidRDefault="00D27C17">
      <w:pPr>
        <w:pStyle w:val="BodyText"/>
        <w:spacing w:line="249" w:lineRule="auto"/>
        <w:ind w:left="190" w:right="167"/>
        <w:jc w:val="both"/>
      </w:pPr>
      <w:r>
        <w:t>The Comp</w:t>
      </w:r>
      <w:r>
        <w:t>any’s customer base is relatively fragmented. Although the Company has long-established relationships with many customers, the Company generally does not have any long-term supply or binding contracts or guarantees of minimum purchases with its largest cus</w:t>
      </w:r>
      <w:r>
        <w:t xml:space="preserve">tomers. Purchase commitments by these customers are generally made using individual purchase orders. As a result, these customers may cancel their orders, change purchase quantities from forecast volumes, delay purchases for a number of reasons beyond the </w:t>
      </w:r>
      <w:r>
        <w:t>Company’s control or change other terms of the business relationship. Significant or numerous cancellations, reductions, delays in purchases or changes in business practices by customers could have a material adverse effect on the Company’s business, resul</w:t>
      </w:r>
      <w:r>
        <w:t>ts of operations and financial condition. In addition, because many of the Company’s costs are fixed, a reduction in customer demand due to decreased sales to end customers could have an adverse effect on the Company’s gross profit margins and operating in</w:t>
      </w:r>
      <w:r>
        <w:t>come. The retail landscape in many of the Company’s markets continues to be impacted by the rapid growth of e-commerce retailers, changing consumer preferences (as consumers increasingly shop online) and the emergence of alternative retail channels, such a</w:t>
      </w:r>
      <w:r>
        <w:t xml:space="preserve">s subscription services and direct-to-consumer businesses. The rapid growth in e-commerce and emergence of alternative retail channels may adversely affect the Company’s relationships with its key retailers, whereby the number of products it sells will no </w:t>
      </w:r>
      <w:r>
        <w:t>longer be a reliable indicator of the amount of future business the Company can</w:t>
      </w:r>
      <w:r>
        <w:rPr>
          <w:spacing w:val="-35"/>
        </w:rPr>
        <w:t xml:space="preserve"> </w:t>
      </w:r>
      <w:r>
        <w:t>expect.</w:t>
      </w:r>
    </w:p>
    <w:p w14:paraId="7326B9CF" w14:textId="77777777" w:rsidR="00EF3DFB" w:rsidRDefault="00EF3DFB">
      <w:pPr>
        <w:pStyle w:val="BodyText"/>
        <w:spacing w:before="9"/>
        <w:rPr>
          <w:sz w:val="21"/>
        </w:rPr>
      </w:pPr>
    </w:p>
    <w:p w14:paraId="7326B9D0" w14:textId="77777777" w:rsidR="00EF3DFB" w:rsidRDefault="00D27C17">
      <w:pPr>
        <w:pStyle w:val="BodyText"/>
        <w:spacing w:line="249" w:lineRule="auto"/>
        <w:ind w:left="190" w:right="170"/>
        <w:jc w:val="both"/>
      </w:pPr>
      <w:r>
        <w:t>The Company depends on a continuous flow of new orders from large, high-volume retail customers; however, the Company may be unable to continually meet the needs of th</w:t>
      </w:r>
      <w:r>
        <w:t>ese customers. Retailers are increasing their demands on suppliers</w:t>
      </w:r>
      <w:r>
        <w:rPr>
          <w:spacing w:val="-28"/>
        </w:rPr>
        <w:t xml:space="preserve"> </w:t>
      </w:r>
      <w:r>
        <w:t>to:</w:t>
      </w:r>
    </w:p>
    <w:p w14:paraId="7326B9D1" w14:textId="77777777" w:rsidR="00EF3DFB" w:rsidRDefault="00EF3DFB">
      <w:pPr>
        <w:pStyle w:val="BodyText"/>
        <w:rPr>
          <w:sz w:val="21"/>
        </w:rPr>
      </w:pPr>
    </w:p>
    <w:p w14:paraId="7326B9D2" w14:textId="77777777" w:rsidR="00EF3DFB" w:rsidRDefault="00D27C17">
      <w:pPr>
        <w:pStyle w:val="ListParagraph"/>
        <w:numPr>
          <w:ilvl w:val="1"/>
          <w:numId w:val="30"/>
        </w:numPr>
        <w:tabs>
          <w:tab w:val="left" w:pos="909"/>
          <w:tab w:val="left" w:pos="910"/>
        </w:tabs>
        <w:spacing w:line="249" w:lineRule="auto"/>
        <w:ind w:right="170"/>
        <w:rPr>
          <w:sz w:val="20"/>
        </w:rPr>
      </w:pPr>
      <w:r>
        <w:rPr>
          <w:sz w:val="20"/>
        </w:rPr>
        <w:t>reduce lead times for product delivery, which may require the Company to increase inventories and could impact the timing of reported</w:t>
      </w:r>
      <w:r>
        <w:rPr>
          <w:spacing w:val="-1"/>
          <w:sz w:val="20"/>
        </w:rPr>
        <w:t xml:space="preserve"> </w:t>
      </w:r>
      <w:r>
        <w:rPr>
          <w:sz w:val="20"/>
        </w:rPr>
        <w:t>sales;</w:t>
      </w:r>
    </w:p>
    <w:p w14:paraId="7326B9D3" w14:textId="77777777" w:rsidR="00EF3DFB" w:rsidRDefault="00D27C17">
      <w:pPr>
        <w:pStyle w:val="ListParagraph"/>
        <w:numPr>
          <w:ilvl w:val="1"/>
          <w:numId w:val="30"/>
        </w:numPr>
        <w:tabs>
          <w:tab w:val="left" w:pos="909"/>
          <w:tab w:val="left" w:pos="910"/>
        </w:tabs>
        <w:spacing w:before="2" w:line="249" w:lineRule="auto"/>
        <w:ind w:right="169"/>
        <w:rPr>
          <w:sz w:val="20"/>
        </w:rPr>
      </w:pPr>
      <w:r>
        <w:rPr>
          <w:sz w:val="20"/>
        </w:rPr>
        <w:t>improve</w:t>
      </w:r>
      <w:r>
        <w:rPr>
          <w:spacing w:val="-3"/>
          <w:sz w:val="20"/>
        </w:rPr>
        <w:t xml:space="preserve"> </w:t>
      </w:r>
      <w:r>
        <w:rPr>
          <w:sz w:val="20"/>
        </w:rPr>
        <w:t>customer</w:t>
      </w:r>
      <w:r>
        <w:rPr>
          <w:spacing w:val="-3"/>
          <w:sz w:val="20"/>
        </w:rPr>
        <w:t xml:space="preserve"> </w:t>
      </w:r>
      <w:r>
        <w:rPr>
          <w:sz w:val="20"/>
        </w:rPr>
        <w:t>service,</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with</w:t>
      </w:r>
      <w:r>
        <w:rPr>
          <w:spacing w:val="-3"/>
          <w:sz w:val="20"/>
        </w:rPr>
        <w:t xml:space="preserve"> </w:t>
      </w:r>
      <w:r>
        <w:rPr>
          <w:sz w:val="20"/>
        </w:rPr>
        <w:t>dire</w:t>
      </w:r>
      <w:r>
        <w:rPr>
          <w:sz w:val="20"/>
        </w:rPr>
        <w:t>ct</w:t>
      </w:r>
      <w:r>
        <w:rPr>
          <w:spacing w:val="-3"/>
          <w:sz w:val="20"/>
        </w:rPr>
        <w:t xml:space="preserve"> </w:t>
      </w:r>
      <w:r>
        <w:rPr>
          <w:sz w:val="20"/>
        </w:rPr>
        <w:t>import</w:t>
      </w:r>
      <w:r>
        <w:rPr>
          <w:spacing w:val="-3"/>
          <w:sz w:val="20"/>
        </w:rPr>
        <w:t xml:space="preserve"> </w:t>
      </w:r>
      <w:r>
        <w:rPr>
          <w:sz w:val="20"/>
        </w:rPr>
        <w:t>programs,</w:t>
      </w:r>
      <w:r>
        <w:rPr>
          <w:spacing w:val="-3"/>
          <w:sz w:val="20"/>
        </w:rPr>
        <w:t xml:space="preserve"> </w:t>
      </w:r>
      <w:r>
        <w:rPr>
          <w:sz w:val="20"/>
        </w:rPr>
        <w:t>whereby</w:t>
      </w:r>
      <w:r>
        <w:rPr>
          <w:spacing w:val="-3"/>
          <w:sz w:val="20"/>
        </w:rPr>
        <w:t xml:space="preserve"> </w:t>
      </w:r>
      <w:r>
        <w:rPr>
          <w:sz w:val="20"/>
        </w:rPr>
        <w:t>product</w:t>
      </w:r>
      <w:r>
        <w:rPr>
          <w:spacing w:val="-3"/>
          <w:sz w:val="20"/>
        </w:rPr>
        <w:t xml:space="preserve"> </w:t>
      </w:r>
      <w:r>
        <w:rPr>
          <w:sz w:val="20"/>
        </w:rPr>
        <w:t>is</w:t>
      </w:r>
      <w:r>
        <w:rPr>
          <w:spacing w:val="-3"/>
          <w:sz w:val="20"/>
        </w:rPr>
        <w:t xml:space="preserve"> </w:t>
      </w:r>
      <w:r>
        <w:rPr>
          <w:sz w:val="20"/>
        </w:rPr>
        <w:t>supplied</w:t>
      </w:r>
      <w:r>
        <w:rPr>
          <w:spacing w:val="-3"/>
          <w:sz w:val="20"/>
        </w:rPr>
        <w:t xml:space="preserve"> </w:t>
      </w:r>
      <w:r>
        <w:rPr>
          <w:sz w:val="20"/>
        </w:rPr>
        <w:t>directly</w:t>
      </w:r>
      <w:r>
        <w:rPr>
          <w:spacing w:val="-3"/>
          <w:sz w:val="20"/>
        </w:rPr>
        <w:t xml:space="preserve"> </w:t>
      </w:r>
      <w:r>
        <w:rPr>
          <w:sz w:val="20"/>
        </w:rPr>
        <w:t>to</w:t>
      </w:r>
      <w:r>
        <w:rPr>
          <w:spacing w:val="-3"/>
          <w:sz w:val="20"/>
        </w:rPr>
        <w:t xml:space="preserve"> </w:t>
      </w:r>
      <w:r>
        <w:rPr>
          <w:sz w:val="20"/>
        </w:rPr>
        <w:t>retailers</w:t>
      </w:r>
      <w:r>
        <w:rPr>
          <w:spacing w:val="-3"/>
          <w:sz w:val="20"/>
        </w:rPr>
        <w:t xml:space="preserve"> </w:t>
      </w:r>
      <w:r>
        <w:rPr>
          <w:sz w:val="20"/>
        </w:rPr>
        <w:t>from</w:t>
      </w:r>
      <w:r>
        <w:rPr>
          <w:spacing w:val="-3"/>
          <w:sz w:val="20"/>
        </w:rPr>
        <w:t xml:space="preserve"> </w:t>
      </w:r>
      <w:r>
        <w:rPr>
          <w:sz w:val="20"/>
        </w:rPr>
        <w:t>third- party suppliers;</w:t>
      </w:r>
      <w:r>
        <w:rPr>
          <w:spacing w:val="-2"/>
          <w:sz w:val="20"/>
        </w:rPr>
        <w:t xml:space="preserve"> </w:t>
      </w:r>
      <w:r>
        <w:rPr>
          <w:sz w:val="20"/>
        </w:rPr>
        <w:t>and</w:t>
      </w:r>
    </w:p>
    <w:p w14:paraId="7326B9D4" w14:textId="77777777" w:rsidR="00EF3DFB" w:rsidRDefault="00D27C17">
      <w:pPr>
        <w:pStyle w:val="ListParagraph"/>
        <w:numPr>
          <w:ilvl w:val="1"/>
          <w:numId w:val="30"/>
        </w:numPr>
        <w:tabs>
          <w:tab w:val="left" w:pos="909"/>
          <w:tab w:val="left" w:pos="910"/>
        </w:tabs>
        <w:spacing w:before="2" w:line="249" w:lineRule="auto"/>
        <w:ind w:right="170"/>
        <w:rPr>
          <w:sz w:val="20"/>
        </w:rPr>
      </w:pPr>
      <w:r>
        <w:rPr>
          <w:sz w:val="20"/>
        </w:rPr>
        <w:t>adopt technologies related to inventory management such as Radio Frequency Identification, otherwise known as RFID technology, which may have substantial implementation</w:t>
      </w:r>
      <w:r>
        <w:rPr>
          <w:spacing w:val="-4"/>
          <w:sz w:val="20"/>
        </w:rPr>
        <w:t xml:space="preserve"> </w:t>
      </w:r>
      <w:r>
        <w:rPr>
          <w:sz w:val="20"/>
        </w:rPr>
        <w:t>costs.</w:t>
      </w:r>
    </w:p>
    <w:p w14:paraId="7326B9D5" w14:textId="77777777" w:rsidR="00EF3DFB" w:rsidRDefault="00EF3DFB">
      <w:pPr>
        <w:pStyle w:val="BodyText"/>
        <w:rPr>
          <w:sz w:val="21"/>
        </w:rPr>
      </w:pPr>
    </w:p>
    <w:p w14:paraId="7326B9D6" w14:textId="77777777" w:rsidR="00EF3DFB" w:rsidRDefault="00D27C17">
      <w:pPr>
        <w:pStyle w:val="BodyText"/>
        <w:spacing w:line="249" w:lineRule="auto"/>
        <w:ind w:left="190" w:right="170"/>
        <w:jc w:val="both"/>
      </w:pPr>
      <w:r>
        <w:t>The Company cannot provide any assurance that it can continue to successfully m</w:t>
      </w:r>
      <w:r>
        <w:t>eet the needs of its customers or that customer demand will remain consistent. A substantial decrease in sales to any of its major customers and an inability to adapt to the emergence of alternative retail channels could have a material adverse effect on t</w:t>
      </w:r>
      <w:r>
        <w:t>he Company’s business, results of operations and financial condition.</w:t>
      </w:r>
    </w:p>
    <w:p w14:paraId="7326B9D7" w14:textId="77777777" w:rsidR="00EF3DFB" w:rsidRDefault="00EF3DFB">
      <w:pPr>
        <w:pStyle w:val="BodyText"/>
        <w:spacing w:before="10"/>
      </w:pPr>
    </w:p>
    <w:p w14:paraId="7326B9D8" w14:textId="77777777" w:rsidR="00EF3DFB" w:rsidRDefault="00D27C17">
      <w:pPr>
        <w:pStyle w:val="Heading2"/>
        <w:spacing w:line="249" w:lineRule="auto"/>
        <w:ind w:right="171"/>
      </w:pPr>
      <w:r>
        <w:t>If the Company is unable to commercialize a continuing stream of new products that create demand, the Company’s ability to compete in the marketplace may be adversely impacted.</w:t>
      </w:r>
    </w:p>
    <w:p w14:paraId="7326B9D9" w14:textId="77777777" w:rsidR="00EF3DFB" w:rsidRDefault="00EF3DFB">
      <w:pPr>
        <w:pStyle w:val="BodyText"/>
        <w:spacing w:before="3"/>
        <w:rPr>
          <w:b/>
          <w:sz w:val="21"/>
        </w:rPr>
      </w:pPr>
    </w:p>
    <w:p w14:paraId="7326B9DA" w14:textId="77777777" w:rsidR="00EF3DFB" w:rsidRDefault="00D27C17">
      <w:pPr>
        <w:pStyle w:val="BodyText"/>
        <w:spacing w:line="249" w:lineRule="auto"/>
        <w:ind w:left="190" w:right="168"/>
        <w:jc w:val="both"/>
      </w:pPr>
      <w:r>
        <w:t>The Company’s strategy includes investment in new product development and a fo</w:t>
      </w:r>
      <w:r>
        <w:t>cus on innovation. Its long-term success in the competitive retail environment and the industrial and commercial markets depends on its ability to develop and commercialize a continuing stream of innovative new products and line extensions that create dema</w:t>
      </w:r>
      <w:r>
        <w:t>nd. The Company’s ability to quickly innovate in order to adapt its products to meet changing consumer demands is essential, especially in light of e-commerce significantly reducing the barriers for even small competitors to quickly introduce new brands an</w:t>
      </w:r>
      <w:r>
        <w:t>d products directly to consumers. New product development and commercialization efforts, including efforts to enter markets or product categories in which the Company has limited or no prior experience, have inherent risks. These risks include the costs in</w:t>
      </w:r>
      <w:r>
        <w:t>volved, such as development and commercialization, product development or launch delays, and the failure of new products and line extensions to achieve anticipated levels of market acceptance or growth in sales or operating income. The Company also faces t</w:t>
      </w:r>
      <w:r>
        <w:t xml:space="preserve">he risk that its competitors will introduce innovative new products that compete with the Company’s products. In addition, sales generated by new products or line extensions could cause a decline in sales of the Company’s existing products. If new product </w:t>
      </w:r>
      <w:r>
        <w:t>development and commercialization efforts are not successful, the Company’s financial results could be adversely affected.</w:t>
      </w:r>
    </w:p>
    <w:p w14:paraId="7326B9DB" w14:textId="77777777" w:rsidR="00EF3DFB" w:rsidRDefault="00EF3DFB">
      <w:pPr>
        <w:pStyle w:val="BodyText"/>
        <w:spacing w:before="5"/>
        <w:rPr>
          <w:sz w:val="21"/>
        </w:rPr>
      </w:pPr>
    </w:p>
    <w:p w14:paraId="7326B9DC" w14:textId="77777777" w:rsidR="00EF3DFB" w:rsidRDefault="00D27C17">
      <w:pPr>
        <w:pStyle w:val="Heading2"/>
        <w:spacing w:before="1" w:line="249" w:lineRule="auto"/>
        <w:ind w:right="170"/>
      </w:pPr>
      <w:r>
        <w:t>If the Company does not continue to develop and maintain leading brands or realize the anticipated benefits of increased advertising</w:t>
      </w:r>
      <w:r>
        <w:t xml:space="preserve"> and promotion spend over the long term, its operating results may suffer.</w:t>
      </w:r>
    </w:p>
    <w:p w14:paraId="7326B9DD" w14:textId="77777777" w:rsidR="00EF3DFB" w:rsidRDefault="00EF3DFB">
      <w:pPr>
        <w:pStyle w:val="BodyText"/>
        <w:spacing w:before="3"/>
        <w:rPr>
          <w:b/>
          <w:sz w:val="21"/>
        </w:rPr>
      </w:pPr>
    </w:p>
    <w:p w14:paraId="7326B9DE" w14:textId="77777777" w:rsidR="00EF3DFB" w:rsidRDefault="00D27C17">
      <w:pPr>
        <w:pStyle w:val="BodyText"/>
        <w:spacing w:line="249" w:lineRule="auto"/>
        <w:ind w:left="190" w:right="168"/>
        <w:jc w:val="both"/>
      </w:pPr>
      <w:r>
        <w:t xml:space="preserve">The Company’s ability to compete successfully also depends increasingly on its ability to develop and maintain leading brands so that the Company’s retail and other customers will </w:t>
      </w:r>
      <w:r>
        <w:t>need its products to meet consumer demand. Leading brands allow the Company to realize economies of scale in its operations. The development and maintenance of such brands require significant investment in brand-building and marketing initiatives. While th</w:t>
      </w:r>
      <w:r>
        <w:t xml:space="preserve">e Company plans to increase its expenditures for advertising and promotion and other brand-building and marketing initiatives over the long term, the initiatives may not deliver the anticipated results and the results of such initiatives may not cover the </w:t>
      </w:r>
      <w:r>
        <w:t>costs of the increased investment.</w:t>
      </w:r>
    </w:p>
    <w:p w14:paraId="7326B9DF" w14:textId="77777777" w:rsidR="00EF3DFB" w:rsidRDefault="00EF3DFB">
      <w:pPr>
        <w:spacing w:line="249" w:lineRule="auto"/>
        <w:jc w:val="both"/>
        <w:sectPr w:rsidR="00EF3DFB">
          <w:pgSz w:w="12240" w:h="15840"/>
          <w:pgMar w:top="600" w:right="640" w:bottom="480" w:left="620" w:header="0" w:footer="291" w:gutter="0"/>
          <w:cols w:space="720"/>
        </w:sectPr>
      </w:pPr>
    </w:p>
    <w:p w14:paraId="7326B9E0" w14:textId="77777777" w:rsidR="00EF3DFB" w:rsidRDefault="00D27C17">
      <w:pPr>
        <w:pStyle w:val="Heading2"/>
        <w:spacing w:before="68" w:line="249" w:lineRule="auto"/>
        <w:ind w:right="170"/>
      </w:pPr>
      <w:r>
        <w:lastRenderedPageBreak/>
        <w:t>Failure to further expand the Company’s e-commerce business, despite increasing e-commerce investments, may materially and adversely affect the Company’s market position, net sales and financial performance.</w:t>
      </w:r>
    </w:p>
    <w:p w14:paraId="7326B9E1" w14:textId="77777777" w:rsidR="00EF3DFB" w:rsidRDefault="00EF3DFB">
      <w:pPr>
        <w:pStyle w:val="BodyText"/>
        <w:spacing w:before="4"/>
        <w:rPr>
          <w:b/>
          <w:sz w:val="21"/>
        </w:rPr>
      </w:pPr>
    </w:p>
    <w:p w14:paraId="7326B9E2" w14:textId="77777777" w:rsidR="00EF3DFB" w:rsidRDefault="00D27C17">
      <w:pPr>
        <w:pStyle w:val="BodyText"/>
        <w:spacing w:line="249" w:lineRule="auto"/>
        <w:ind w:left="190" w:right="169"/>
        <w:jc w:val="both"/>
      </w:pPr>
      <w:r>
        <w:t>The retail industry has rapidly evolved and consumers have embraced shopping online and through mobile commerce applications. As a result, the portion of total consumer expenditures with retailers occurring through digital platforms is increasing, and th</w:t>
      </w:r>
      <w:r>
        <w:t>e pace of this increase has accelerated. At the same time, the portion of retail business at traditional “brick and mortar” stores and shopping centers is decreasing.</w:t>
      </w:r>
    </w:p>
    <w:p w14:paraId="7326B9E3" w14:textId="77777777" w:rsidR="00EF3DFB" w:rsidRDefault="00EF3DFB">
      <w:pPr>
        <w:pStyle w:val="BodyText"/>
        <w:spacing w:before="1"/>
        <w:rPr>
          <w:sz w:val="21"/>
        </w:rPr>
      </w:pPr>
    </w:p>
    <w:p w14:paraId="7326B9E4" w14:textId="77777777" w:rsidR="00EF3DFB" w:rsidRDefault="00D27C17">
      <w:pPr>
        <w:pStyle w:val="BodyText"/>
        <w:spacing w:before="1" w:line="249" w:lineRule="auto"/>
        <w:ind w:left="190" w:right="168"/>
        <w:jc w:val="both"/>
      </w:pPr>
      <w:r>
        <w:t>The Company’s strategy includes investments in e-commerce, and investments in technology</w:t>
      </w:r>
      <w:r>
        <w:t xml:space="preserve"> initiatives. If these investments fail to adequately or effectively allow the Company to further expand its e-commerce business, maintain or grow its overall market position or otherwise benefit the Company, the Company’s market position, net sales and fi</w:t>
      </w:r>
      <w:r>
        <w:t>nancial performance could be adversely affected. In addition, a greater concentration of e-commerce sales could result in a reduction in the amount of sales by the Company’s other customers, which could, if not offset by a greater increase in e-commerce sa</w:t>
      </w:r>
      <w:r>
        <w:t>les, materially adversely affect the business of the</w:t>
      </w:r>
      <w:r>
        <w:rPr>
          <w:spacing w:val="-3"/>
        </w:rPr>
        <w:t xml:space="preserve"> </w:t>
      </w:r>
      <w:r>
        <w:t>Company.</w:t>
      </w:r>
    </w:p>
    <w:p w14:paraId="7326B9E5" w14:textId="77777777" w:rsidR="00EF3DFB" w:rsidRDefault="00EF3DFB">
      <w:pPr>
        <w:pStyle w:val="BodyText"/>
        <w:spacing w:before="3"/>
        <w:rPr>
          <w:sz w:val="21"/>
        </w:rPr>
      </w:pPr>
    </w:p>
    <w:p w14:paraId="7326B9E6" w14:textId="77777777" w:rsidR="00EF3DFB" w:rsidRDefault="00D27C17">
      <w:pPr>
        <w:pStyle w:val="BodyText"/>
        <w:spacing w:line="249" w:lineRule="auto"/>
        <w:ind w:left="190" w:right="171"/>
        <w:jc w:val="both"/>
      </w:pPr>
      <w:r>
        <w:t>Furthermore, the cost of certain e-commerce and technology investments may adversely impact the Company’s financial performance in the short and long-term. There can be no assurance that invest</w:t>
      </w:r>
      <w:r>
        <w:t>ments in e-commerce infrastructure and technology will result in increased sales, through e-commerce or otherwise.</w:t>
      </w:r>
    </w:p>
    <w:p w14:paraId="7326B9E7" w14:textId="77777777" w:rsidR="00EF3DFB" w:rsidRDefault="00EF3DFB">
      <w:pPr>
        <w:pStyle w:val="BodyText"/>
        <w:spacing w:before="9"/>
      </w:pPr>
    </w:p>
    <w:p w14:paraId="7326B9E8" w14:textId="77777777" w:rsidR="00EF3DFB" w:rsidRDefault="00D27C17">
      <w:pPr>
        <w:pStyle w:val="Heading2"/>
        <w:spacing w:line="249" w:lineRule="auto"/>
        <w:ind w:right="170"/>
      </w:pPr>
      <w:r>
        <w:t>The Company’s plans to execute its turnaround plan, improve productivity, reduce complexity and costs may not be successful, which would materially adversely affect its financial results.</w:t>
      </w:r>
    </w:p>
    <w:p w14:paraId="7326B9E9" w14:textId="77777777" w:rsidR="00EF3DFB" w:rsidRDefault="00EF3DFB">
      <w:pPr>
        <w:pStyle w:val="BodyText"/>
        <w:spacing w:before="3"/>
        <w:rPr>
          <w:b/>
          <w:sz w:val="21"/>
        </w:rPr>
      </w:pPr>
    </w:p>
    <w:p w14:paraId="7326B9EA" w14:textId="77777777" w:rsidR="00EF3DFB" w:rsidRDefault="00D27C17">
      <w:pPr>
        <w:pStyle w:val="BodyText"/>
        <w:spacing w:before="1" w:line="249" w:lineRule="auto"/>
        <w:ind w:left="190" w:right="169"/>
        <w:jc w:val="both"/>
      </w:pPr>
      <w:r>
        <w:t xml:space="preserve">The Company is executing a turnaround plan to build a global, next </w:t>
      </w:r>
      <w:r>
        <w:t>generation consumer products company that can unleash the full potential of its brands in a fast-moving omni-channel environment. The Company is implementing various global initiatives in connection with the turnaround plan to reduce costs and improve cash</w:t>
      </w:r>
      <w:r>
        <w:t xml:space="preserve"> flows. These initiatives are designed to reduce the complexity of the organization, improve the Company’s cash conversion cycle and increase investment in the Company’s most significant growth platforms. These initiatives are further designed to reduce co</w:t>
      </w:r>
      <w:r>
        <w:t>sts associated with direct materials, indirect expenses, and distribution and logistics, among other things. These initiatives may not be completed substantially as planned, may be more costly to implement than expected, or may not result in, in full or in</w:t>
      </w:r>
      <w:r>
        <w:t xml:space="preserve"> part, the positive effects anticipated. Other major productivity, streamlining and divestment programs may also be required in the future to continue the turnaround plan. Such programs may require the Company to implement a significant amount of organizat</w:t>
      </w:r>
      <w:r>
        <w:t>ional change, which could have a negative impact on employee engagement, divert management’s attention from other concerns, and if not properly managed, impact the Company’s ability to retain key employees, cause disruptions in the Company’s day-to-day ope</w:t>
      </w:r>
      <w:r>
        <w:t>rations and have a negative impact on the Company’s financial results. Further, the Company has pursued and may continue to pursue acquisitions of brands, businesses, or technologies from third parties. The Company’s success depends on its ability to integ</w:t>
      </w:r>
      <w:r>
        <w:t>rate such acquired brands, businesses, or technologies, to continuously improve its manufacturing operations to gain efficiencies, to reduce supply chain costs and to streamline and redeploy nonstrategic selling, general and administrative expenses in orde</w:t>
      </w:r>
      <w:r>
        <w:t>r to produce products at a best-cost position and allow the Company to invest in innovation and brand building, including advertising and promotion. Future acquisitions could result in substantial additional debt, exposure to contingent liabilities, such a</w:t>
      </w:r>
      <w:r>
        <w:t>s litigation or earn-out obligations, the potential impairment of goodwill or other intangible assets, or significant integration and transaction costs.</w:t>
      </w:r>
    </w:p>
    <w:p w14:paraId="7326B9EB" w14:textId="77777777" w:rsidR="00EF3DFB" w:rsidRDefault="00EF3DFB">
      <w:pPr>
        <w:pStyle w:val="BodyText"/>
        <w:spacing w:before="10"/>
        <w:rPr>
          <w:sz w:val="21"/>
        </w:rPr>
      </w:pPr>
    </w:p>
    <w:p w14:paraId="7326B9EC" w14:textId="77777777" w:rsidR="00EF3DFB" w:rsidRDefault="00D27C17">
      <w:pPr>
        <w:pStyle w:val="Heading2"/>
        <w:spacing w:line="249" w:lineRule="auto"/>
        <w:ind w:right="170"/>
      </w:pPr>
      <w:r>
        <w:t>The Company’s operations are dependent upon third-party vendors and suppliers whose failure to perform</w:t>
      </w:r>
      <w:r>
        <w:t xml:space="preserve"> adequately could disrupt the Company’s business operations.</w:t>
      </w:r>
    </w:p>
    <w:p w14:paraId="7326B9ED" w14:textId="77777777" w:rsidR="00EF3DFB" w:rsidRDefault="00EF3DFB">
      <w:pPr>
        <w:pStyle w:val="BodyText"/>
        <w:spacing w:before="3"/>
        <w:rPr>
          <w:b/>
          <w:sz w:val="21"/>
        </w:rPr>
      </w:pPr>
    </w:p>
    <w:p w14:paraId="7326B9EE" w14:textId="77777777" w:rsidR="00EF3DFB" w:rsidRDefault="00D27C17">
      <w:pPr>
        <w:pStyle w:val="BodyText"/>
        <w:spacing w:line="249" w:lineRule="auto"/>
        <w:ind w:left="190" w:right="168"/>
        <w:jc w:val="both"/>
      </w:pPr>
      <w:r>
        <w:t>The Company currently sources a significant portion of parts and products from third parties. The Company’s ability to select and retain reliable vendors and suppliers who provide timely deliver</w:t>
      </w:r>
      <w:r>
        <w:t>ies of quality parts and products will impact the Company’s success in meeting customer demand for timely delivery of quality products. In some cases, the Company does not enter into long-term contracts with its primary vendors and suppliers, instead buyin</w:t>
      </w:r>
      <w:r>
        <w:t>g parts and products on a “purchase order” basis. As a result, the Company may be subject to unexpected changes in pricing or supply of products.</w:t>
      </w:r>
    </w:p>
    <w:p w14:paraId="7326B9EF" w14:textId="77777777" w:rsidR="00EF3DFB" w:rsidRDefault="00EF3DFB">
      <w:pPr>
        <w:pStyle w:val="BodyText"/>
        <w:spacing w:before="2"/>
        <w:rPr>
          <w:sz w:val="21"/>
        </w:rPr>
      </w:pPr>
    </w:p>
    <w:p w14:paraId="7326B9F0" w14:textId="77777777" w:rsidR="00EF3DFB" w:rsidRDefault="00D27C17">
      <w:pPr>
        <w:pStyle w:val="BodyText"/>
        <w:spacing w:before="1" w:line="249" w:lineRule="auto"/>
        <w:ind w:left="190" w:right="167"/>
        <w:jc w:val="both"/>
      </w:pPr>
      <w:r>
        <w:t>The ability of third-party suppliers to timely deliver finished goods and/or raw materials, and the ability o</w:t>
      </w:r>
      <w:r>
        <w:t>f the Company’s own facilities to timely deliver finished goods, may be affected by events beyond their control, such as inability of shippers to timely deliver merchandise due to work stoppages or slowdowns, demand volatility or port congestion, unavailab</w:t>
      </w:r>
      <w:r>
        <w:t xml:space="preserve">ility of shipping containers or other equipment, or significant weather and health conditions affecting manufacturers and/or shippers. Any adverse change in the Company’s relationships with its third-party suppliers, the financial condition of third-party </w:t>
      </w:r>
      <w:r>
        <w:t xml:space="preserve">suppliers, the ability of third-party suppliers to manufacture and deliver outsourced parts or products on a timely basis, or the Company’s ability to import products from third-party suppliers or its own facilities could have a material adverse effect on </w:t>
      </w:r>
      <w:r>
        <w:t>the Company’s business, results of operations and financial</w:t>
      </w:r>
      <w:r>
        <w:rPr>
          <w:spacing w:val="-3"/>
        </w:rPr>
        <w:t xml:space="preserve"> </w:t>
      </w:r>
      <w:r>
        <w:t>condition.</w:t>
      </w:r>
    </w:p>
    <w:p w14:paraId="7326B9F1" w14:textId="77777777" w:rsidR="00EF3DFB" w:rsidRDefault="00EF3DFB">
      <w:pPr>
        <w:spacing w:line="249" w:lineRule="auto"/>
        <w:jc w:val="both"/>
        <w:sectPr w:rsidR="00EF3DFB">
          <w:footerReference w:type="default" r:id="rId10"/>
          <w:pgSz w:w="12240" w:h="15840"/>
          <w:pgMar w:top="840" w:right="640" w:bottom="480" w:left="620" w:header="0" w:footer="291" w:gutter="0"/>
          <w:pgNumType w:start="10"/>
          <w:cols w:space="720"/>
        </w:sectPr>
      </w:pPr>
    </w:p>
    <w:p w14:paraId="7326B9F2" w14:textId="77777777" w:rsidR="00EF3DFB" w:rsidRDefault="00D27C17">
      <w:pPr>
        <w:pStyle w:val="BodyText"/>
        <w:spacing w:before="72"/>
        <w:ind w:left="190" w:right="168"/>
        <w:jc w:val="both"/>
      </w:pPr>
      <w:r>
        <w:lastRenderedPageBreak/>
        <w:t>In addition, the financial condition of the Company’s vendors and suppliers may be adversely affected by general economic conditions, such as credit difficulties and the uncertain macroeconomic environment in recent years. In addition, in some instances th</w:t>
      </w:r>
      <w:r>
        <w:t>e Company maintains single-source or limited-source sourcing relationships, either because multiple sources are not available or the relationship is advantageous due to performance, quality, support, delivery, capacity or price considerations. For example,</w:t>
      </w:r>
      <w:r>
        <w:t xml:space="preserve"> certain businesses in the Baby business unit have a single source of supply for products that comprises a majority of their sales and which owns intellectual property rights in respect of many of those products. As another example, certain products manufa</w:t>
      </w:r>
      <w:r>
        <w:t>ctured by the Connected Home and Security business unit rely upon a single source for a key component part, and alternative sources for that component part are limited. Should any of these single source suppliers fail to manufacture sufficient supply, temp</w:t>
      </w:r>
      <w:r>
        <w:t>orarily close their factories as a result of government mandates or other circumstances, go out of business or discontinue a particular component, the Company may not be able to find alternative vendors and suppliers in a timely manner, if at all. Any inab</w:t>
      </w:r>
      <w:r>
        <w:t>ility of the Company’s vendors and suppliers to timely deliver quality parts and products or any unanticipated change in supply, quality or pricing of products could be disruptive and costly to the Company. The Company cannot assure you that it could quick</w:t>
      </w:r>
      <w:r>
        <w:t>ly or effectively replace any of its suppliers if the need arose, and the Company cannot assure you that it could retrieve tooling and molds possessed by any of its third-party suppliers. The Company’s dependence on these few suppliers could also adversely</w:t>
      </w:r>
      <w:r>
        <w:t xml:space="preserve"> affect its ability to react quickly and effectively to changes in the market for its</w:t>
      </w:r>
      <w:r>
        <w:rPr>
          <w:spacing w:val="-6"/>
        </w:rPr>
        <w:t xml:space="preserve"> </w:t>
      </w:r>
      <w:r>
        <w:t>products.</w:t>
      </w:r>
    </w:p>
    <w:p w14:paraId="7326B9F3" w14:textId="77777777" w:rsidR="00EF3DFB" w:rsidRDefault="00EF3DFB">
      <w:pPr>
        <w:pStyle w:val="BodyText"/>
        <w:spacing w:before="6"/>
      </w:pPr>
    </w:p>
    <w:p w14:paraId="7326B9F4" w14:textId="77777777" w:rsidR="00EF3DFB" w:rsidRDefault="00D27C17">
      <w:pPr>
        <w:pStyle w:val="Heading2"/>
        <w:spacing w:before="1" w:line="249" w:lineRule="auto"/>
        <w:ind w:right="168"/>
      </w:pPr>
      <w:r>
        <w:t>A cyber-attack or failure of one or more key information technology systems, networks, processes, associated sites or service providers could have a material a</w:t>
      </w:r>
      <w:r>
        <w:t>dverse impact on the Company’s business or reputation.</w:t>
      </w:r>
    </w:p>
    <w:p w14:paraId="7326B9F5" w14:textId="77777777" w:rsidR="00EF3DFB" w:rsidRDefault="00EF3DFB">
      <w:pPr>
        <w:pStyle w:val="BodyText"/>
        <w:spacing w:before="3"/>
        <w:rPr>
          <w:b/>
          <w:sz w:val="21"/>
        </w:rPr>
      </w:pPr>
    </w:p>
    <w:p w14:paraId="7326B9F6" w14:textId="77777777" w:rsidR="00EF3DFB" w:rsidRDefault="00D27C17">
      <w:pPr>
        <w:pStyle w:val="BodyText"/>
        <w:spacing w:line="249" w:lineRule="auto"/>
        <w:ind w:left="190" w:right="168"/>
        <w:jc w:val="both"/>
      </w:pPr>
      <w:r>
        <w:t xml:space="preserve">The Company relies extensively on information technology (“IT”) systems, networks and services, including Internet sites, data hosting and processing facilities and tools and other hardware, software </w:t>
      </w:r>
      <w:r>
        <w:t xml:space="preserve">and technical applications and platforms, some of which are managed, hosted, provided and/or used by third parties or their vendors, to assist in conducting business. The various uses of these IT systems, networks and services include, but are not limited </w:t>
      </w:r>
      <w:r>
        <w:t>to:</w:t>
      </w:r>
    </w:p>
    <w:p w14:paraId="7326B9F7" w14:textId="77777777" w:rsidR="00EF3DFB" w:rsidRDefault="00EF3DFB">
      <w:pPr>
        <w:pStyle w:val="BodyText"/>
        <w:spacing w:before="2"/>
        <w:rPr>
          <w:sz w:val="21"/>
        </w:rPr>
      </w:pPr>
    </w:p>
    <w:p w14:paraId="7326B9F8" w14:textId="77777777" w:rsidR="00EF3DFB" w:rsidRDefault="00D27C17">
      <w:pPr>
        <w:pStyle w:val="ListParagraph"/>
        <w:numPr>
          <w:ilvl w:val="1"/>
          <w:numId w:val="30"/>
        </w:numPr>
        <w:tabs>
          <w:tab w:val="left" w:pos="909"/>
          <w:tab w:val="left" w:pos="910"/>
        </w:tabs>
        <w:rPr>
          <w:sz w:val="20"/>
        </w:rPr>
      </w:pPr>
      <w:r>
        <w:rPr>
          <w:sz w:val="20"/>
        </w:rPr>
        <w:t>ordering and managing materials from</w:t>
      </w:r>
      <w:r>
        <w:rPr>
          <w:spacing w:val="-3"/>
          <w:sz w:val="20"/>
        </w:rPr>
        <w:t xml:space="preserve"> </w:t>
      </w:r>
      <w:r>
        <w:rPr>
          <w:sz w:val="20"/>
        </w:rPr>
        <w:t>suppliers;</w:t>
      </w:r>
    </w:p>
    <w:p w14:paraId="7326B9F9" w14:textId="77777777" w:rsidR="00EF3DFB" w:rsidRDefault="00D27C17">
      <w:pPr>
        <w:pStyle w:val="ListParagraph"/>
        <w:numPr>
          <w:ilvl w:val="1"/>
          <w:numId w:val="30"/>
        </w:numPr>
        <w:tabs>
          <w:tab w:val="left" w:pos="909"/>
          <w:tab w:val="left" w:pos="910"/>
        </w:tabs>
        <w:spacing w:before="10"/>
        <w:rPr>
          <w:sz w:val="20"/>
        </w:rPr>
      </w:pPr>
      <w:r>
        <w:rPr>
          <w:sz w:val="20"/>
        </w:rPr>
        <w:t>converting materials to finished</w:t>
      </w:r>
      <w:r>
        <w:rPr>
          <w:spacing w:val="-2"/>
          <w:sz w:val="20"/>
        </w:rPr>
        <w:t xml:space="preserve"> </w:t>
      </w:r>
      <w:r>
        <w:rPr>
          <w:sz w:val="20"/>
        </w:rPr>
        <w:t>products;</w:t>
      </w:r>
    </w:p>
    <w:p w14:paraId="7326B9FA" w14:textId="77777777" w:rsidR="00EF3DFB" w:rsidRDefault="00D27C17">
      <w:pPr>
        <w:pStyle w:val="ListParagraph"/>
        <w:numPr>
          <w:ilvl w:val="1"/>
          <w:numId w:val="30"/>
        </w:numPr>
        <w:tabs>
          <w:tab w:val="left" w:pos="909"/>
          <w:tab w:val="left" w:pos="910"/>
        </w:tabs>
        <w:spacing w:before="10"/>
        <w:rPr>
          <w:sz w:val="20"/>
        </w:rPr>
      </w:pPr>
      <w:r>
        <w:rPr>
          <w:sz w:val="20"/>
        </w:rPr>
        <w:t>shipping products to</w:t>
      </w:r>
      <w:r>
        <w:rPr>
          <w:spacing w:val="-2"/>
          <w:sz w:val="20"/>
        </w:rPr>
        <w:t xml:space="preserve"> </w:t>
      </w:r>
      <w:r>
        <w:rPr>
          <w:sz w:val="20"/>
        </w:rPr>
        <w:t>customers;</w:t>
      </w:r>
    </w:p>
    <w:p w14:paraId="7326B9FB" w14:textId="77777777" w:rsidR="00EF3DFB" w:rsidRDefault="00D27C17">
      <w:pPr>
        <w:pStyle w:val="ListParagraph"/>
        <w:numPr>
          <w:ilvl w:val="1"/>
          <w:numId w:val="30"/>
        </w:numPr>
        <w:tabs>
          <w:tab w:val="left" w:pos="909"/>
          <w:tab w:val="left" w:pos="910"/>
        </w:tabs>
        <w:spacing w:before="10"/>
        <w:rPr>
          <w:sz w:val="20"/>
        </w:rPr>
      </w:pPr>
      <w:r>
        <w:rPr>
          <w:sz w:val="20"/>
        </w:rPr>
        <w:t>marketing and selling products to</w:t>
      </w:r>
      <w:r>
        <w:rPr>
          <w:spacing w:val="-2"/>
          <w:sz w:val="20"/>
        </w:rPr>
        <w:t xml:space="preserve"> </w:t>
      </w:r>
      <w:r>
        <w:rPr>
          <w:sz w:val="20"/>
        </w:rPr>
        <w:t>consumers;</w:t>
      </w:r>
    </w:p>
    <w:p w14:paraId="7326B9FC" w14:textId="77777777" w:rsidR="00EF3DFB" w:rsidRDefault="00D27C17">
      <w:pPr>
        <w:pStyle w:val="ListParagraph"/>
        <w:numPr>
          <w:ilvl w:val="1"/>
          <w:numId w:val="30"/>
        </w:numPr>
        <w:tabs>
          <w:tab w:val="left" w:pos="910"/>
        </w:tabs>
        <w:spacing w:before="10"/>
        <w:ind w:right="168"/>
        <w:jc w:val="both"/>
        <w:rPr>
          <w:sz w:val="20"/>
        </w:rPr>
      </w:pPr>
      <w:r>
        <w:rPr>
          <w:sz w:val="20"/>
        </w:rPr>
        <w:t xml:space="preserve">collecting and storing customer, consumer, employee, investor and other stakeholder information and personal data, including data that may be subject to the General Data Protection Regulation of the European Union (“GDPR”), the California Consumer Privacy </w:t>
      </w:r>
      <w:r>
        <w:rPr>
          <w:sz w:val="20"/>
        </w:rPr>
        <w:t>Act (“CCPA”) or General Law for Protection of Personal Data (“LGPD”) of</w:t>
      </w:r>
      <w:r>
        <w:rPr>
          <w:spacing w:val="-30"/>
          <w:sz w:val="20"/>
        </w:rPr>
        <w:t xml:space="preserve"> </w:t>
      </w:r>
      <w:r>
        <w:rPr>
          <w:sz w:val="20"/>
        </w:rPr>
        <w:t>Brazil;</w:t>
      </w:r>
    </w:p>
    <w:p w14:paraId="7326B9FD" w14:textId="77777777" w:rsidR="00EF3DFB" w:rsidRDefault="00D27C17">
      <w:pPr>
        <w:pStyle w:val="ListParagraph"/>
        <w:numPr>
          <w:ilvl w:val="1"/>
          <w:numId w:val="30"/>
        </w:numPr>
        <w:tabs>
          <w:tab w:val="left" w:pos="909"/>
          <w:tab w:val="left" w:pos="910"/>
        </w:tabs>
        <w:rPr>
          <w:sz w:val="20"/>
        </w:rPr>
      </w:pPr>
      <w:r>
        <w:rPr>
          <w:sz w:val="20"/>
        </w:rPr>
        <w:t>processing</w:t>
      </w:r>
      <w:r>
        <w:rPr>
          <w:spacing w:val="-1"/>
          <w:sz w:val="20"/>
        </w:rPr>
        <w:t xml:space="preserve"> </w:t>
      </w:r>
      <w:r>
        <w:rPr>
          <w:sz w:val="20"/>
        </w:rPr>
        <w:t>transactions;</w:t>
      </w:r>
    </w:p>
    <w:p w14:paraId="7326B9FE" w14:textId="77777777" w:rsidR="00EF3DFB" w:rsidRDefault="00D27C17">
      <w:pPr>
        <w:pStyle w:val="ListParagraph"/>
        <w:numPr>
          <w:ilvl w:val="1"/>
          <w:numId w:val="30"/>
        </w:numPr>
        <w:tabs>
          <w:tab w:val="left" w:pos="909"/>
          <w:tab w:val="left" w:pos="910"/>
        </w:tabs>
        <w:spacing w:before="10"/>
        <w:rPr>
          <w:sz w:val="20"/>
        </w:rPr>
      </w:pPr>
      <w:r>
        <w:rPr>
          <w:sz w:val="20"/>
        </w:rPr>
        <w:t>summarizing and reporting results of</w:t>
      </w:r>
      <w:r>
        <w:rPr>
          <w:spacing w:val="-2"/>
          <w:sz w:val="20"/>
        </w:rPr>
        <w:t xml:space="preserve"> </w:t>
      </w:r>
      <w:r>
        <w:rPr>
          <w:sz w:val="20"/>
        </w:rPr>
        <w:t>operations;</w:t>
      </w:r>
    </w:p>
    <w:p w14:paraId="7326B9FF" w14:textId="77777777" w:rsidR="00EF3DFB" w:rsidRDefault="00D27C17">
      <w:pPr>
        <w:pStyle w:val="ListParagraph"/>
        <w:numPr>
          <w:ilvl w:val="1"/>
          <w:numId w:val="30"/>
        </w:numPr>
        <w:tabs>
          <w:tab w:val="left" w:pos="909"/>
          <w:tab w:val="left" w:pos="910"/>
        </w:tabs>
        <w:spacing w:before="10"/>
        <w:rPr>
          <w:sz w:val="20"/>
        </w:rPr>
      </w:pPr>
      <w:r>
        <w:rPr>
          <w:sz w:val="20"/>
        </w:rPr>
        <w:t>hosting, processing and sharing confidential and proprietary research, business plans and financial</w:t>
      </w:r>
      <w:r>
        <w:rPr>
          <w:spacing w:val="-19"/>
          <w:sz w:val="20"/>
        </w:rPr>
        <w:t xml:space="preserve"> </w:t>
      </w:r>
      <w:r>
        <w:rPr>
          <w:sz w:val="20"/>
        </w:rPr>
        <w:t>in</w:t>
      </w:r>
      <w:r>
        <w:rPr>
          <w:sz w:val="20"/>
        </w:rPr>
        <w:t>formation;</w:t>
      </w:r>
    </w:p>
    <w:p w14:paraId="7326BA00" w14:textId="77777777" w:rsidR="00EF3DFB" w:rsidRDefault="00D27C17">
      <w:pPr>
        <w:pStyle w:val="ListParagraph"/>
        <w:numPr>
          <w:ilvl w:val="1"/>
          <w:numId w:val="30"/>
        </w:numPr>
        <w:tabs>
          <w:tab w:val="left" w:pos="909"/>
          <w:tab w:val="left" w:pos="910"/>
        </w:tabs>
        <w:spacing w:before="10"/>
        <w:rPr>
          <w:sz w:val="20"/>
        </w:rPr>
      </w:pPr>
      <w:r>
        <w:rPr>
          <w:sz w:val="20"/>
        </w:rPr>
        <w:t>complying with regulatory, legal or tax</w:t>
      </w:r>
      <w:r>
        <w:rPr>
          <w:spacing w:val="-3"/>
          <w:sz w:val="20"/>
        </w:rPr>
        <w:t xml:space="preserve"> </w:t>
      </w:r>
      <w:r>
        <w:rPr>
          <w:sz w:val="20"/>
        </w:rPr>
        <w:t>requirements;</w:t>
      </w:r>
    </w:p>
    <w:p w14:paraId="7326BA01" w14:textId="77777777" w:rsidR="00EF3DFB" w:rsidRDefault="00D27C17">
      <w:pPr>
        <w:pStyle w:val="ListParagraph"/>
        <w:numPr>
          <w:ilvl w:val="1"/>
          <w:numId w:val="30"/>
        </w:numPr>
        <w:tabs>
          <w:tab w:val="left" w:pos="909"/>
          <w:tab w:val="left" w:pos="910"/>
        </w:tabs>
        <w:spacing w:before="10"/>
        <w:rPr>
          <w:sz w:val="20"/>
        </w:rPr>
      </w:pPr>
      <w:r>
        <w:rPr>
          <w:sz w:val="20"/>
        </w:rPr>
        <w:t>providing data security;</w:t>
      </w:r>
      <w:r>
        <w:rPr>
          <w:spacing w:val="-3"/>
          <w:sz w:val="20"/>
        </w:rPr>
        <w:t xml:space="preserve"> </w:t>
      </w:r>
      <w:r>
        <w:rPr>
          <w:sz w:val="20"/>
        </w:rPr>
        <w:t>and</w:t>
      </w:r>
    </w:p>
    <w:p w14:paraId="7326BA02" w14:textId="77777777" w:rsidR="00EF3DFB" w:rsidRDefault="00D27C17">
      <w:pPr>
        <w:pStyle w:val="ListParagraph"/>
        <w:numPr>
          <w:ilvl w:val="1"/>
          <w:numId w:val="30"/>
        </w:numPr>
        <w:tabs>
          <w:tab w:val="left" w:pos="909"/>
          <w:tab w:val="left" w:pos="910"/>
        </w:tabs>
        <w:spacing w:before="10"/>
        <w:rPr>
          <w:sz w:val="20"/>
        </w:rPr>
      </w:pPr>
      <w:r>
        <w:rPr>
          <w:sz w:val="20"/>
        </w:rPr>
        <w:t>handling other processes necessary to manage the Company’s</w:t>
      </w:r>
      <w:r>
        <w:rPr>
          <w:spacing w:val="-7"/>
          <w:sz w:val="20"/>
        </w:rPr>
        <w:t xml:space="preserve"> </w:t>
      </w:r>
      <w:r>
        <w:rPr>
          <w:sz w:val="20"/>
        </w:rPr>
        <w:t>business.</w:t>
      </w:r>
    </w:p>
    <w:p w14:paraId="7326BA03" w14:textId="77777777" w:rsidR="00EF3DFB" w:rsidRDefault="00EF3DFB">
      <w:pPr>
        <w:pStyle w:val="BodyText"/>
        <w:spacing w:before="8"/>
        <w:rPr>
          <w:sz w:val="21"/>
        </w:rPr>
      </w:pPr>
    </w:p>
    <w:p w14:paraId="7326BA04" w14:textId="77777777" w:rsidR="00EF3DFB" w:rsidRDefault="00D27C17">
      <w:pPr>
        <w:pStyle w:val="BodyText"/>
        <w:spacing w:before="1" w:line="249" w:lineRule="auto"/>
        <w:ind w:left="190" w:right="169"/>
        <w:jc w:val="both"/>
      </w:pPr>
      <w:r>
        <w:t>Increased IT security threats and cyber-crime, including advanced persistent threats, computer viruses, ransomware, other types of malicious code, hacking, phishing and social engineering schemes designed to provide access to the Company’s networks or data</w:t>
      </w:r>
      <w:r>
        <w:t>, pose a potential risk to the security of the Company’s IT systems, networks and services, as well as the confidentiality, availability and integrity of the Company’s data. Cyber threats are becoming more sophisticated, are constantly evolving and are bei</w:t>
      </w:r>
      <w:r>
        <w:t>ng made by groups and individuals with a wide range of expertise and motives, and this increases the difficulty of detecting and successfully defending against them. The Company deploys technical and organizational measures to protect and prevent unauthori</w:t>
      </w:r>
      <w:r>
        <w:t xml:space="preserve">zed access to or loss of data, however, as techniques used to obtain unauthorized access or to sabotage systems change frequently and generally are not recognized until launched against a target, the Company may be unable to anticipate these techniques or </w:t>
      </w:r>
      <w:r>
        <w:t>implement preventive measures. Furthermore, the Company’s relationships with, and access provided to, third parties and their vendors may create difficulties in anticipating and implementing adequate preventive measures or fully mitigating harms after an a</w:t>
      </w:r>
      <w:r>
        <w:t>ttack or breach occurs.</w:t>
      </w:r>
    </w:p>
    <w:p w14:paraId="7326BA05" w14:textId="77777777" w:rsidR="00EF3DFB" w:rsidRDefault="00EF3DFB">
      <w:pPr>
        <w:pStyle w:val="BodyText"/>
        <w:spacing w:before="7"/>
        <w:rPr>
          <w:sz w:val="21"/>
        </w:rPr>
      </w:pPr>
    </w:p>
    <w:p w14:paraId="7326BA06" w14:textId="77777777" w:rsidR="00EF3DFB" w:rsidRDefault="00D27C17">
      <w:pPr>
        <w:pStyle w:val="BodyText"/>
        <w:spacing w:line="249" w:lineRule="auto"/>
        <w:ind w:left="190" w:right="168"/>
        <w:jc w:val="both"/>
      </w:pPr>
      <w:r>
        <w:t>The Company cannot guarantee that its security efforts will prevent attacks and resulting breaches or breakdowns of the Company’s, or its third-party service providers’ databases or systems notwithstanding whether the Company takes</w:t>
      </w:r>
      <w:r>
        <w:t xml:space="preserve"> reasonable steps to prevent such attacks. The Company’s operations, especially its retail operations, involve the storage and transmission of employees’, customers’ and consumers’ proprietary information, such as credit card and bank account numbers. The </w:t>
      </w:r>
      <w:r>
        <w:t>Company’s payment services may be subject to credit card and other payment fraud schemes, including unauthorized use of credit cards, debit cards or bank account information, identity theft or merchant fraud. If the IT systems, networks or service provider</w:t>
      </w:r>
      <w:r>
        <w:t>s relied upon fail to function properly, or if the Company suffers a loss or disclosure of customers’ and consumers’ data, business or stakeholder information, due to any number of causes, ranging from catastrophic events to power outages to security breac</w:t>
      </w:r>
      <w:r>
        <w:t>hes, or the inability to effectively address these failures on a timely basis, the Company may suffer interruptions in its ability to manage operations, a risk of government enforcement action, litigation and possible liability, and reputational, competiti</w:t>
      </w:r>
      <w:r>
        <w:t>ve and/or business harm, which may</w:t>
      </w:r>
    </w:p>
    <w:p w14:paraId="7326BA07" w14:textId="77777777" w:rsidR="00EF3DFB" w:rsidRDefault="00EF3DFB">
      <w:pPr>
        <w:spacing w:line="249" w:lineRule="auto"/>
        <w:jc w:val="both"/>
        <w:sectPr w:rsidR="00EF3DFB">
          <w:pgSz w:w="12240" w:h="15840"/>
          <w:pgMar w:top="600" w:right="640" w:bottom="480" w:left="620" w:header="0" w:footer="291" w:gutter="0"/>
          <w:cols w:space="720"/>
        </w:sectPr>
      </w:pPr>
    </w:p>
    <w:p w14:paraId="7326BA08" w14:textId="77777777" w:rsidR="00EF3DFB" w:rsidRDefault="00D27C17">
      <w:pPr>
        <w:pStyle w:val="BodyText"/>
        <w:spacing w:before="72" w:line="249" w:lineRule="auto"/>
        <w:ind w:left="190" w:right="169"/>
        <w:jc w:val="both"/>
      </w:pPr>
      <w:r>
        <w:lastRenderedPageBreak/>
        <w:t>adversely impact the Company’s results of operations and/or financial condition. In addition, if the Company’s service providers, suppliers or customers experience a breach or unauthorized disclosure or syst</w:t>
      </w:r>
      <w:r>
        <w:t>em failure, their businesses could be disrupted or otherwise negatively affected, which may result in a disruption in the Company’s supply chain or reduced customer orders or other business operations, which would adversely affect the Company.</w:t>
      </w:r>
    </w:p>
    <w:p w14:paraId="7326BA09" w14:textId="77777777" w:rsidR="00EF3DFB" w:rsidRDefault="00EF3DFB">
      <w:pPr>
        <w:pStyle w:val="BodyText"/>
        <w:spacing w:before="1"/>
        <w:rPr>
          <w:sz w:val="21"/>
        </w:rPr>
      </w:pPr>
    </w:p>
    <w:p w14:paraId="7326BA0A" w14:textId="77777777" w:rsidR="00EF3DFB" w:rsidRDefault="00D27C17">
      <w:pPr>
        <w:pStyle w:val="BodyText"/>
        <w:spacing w:line="249" w:lineRule="auto"/>
        <w:ind w:left="190" w:right="168"/>
        <w:jc w:val="both"/>
      </w:pPr>
      <w:r>
        <w:t>The Company</w:t>
      </w:r>
      <w:r>
        <w:t xml:space="preserve"> is subject to laws of various countries where it operates or does business related to solicitation, collection, processing, transferring, storing or use of consumer, customer, vendor or employee information or related data, including the GDPR which went i</w:t>
      </w:r>
      <w:r>
        <w:t>nto effect in May 2018, the CCPA, which went into effect on January 1, 2020, and the LGPD which went into effect in August 2020. The changes introduced by the GDPR, CCPA, and LGPD increase the complexity of regulations enacted to protect business and perso</w:t>
      </w:r>
      <w:r>
        <w:t>nal data, subject the Company to additional costs and have required, and may in the future require, costly changes to the Company’s security systems, policies, procedures and practices.</w:t>
      </w:r>
    </w:p>
    <w:p w14:paraId="7326BA0B" w14:textId="77777777" w:rsidR="00EF3DFB" w:rsidRDefault="00EF3DFB">
      <w:pPr>
        <w:pStyle w:val="BodyText"/>
        <w:rPr>
          <w:sz w:val="21"/>
        </w:rPr>
      </w:pPr>
    </w:p>
    <w:p w14:paraId="7326BA0C" w14:textId="77777777" w:rsidR="00EF3DFB" w:rsidRDefault="00D27C17">
      <w:pPr>
        <w:pStyle w:val="Heading2"/>
        <w:spacing w:before="1" w:line="249" w:lineRule="auto"/>
        <w:ind w:right="170"/>
      </w:pPr>
      <w:r>
        <w:t xml:space="preserve">The Company’s operating results can be adversely affected by changes </w:t>
      </w:r>
      <w:r>
        <w:t>in the cost or availability of raw materials, energy, transportation and other necessary supplies and services, as well as the impact of tariffs.</w:t>
      </w:r>
    </w:p>
    <w:p w14:paraId="7326BA0D" w14:textId="77777777" w:rsidR="00EF3DFB" w:rsidRDefault="00EF3DFB">
      <w:pPr>
        <w:pStyle w:val="BodyText"/>
        <w:spacing w:before="3"/>
        <w:rPr>
          <w:b/>
          <w:sz w:val="21"/>
        </w:rPr>
      </w:pPr>
    </w:p>
    <w:p w14:paraId="7326BA0E" w14:textId="77777777" w:rsidR="00EF3DFB" w:rsidRDefault="00D27C17">
      <w:pPr>
        <w:pStyle w:val="BodyText"/>
        <w:spacing w:line="249" w:lineRule="auto"/>
        <w:ind w:left="190" w:right="169"/>
        <w:jc w:val="both"/>
      </w:pPr>
      <w:r>
        <w:t xml:space="preserve">The Company’s success is dependent, in part, on its continued ability to reduce its exposure to increases in </w:t>
      </w:r>
      <w:r>
        <w:t>the cost of raw materials, energy, transportation and other necessary supplies and services through a variety of programs, including periodic purchases, future delivery purchases, long-term contracts, sales price adjustments and certain derivative instrume</w:t>
      </w:r>
      <w:r>
        <w:t>nts, while maintaining and improving margins and market share. Also, the Company relies on third-party manufacturers as a source for its products. These manufacturers are also subject to price volatility and labor cost and other inflationary pressures, whi</w:t>
      </w:r>
      <w:r>
        <w:t>ch may, in turn, result in an increase in the amount the Company pays for sourced products. During periods of rising prices of raw materials, there can be no assurance that the Company will be able to pass any portion of such increases on to customers. Con</w:t>
      </w:r>
      <w:r>
        <w:t>versely, when raw material prices decline, customer demands for lower prices could result in lower sale prices and, to the extent the Company has existing inventory, lower margins. As a result, fluctuations in raw material prices could have a material adve</w:t>
      </w:r>
      <w:r>
        <w:t>rse effect on the Company’s business, results of operations and financial</w:t>
      </w:r>
      <w:r>
        <w:rPr>
          <w:spacing w:val="-5"/>
        </w:rPr>
        <w:t xml:space="preserve"> </w:t>
      </w:r>
      <w:r>
        <w:t>condition.</w:t>
      </w:r>
    </w:p>
    <w:p w14:paraId="7326BA0F" w14:textId="77777777" w:rsidR="00EF3DFB" w:rsidRDefault="00EF3DFB">
      <w:pPr>
        <w:pStyle w:val="BodyText"/>
        <w:spacing w:before="7"/>
        <w:rPr>
          <w:sz w:val="21"/>
        </w:rPr>
      </w:pPr>
    </w:p>
    <w:p w14:paraId="7326BA10" w14:textId="77777777" w:rsidR="00EF3DFB" w:rsidRDefault="00D27C17">
      <w:pPr>
        <w:pStyle w:val="BodyText"/>
        <w:spacing w:line="249" w:lineRule="auto"/>
        <w:ind w:left="190" w:right="167"/>
        <w:jc w:val="both"/>
      </w:pPr>
      <w:r>
        <w:t>Some of the products the Company manufactures require particular types of glass, metal, paper, plastic, resin, wax, wood or other materials. Supply shortages for a partic</w:t>
      </w:r>
      <w:r>
        <w:t>ular type of material can delay production or cause increases in the cost of manufacturing the Company’s products. Pricing and availability of finished goods, raw materials, energy, transportation and other necessary supplies and services for use in the Co</w:t>
      </w:r>
      <w:r>
        <w:t>mpany’s businesses can be volatile due to numerous factors beyond its control, including general, domestic and international economic conditions, natural disasters, labor costs, production levels, competition, consumer demand, import</w:t>
      </w:r>
      <w:r>
        <w:rPr>
          <w:spacing w:val="-5"/>
        </w:rPr>
        <w:t xml:space="preserve"> </w:t>
      </w:r>
      <w:r>
        <w:t>duties</w:t>
      </w:r>
      <w:r>
        <w:rPr>
          <w:spacing w:val="-5"/>
        </w:rPr>
        <w:t xml:space="preserve"> </w:t>
      </w:r>
      <w:r>
        <w:t>and</w:t>
      </w:r>
      <w:r>
        <w:rPr>
          <w:spacing w:val="-4"/>
        </w:rPr>
        <w:t xml:space="preserve"> </w:t>
      </w:r>
      <w:r>
        <w:t>tariffs,</w:t>
      </w:r>
      <w:r>
        <w:rPr>
          <w:spacing w:val="-4"/>
        </w:rPr>
        <w:t xml:space="preserve"> </w:t>
      </w:r>
      <w:r>
        <w:t>cu</w:t>
      </w:r>
      <w:r>
        <w:t>rrency</w:t>
      </w:r>
      <w:r>
        <w:rPr>
          <w:spacing w:val="-4"/>
        </w:rPr>
        <w:t xml:space="preserve"> </w:t>
      </w:r>
      <w:r>
        <w:t>exchange</w:t>
      </w:r>
      <w:r>
        <w:rPr>
          <w:spacing w:val="-5"/>
        </w:rPr>
        <w:t xml:space="preserve"> </w:t>
      </w:r>
      <w:r>
        <w:t>rates,</w:t>
      </w:r>
      <w:r>
        <w:rPr>
          <w:spacing w:val="-4"/>
        </w:rPr>
        <w:t xml:space="preserve"> </w:t>
      </w:r>
      <w:r>
        <w:t>international</w:t>
      </w:r>
      <w:r>
        <w:rPr>
          <w:spacing w:val="-5"/>
        </w:rPr>
        <w:t xml:space="preserve"> </w:t>
      </w:r>
      <w:r>
        <w:t>treaties,</w:t>
      </w:r>
      <w:r>
        <w:rPr>
          <w:spacing w:val="-4"/>
        </w:rPr>
        <w:t xml:space="preserve"> </w:t>
      </w:r>
      <w:r>
        <w:t>and</w:t>
      </w:r>
      <w:r>
        <w:rPr>
          <w:spacing w:val="-4"/>
        </w:rPr>
        <w:t xml:space="preserve"> </w:t>
      </w:r>
      <w:r>
        <w:t>changes</w:t>
      </w:r>
      <w:r>
        <w:rPr>
          <w:spacing w:val="-5"/>
        </w:rPr>
        <w:t xml:space="preserve"> </w:t>
      </w:r>
      <w:r>
        <w:t>in</w:t>
      </w:r>
      <w:r>
        <w:rPr>
          <w:spacing w:val="-4"/>
        </w:rPr>
        <w:t xml:space="preserve"> </w:t>
      </w:r>
      <w:r>
        <w:t>laws,</w:t>
      </w:r>
      <w:r>
        <w:rPr>
          <w:spacing w:val="-4"/>
        </w:rPr>
        <w:t xml:space="preserve"> </w:t>
      </w:r>
      <w:r>
        <w:t>regulations,</w:t>
      </w:r>
      <w:r>
        <w:rPr>
          <w:spacing w:val="-4"/>
        </w:rPr>
        <w:t xml:space="preserve"> </w:t>
      </w:r>
      <w:r>
        <w:t>and</w:t>
      </w:r>
      <w:r>
        <w:rPr>
          <w:spacing w:val="-4"/>
        </w:rPr>
        <w:t xml:space="preserve"> </w:t>
      </w:r>
      <w:r>
        <w:t>related</w:t>
      </w:r>
      <w:r>
        <w:rPr>
          <w:spacing w:val="-4"/>
        </w:rPr>
        <w:t xml:space="preserve"> </w:t>
      </w:r>
      <w:r>
        <w:t>interpretations.</w:t>
      </w:r>
    </w:p>
    <w:p w14:paraId="7326BA11" w14:textId="77777777" w:rsidR="00EF3DFB" w:rsidRDefault="00EF3DFB">
      <w:pPr>
        <w:pStyle w:val="BodyText"/>
        <w:spacing w:before="3"/>
        <w:rPr>
          <w:sz w:val="21"/>
        </w:rPr>
      </w:pPr>
    </w:p>
    <w:p w14:paraId="7326BA12" w14:textId="77777777" w:rsidR="00EF3DFB" w:rsidRDefault="00D27C17">
      <w:pPr>
        <w:pStyle w:val="BodyText"/>
        <w:spacing w:line="249" w:lineRule="auto"/>
        <w:ind w:left="190" w:right="168"/>
        <w:jc w:val="both"/>
      </w:pPr>
      <w:r>
        <w:t>Specifically, evolving trade policies could continue to make sourcing products from foreign countries difficult and costly, as the Company sources a significant amount of its products from outside of the United States. Considerable political uncertainty ex</w:t>
      </w:r>
      <w:r>
        <w:t>ists in the United States and abroad that could result in continuing changes to the national and international trade policies around which the Company has built its sourcing practices and operations. Additionally, the impact of new trade policy under the n</w:t>
      </w:r>
      <w:r>
        <w:t>ew U.S. Presidential administration is uncertain. Given the Company's reliance upon non-domestic suppliers, any significant changes to the United States trade policies (and those of other countries in response) may cause a material adverse effect on its ab</w:t>
      </w:r>
      <w:r>
        <w:t>ility to source products from other countries or significantly increase the costs of obtaining such products, which could result in a material adverse effect on our financial results. The prior presidential administration imposed a number of tariffs on Chi</w:t>
      </w:r>
      <w:r>
        <w:t>nese-origin goods, as well as on certain products imported into the United States from the European Union. Any extension of tariffs to additional categories of goods or to additional importers or exporters or additional countries of origin could significan</w:t>
      </w:r>
      <w:r>
        <w:t>tly increase the cost of some our products and reduce our margins. The Company will continue to work to mitigate the tariff exposure, in part through pricing, productivity and in some cases relocation. However, there can be no assurance these mitigation ef</w:t>
      </w:r>
      <w:r>
        <w:t>forts will be successful.</w:t>
      </w:r>
    </w:p>
    <w:p w14:paraId="7326BA13" w14:textId="77777777" w:rsidR="00EF3DFB" w:rsidRDefault="00EF3DFB">
      <w:pPr>
        <w:pStyle w:val="BodyText"/>
        <w:spacing w:before="5"/>
        <w:rPr>
          <w:sz w:val="21"/>
        </w:rPr>
      </w:pPr>
    </w:p>
    <w:p w14:paraId="7326BA14" w14:textId="77777777" w:rsidR="00EF3DFB" w:rsidRDefault="00D27C17">
      <w:pPr>
        <w:pStyle w:val="Heading2"/>
      </w:pPr>
      <w:r>
        <w:t>Unfavorable shifts in industry-wide demand for the Company’s products could result in inventory valuation risk.</w:t>
      </w:r>
    </w:p>
    <w:p w14:paraId="7326BA15" w14:textId="77777777" w:rsidR="00EF3DFB" w:rsidRDefault="00EF3DFB">
      <w:pPr>
        <w:pStyle w:val="BodyText"/>
        <w:rPr>
          <w:b/>
          <w:sz w:val="22"/>
        </w:rPr>
      </w:pPr>
    </w:p>
    <w:p w14:paraId="7326BA16" w14:textId="77777777" w:rsidR="00EF3DFB" w:rsidRDefault="00D27C17">
      <w:pPr>
        <w:pStyle w:val="BodyText"/>
        <w:spacing w:before="1" w:line="249" w:lineRule="auto"/>
        <w:ind w:left="190" w:right="168"/>
        <w:jc w:val="both"/>
      </w:pPr>
      <w:r>
        <w:t>The Company evaluates its ending inventories for excess quantities, impairment of value, and obsolescence. This evaluation includes analysis of sales levels by product and projections of future demand based upon input received from our customers, sales tea</w:t>
      </w:r>
      <w:r>
        <w:t>m, and management. If inventories on hand are in excess of demand or slow moving, appropriate write-downs may be recorded. In addition, the Company writes off inventories that are considered obsolete based upon changes in customer demand, product design ch</w:t>
      </w:r>
      <w:r>
        <w:t>anges that result in existing inventory obsolescence, or new product introductions, which eliminate demand for existing products. Remaining inventory balances are adjusted to approximate net realizable market</w:t>
      </w:r>
      <w:r>
        <w:rPr>
          <w:spacing w:val="-13"/>
        </w:rPr>
        <w:t xml:space="preserve"> </w:t>
      </w:r>
      <w:r>
        <w:t>value.</w:t>
      </w:r>
    </w:p>
    <w:p w14:paraId="7326BA17" w14:textId="77777777" w:rsidR="00EF3DFB" w:rsidRDefault="00EF3DFB">
      <w:pPr>
        <w:pStyle w:val="BodyText"/>
        <w:spacing w:before="3"/>
        <w:rPr>
          <w:sz w:val="21"/>
        </w:rPr>
      </w:pPr>
    </w:p>
    <w:p w14:paraId="7326BA18" w14:textId="77777777" w:rsidR="00EF3DFB" w:rsidRDefault="00D27C17">
      <w:pPr>
        <w:pStyle w:val="BodyText"/>
        <w:spacing w:line="249" w:lineRule="auto"/>
        <w:ind w:left="190" w:right="170"/>
        <w:jc w:val="both"/>
      </w:pPr>
      <w:r>
        <w:t>If future demand or market conditions a</w:t>
      </w:r>
      <w:r>
        <w:t>re less favorable than the Company’s estimates, inventory write-downs may be required. The Company cannot be certain that obsolete or excess inventories, which may result from unanticipated changes in the estimated total demand for its products, will not a</w:t>
      </w:r>
      <w:r>
        <w:t>ffect it beyond the inventory charges that have already been</w:t>
      </w:r>
      <w:r>
        <w:rPr>
          <w:spacing w:val="-22"/>
        </w:rPr>
        <w:t xml:space="preserve"> </w:t>
      </w:r>
      <w:r>
        <w:t>recorded.</w:t>
      </w:r>
    </w:p>
    <w:p w14:paraId="7326BA19" w14:textId="77777777" w:rsidR="00EF3DFB" w:rsidRDefault="00EF3DFB">
      <w:pPr>
        <w:spacing w:line="249" w:lineRule="auto"/>
        <w:jc w:val="both"/>
        <w:sectPr w:rsidR="00EF3DFB">
          <w:pgSz w:w="12240" w:h="15840"/>
          <w:pgMar w:top="600" w:right="640" w:bottom="480" w:left="620" w:header="0" w:footer="291" w:gutter="0"/>
          <w:cols w:space="720"/>
        </w:sectPr>
      </w:pPr>
    </w:p>
    <w:p w14:paraId="7326BA1A" w14:textId="77777777" w:rsidR="00EF3DFB" w:rsidRDefault="00D27C17">
      <w:pPr>
        <w:pStyle w:val="Heading2"/>
        <w:spacing w:before="68"/>
      </w:pPr>
      <w:r>
        <w:lastRenderedPageBreak/>
        <w:t>The Company may not be able to attract, retain and develop key personnel.</w:t>
      </w:r>
    </w:p>
    <w:p w14:paraId="7326BA1B" w14:textId="77777777" w:rsidR="00EF3DFB" w:rsidRDefault="00EF3DFB">
      <w:pPr>
        <w:pStyle w:val="BodyText"/>
        <w:rPr>
          <w:b/>
          <w:sz w:val="22"/>
        </w:rPr>
      </w:pPr>
    </w:p>
    <w:p w14:paraId="7326BA1C" w14:textId="77777777" w:rsidR="00EF3DFB" w:rsidRDefault="00D27C17">
      <w:pPr>
        <w:pStyle w:val="BodyText"/>
        <w:spacing w:before="1" w:line="249" w:lineRule="auto"/>
        <w:ind w:left="190" w:right="169"/>
        <w:jc w:val="both"/>
      </w:pPr>
      <w:r>
        <w:t>The Company’s ability to successfully execute its turnaround plan and its future performance dep</w:t>
      </w:r>
      <w:r>
        <w:t>ends in significant part upon the continued service of its executive officers and other key personnel. The loss of the services of one or more executive officers or other key employees could have a material adverse effect on the Company’s business, prospec</w:t>
      </w:r>
      <w:r>
        <w:t>ts, financial condition and results of operations. The Company’s success also depends, in part, on its continuing ability to attract, retain and develop highly qualified personnel. In 2020, the Company hired four new Business Unit CEOs and a new Chief Cust</w:t>
      </w:r>
      <w:r>
        <w:t>omer Officer. Both its President and Chief Executive Officer and its Chief Human Resources Officer joined the Company in 2019. Competition for such personnel is intense, and there can be no assurance that the Company can retain its key employees or attract</w:t>
      </w:r>
      <w:r>
        <w:t>, assimilate and retain other highly qualified personnel in the</w:t>
      </w:r>
      <w:r>
        <w:rPr>
          <w:spacing w:val="-3"/>
        </w:rPr>
        <w:t xml:space="preserve"> </w:t>
      </w:r>
      <w:r>
        <w:t>future.</w:t>
      </w:r>
    </w:p>
    <w:p w14:paraId="7326BA1D" w14:textId="77777777" w:rsidR="00EF3DFB" w:rsidRDefault="00EF3DFB">
      <w:pPr>
        <w:pStyle w:val="BodyText"/>
        <w:spacing w:before="1"/>
        <w:rPr>
          <w:sz w:val="21"/>
        </w:rPr>
      </w:pPr>
    </w:p>
    <w:p w14:paraId="7326BA1E" w14:textId="77777777" w:rsidR="00EF3DFB" w:rsidRDefault="00D27C17">
      <w:pPr>
        <w:pStyle w:val="Heading2"/>
        <w:spacing w:before="1" w:line="254" w:lineRule="auto"/>
        <w:ind w:right="169"/>
        <w:rPr>
          <w:b w:val="0"/>
        </w:rPr>
      </w:pPr>
      <w:r>
        <w:t>Damage to the Company’s reputation or loss of consumer confidence could have an adverse effect on the Company’s business</w:t>
      </w:r>
      <w:r>
        <w:rPr>
          <w:b w:val="0"/>
        </w:rPr>
        <w:t>.</w:t>
      </w:r>
    </w:p>
    <w:p w14:paraId="7326BA1F" w14:textId="77777777" w:rsidR="00EF3DFB" w:rsidRDefault="00EF3DFB">
      <w:pPr>
        <w:pStyle w:val="BodyText"/>
        <w:spacing w:before="5"/>
      </w:pPr>
    </w:p>
    <w:p w14:paraId="7326BA20" w14:textId="77777777" w:rsidR="00EF3DFB" w:rsidRDefault="00D27C17">
      <w:pPr>
        <w:pStyle w:val="BodyText"/>
        <w:spacing w:line="249" w:lineRule="auto"/>
        <w:ind w:left="190" w:right="167"/>
        <w:jc w:val="both"/>
      </w:pPr>
      <w:r>
        <w:t xml:space="preserve">Maintaining the Company’s strong reputation with consumers, </w:t>
      </w:r>
      <w:r>
        <w:t>customers and suppliers worldwide is critical to the Company’s continued success. Adverse publicity about the Company, its brands, corporate practices, or any other issue that may be associated with the Company, whether or not deserved, could jeopardize th</w:t>
      </w:r>
      <w:r>
        <w:t>at reputation. Such adverse publicity could come from traditional sources such as government investigations or public or private litigation, but may also arise from negative comments on social media regarding the Company or its</w:t>
      </w:r>
      <w:r>
        <w:rPr>
          <w:spacing w:val="-4"/>
        </w:rPr>
        <w:t xml:space="preserve"> </w:t>
      </w:r>
      <w:r>
        <w:t>brands.</w:t>
      </w:r>
    </w:p>
    <w:p w14:paraId="7326BA21" w14:textId="77777777" w:rsidR="00EF3DFB" w:rsidRDefault="00EF3DFB">
      <w:pPr>
        <w:pStyle w:val="BodyText"/>
        <w:spacing w:before="3"/>
        <w:rPr>
          <w:sz w:val="21"/>
        </w:rPr>
      </w:pPr>
    </w:p>
    <w:p w14:paraId="7326BA22" w14:textId="77777777" w:rsidR="00EF3DFB" w:rsidRDefault="00D27C17">
      <w:pPr>
        <w:pStyle w:val="BodyText"/>
        <w:spacing w:line="249" w:lineRule="auto"/>
        <w:ind w:left="190" w:right="168"/>
        <w:jc w:val="both"/>
      </w:pPr>
      <w:r>
        <w:t>Additionally, due to the scale and scope of our business, we must rely on relationships with third parties, including our suppliers, distributors, contractors, and other external business partners, for certain functions. While we have policies and procedur</w:t>
      </w:r>
      <w:r>
        <w:t xml:space="preserve">es for managing these relationships, they inherently involve a lesser degree of control over business operations, governance, and compliance, thereby potentially increasing our reputational and legal risk. If third parties fail to comply with our policies </w:t>
      </w:r>
      <w:r>
        <w:t>and procedures or similar compliance requirements set forth by our customers, the Company could potentially suffer significant losses of business and revenue from certain</w:t>
      </w:r>
      <w:r>
        <w:rPr>
          <w:spacing w:val="-4"/>
        </w:rPr>
        <w:t xml:space="preserve"> </w:t>
      </w:r>
      <w:r>
        <w:t>customers.</w:t>
      </w:r>
    </w:p>
    <w:p w14:paraId="7326BA23" w14:textId="77777777" w:rsidR="00EF3DFB" w:rsidRDefault="00EF3DFB">
      <w:pPr>
        <w:pStyle w:val="BodyText"/>
        <w:spacing w:before="3"/>
        <w:rPr>
          <w:sz w:val="21"/>
        </w:rPr>
      </w:pPr>
    </w:p>
    <w:p w14:paraId="7326BA24" w14:textId="77777777" w:rsidR="00EF3DFB" w:rsidRDefault="00D27C17">
      <w:pPr>
        <w:pStyle w:val="BodyText"/>
        <w:spacing w:line="249" w:lineRule="auto"/>
        <w:ind w:left="190" w:right="168"/>
        <w:jc w:val="both"/>
      </w:pPr>
      <w:r>
        <w:t>Further, third parties sell counterfeit versions of some of our products,</w:t>
      </w:r>
      <w:r>
        <w:t xml:space="preserve"> which are often inferior or may pose safety risks. As a result, consumers of our brands could confuse our products with these counterfeit products, which could cause them to refrain from purchasing our brands in the future and in turn could impair our bra</w:t>
      </w:r>
      <w:r>
        <w:t>nd equity.</w:t>
      </w:r>
    </w:p>
    <w:p w14:paraId="7326BA25" w14:textId="77777777" w:rsidR="00EF3DFB" w:rsidRDefault="00EF3DFB">
      <w:pPr>
        <w:pStyle w:val="BodyText"/>
        <w:spacing w:before="1"/>
        <w:rPr>
          <w:sz w:val="21"/>
        </w:rPr>
      </w:pPr>
    </w:p>
    <w:p w14:paraId="7326BA26" w14:textId="77777777" w:rsidR="00EF3DFB" w:rsidRDefault="00D27C17">
      <w:pPr>
        <w:pStyle w:val="BodyText"/>
        <w:spacing w:line="249" w:lineRule="auto"/>
        <w:ind w:left="190" w:right="168"/>
        <w:jc w:val="both"/>
      </w:pPr>
      <w:r>
        <w:t>Finally, there has been an increased focus from certain investors, customers, consumers, employees, and other stakeholders concerning corporate citizenship and sustainability matters. From time to time, the Company announces certain initiatives</w:t>
      </w:r>
      <w:r>
        <w:t xml:space="preserve"> regarding its focus areas, which may include environmental matters, packaging, responsible sourcing and social investments. In 2020, the Company published its Corporate Sustainability Report which included many of these focus areas. The Company could fail</w:t>
      </w:r>
      <w:r>
        <w:t>, or be perceived to fail, in its achievement of such initiatives or it could fail in accurately reporting its progress on such initiatives and goals. In addition, the Company could be criticized for the scope of such initiatives or perceived as not acting</w:t>
      </w:r>
      <w:r>
        <w:t xml:space="preserve"> responsibly in connection with these matters. The Company’s reputation and business could be negatively impacted by such developments and may be required to invest significant resources to repair such</w:t>
      </w:r>
      <w:r>
        <w:rPr>
          <w:spacing w:val="-7"/>
        </w:rPr>
        <w:t xml:space="preserve"> </w:t>
      </w:r>
      <w:r>
        <w:t>impacts.</w:t>
      </w:r>
    </w:p>
    <w:p w14:paraId="7326BA27" w14:textId="77777777" w:rsidR="00EF3DFB" w:rsidRDefault="00EF3DFB">
      <w:pPr>
        <w:pStyle w:val="BodyText"/>
        <w:spacing w:before="5"/>
        <w:rPr>
          <w:sz w:val="21"/>
        </w:rPr>
      </w:pPr>
    </w:p>
    <w:p w14:paraId="7326BA28" w14:textId="77777777" w:rsidR="00EF3DFB" w:rsidRDefault="00D27C17">
      <w:pPr>
        <w:pStyle w:val="BodyText"/>
        <w:spacing w:line="249" w:lineRule="auto"/>
        <w:ind w:left="190" w:right="169"/>
        <w:jc w:val="both"/>
      </w:pPr>
      <w:r>
        <w:t>Damage to the Company’s reputation or a loss</w:t>
      </w:r>
      <w:r>
        <w:t xml:space="preserve"> of consumer confidence in the Company’s brands could adversely affect the Company’s business, results of operations, cash flows and financial condition, as well as, require resources to repair the harm.</w:t>
      </w:r>
    </w:p>
    <w:p w14:paraId="7326BA29" w14:textId="77777777" w:rsidR="00EF3DFB" w:rsidRDefault="00EF3DFB">
      <w:pPr>
        <w:pStyle w:val="BodyText"/>
        <w:spacing w:before="9"/>
      </w:pPr>
    </w:p>
    <w:p w14:paraId="7326BA2A" w14:textId="77777777" w:rsidR="00EF3DFB" w:rsidRDefault="00D27C17">
      <w:pPr>
        <w:pStyle w:val="Heading2"/>
      </w:pPr>
      <w:r>
        <w:t xml:space="preserve">A deterioration in labor relations could adversely </w:t>
      </w:r>
      <w:r>
        <w:t>impact the Company’s global business.</w:t>
      </w:r>
    </w:p>
    <w:p w14:paraId="7326BA2B" w14:textId="77777777" w:rsidR="00EF3DFB" w:rsidRDefault="00EF3DFB">
      <w:pPr>
        <w:pStyle w:val="BodyText"/>
        <w:rPr>
          <w:b/>
          <w:sz w:val="22"/>
        </w:rPr>
      </w:pPr>
    </w:p>
    <w:p w14:paraId="7326BA2C" w14:textId="77777777" w:rsidR="00EF3DFB" w:rsidRDefault="00D27C17">
      <w:pPr>
        <w:pStyle w:val="BodyText"/>
        <w:spacing w:line="249" w:lineRule="auto"/>
        <w:ind w:left="190" w:right="168"/>
        <w:jc w:val="both"/>
      </w:pPr>
      <w:r>
        <w:t xml:space="preserve">At December 31, 2020, the Company had approximately 31,000 employees worldwide, a portion of which are covered by collective bargaining agreements or are located in countries that have collective arrangements decreed </w:t>
      </w:r>
      <w:r>
        <w:t>by statute. The Company periodically negotiates with certain unions and labor representatives and may be subject to work stoppages or may be unable to renew such collective bargaining agreements on the same or similar terms, or at all.</w:t>
      </w:r>
    </w:p>
    <w:p w14:paraId="7326BA2D" w14:textId="77777777" w:rsidR="00EF3DFB" w:rsidRDefault="00EF3DFB">
      <w:pPr>
        <w:pStyle w:val="BodyText"/>
        <w:spacing w:before="10"/>
      </w:pPr>
    </w:p>
    <w:p w14:paraId="7326BA2E" w14:textId="77777777" w:rsidR="00EF3DFB" w:rsidRDefault="00D27C17">
      <w:pPr>
        <w:pStyle w:val="Heading2"/>
        <w:spacing w:line="249" w:lineRule="auto"/>
        <w:ind w:right="168"/>
      </w:pPr>
      <w:r>
        <w:t>Risks related to th</w:t>
      </w:r>
      <w:r>
        <w:t>e strength of global retail, commercial and industrial sectors and changes in foreign, cultural, political and financial market conditions could impair the Company’s international operations and financial performance.</w:t>
      </w:r>
    </w:p>
    <w:p w14:paraId="7326BA2F" w14:textId="77777777" w:rsidR="00EF3DFB" w:rsidRDefault="00EF3DFB">
      <w:pPr>
        <w:pStyle w:val="BodyText"/>
        <w:spacing w:before="3"/>
        <w:rPr>
          <w:b/>
          <w:sz w:val="21"/>
        </w:rPr>
      </w:pPr>
    </w:p>
    <w:p w14:paraId="7326BA30" w14:textId="77777777" w:rsidR="00EF3DFB" w:rsidRDefault="00D27C17">
      <w:pPr>
        <w:pStyle w:val="BodyText"/>
        <w:spacing w:line="249" w:lineRule="auto"/>
        <w:ind w:left="190" w:right="169"/>
        <w:jc w:val="both"/>
      </w:pPr>
      <w:r>
        <w:t>The Company’s business depends on the</w:t>
      </w:r>
      <w:r>
        <w:t xml:space="preserve"> strength of the retail, commercial and industrial sectors of the economy in various parts of the world, primarily in North America, and to a lesser extent Europe, Latin America and the Asia Pacific region. These sectors of the economy are affected primari</w:t>
      </w:r>
      <w:r>
        <w:t>ly by factors such as consumer demand and the condition of the retail industry, which, in turn, can be affected by specific events or general economic conditions, including worldwide or country-specific economic</w:t>
      </w:r>
      <w:r>
        <w:rPr>
          <w:spacing w:val="-34"/>
        </w:rPr>
        <w:t xml:space="preserve"> </w:t>
      </w:r>
      <w:r>
        <w:t>instability.</w:t>
      </w:r>
    </w:p>
    <w:p w14:paraId="7326BA31" w14:textId="77777777" w:rsidR="00EF3DFB" w:rsidRDefault="00EF3DFB">
      <w:pPr>
        <w:pStyle w:val="BodyText"/>
        <w:spacing w:before="2"/>
        <w:rPr>
          <w:sz w:val="21"/>
        </w:rPr>
      </w:pPr>
    </w:p>
    <w:p w14:paraId="7326BA32" w14:textId="77777777" w:rsidR="00EF3DFB" w:rsidRDefault="00D27C17">
      <w:pPr>
        <w:pStyle w:val="BodyText"/>
        <w:spacing w:line="249" w:lineRule="auto"/>
        <w:ind w:left="190" w:right="169"/>
        <w:jc w:val="both"/>
      </w:pPr>
      <w:r>
        <w:t xml:space="preserve">Continuing challenging global </w:t>
      </w:r>
      <w:r>
        <w:t>economic conditions, particularly outside of the U.S., and potential volatility in domestic and/or foreign equity markets, may result in considerable pressure on consumer demand, which may have an adverse effect on demand for</w:t>
      </w:r>
    </w:p>
    <w:p w14:paraId="7326BA33" w14:textId="77777777" w:rsidR="00EF3DFB" w:rsidRDefault="00EF3DFB">
      <w:pPr>
        <w:spacing w:line="249" w:lineRule="auto"/>
        <w:jc w:val="both"/>
        <w:sectPr w:rsidR="00EF3DFB">
          <w:pgSz w:w="12240" w:h="15840"/>
          <w:pgMar w:top="600" w:right="640" w:bottom="480" w:left="620" w:header="0" w:footer="291" w:gutter="0"/>
          <w:cols w:space="720"/>
        </w:sectPr>
      </w:pPr>
    </w:p>
    <w:p w14:paraId="7326BA34" w14:textId="77777777" w:rsidR="00EF3DFB" w:rsidRDefault="00D27C17">
      <w:pPr>
        <w:pStyle w:val="BodyText"/>
        <w:spacing w:before="72" w:line="249" w:lineRule="auto"/>
        <w:ind w:left="190" w:right="168"/>
        <w:jc w:val="both"/>
      </w:pPr>
      <w:r>
        <w:lastRenderedPageBreak/>
        <w:t>the Company’s products, as well as its financial condition and results of operations. The Company could also be negatively impacted by economic crises in specific countries or regions. Such events could negatively impact the Company’s overall liquidity and</w:t>
      </w:r>
      <w:r>
        <w:t>/or create significant credit risks relative to its local customers and depository institutions. Consumer demand and the condition of these sectors of the economy may also be impacted by other external factors such as war, terrorism, geopolitical uncertain</w:t>
      </w:r>
      <w:r>
        <w:t>ties, public health issues, natural disasters and other business interruptions. The impact of these external factors is difficult to predict, and one or more of these factors could adversely impact the Company’s</w:t>
      </w:r>
      <w:r>
        <w:rPr>
          <w:spacing w:val="-10"/>
        </w:rPr>
        <w:t xml:space="preserve"> </w:t>
      </w:r>
      <w:r>
        <w:t>business.</w:t>
      </w:r>
    </w:p>
    <w:p w14:paraId="7326BA35" w14:textId="77777777" w:rsidR="00EF3DFB" w:rsidRDefault="00EF3DFB">
      <w:pPr>
        <w:pStyle w:val="BodyText"/>
        <w:spacing w:before="3"/>
        <w:rPr>
          <w:sz w:val="21"/>
        </w:rPr>
      </w:pPr>
    </w:p>
    <w:p w14:paraId="7326BA36" w14:textId="77777777" w:rsidR="00EF3DFB" w:rsidRDefault="00D27C17">
      <w:pPr>
        <w:pStyle w:val="BodyText"/>
        <w:spacing w:line="249" w:lineRule="auto"/>
        <w:ind w:left="190" w:right="168"/>
        <w:jc w:val="both"/>
      </w:pPr>
      <w:r>
        <w:t>Further, some of the Company’s operations are conducted or products are sold in countries where economic growth has slowed, or where economies have suffered economic, social and/or political instability or hyperinflation; or where the ability to repatriate</w:t>
      </w:r>
      <w:r>
        <w:t xml:space="preserve"> funds has been significantly delayed or impaired. Current government economic and fiscal policies in these economies, including stimulus measures and currency exchange rates and controls, may not be sustainable and, as a result, the Company’s sales or pro</w:t>
      </w:r>
      <w:r>
        <w:t>fits related to those countries may decline. The economies of other foreign countries important to the Company’s operations could also suffer slower economic growth or economic, social and/or political instability or hyperinflation in the future. The Compa</w:t>
      </w:r>
      <w:r>
        <w:t>ny’s international operations (and particularly its business in emerging markets), including manufacturing and sourcing operations (and the international operations of the Company’s customers), are subject to inherent risks which could adversely affect the</w:t>
      </w:r>
      <w:r>
        <w:t xml:space="preserve"> Company, including, among other things:</w:t>
      </w:r>
    </w:p>
    <w:p w14:paraId="7326BA37" w14:textId="77777777" w:rsidR="00EF3DFB" w:rsidRDefault="00EF3DFB">
      <w:pPr>
        <w:pStyle w:val="BodyText"/>
        <w:spacing w:before="6"/>
        <w:rPr>
          <w:sz w:val="21"/>
        </w:rPr>
      </w:pPr>
    </w:p>
    <w:p w14:paraId="7326BA38" w14:textId="77777777" w:rsidR="00EF3DFB" w:rsidRDefault="00D27C17">
      <w:pPr>
        <w:pStyle w:val="ListParagraph"/>
        <w:numPr>
          <w:ilvl w:val="1"/>
          <w:numId w:val="30"/>
        </w:numPr>
        <w:tabs>
          <w:tab w:val="left" w:pos="909"/>
          <w:tab w:val="left" w:pos="910"/>
        </w:tabs>
        <w:spacing w:line="249" w:lineRule="auto"/>
        <w:ind w:right="168"/>
        <w:rPr>
          <w:sz w:val="20"/>
        </w:rPr>
      </w:pPr>
      <w:r>
        <w:rPr>
          <w:sz w:val="20"/>
        </w:rPr>
        <w:t>protectionist policies restricting or impairing the manufacturing, sales or import and export of the Company’s products, including tariffs and</w:t>
      </w:r>
      <w:r>
        <w:rPr>
          <w:spacing w:val="-2"/>
          <w:sz w:val="20"/>
        </w:rPr>
        <w:t xml:space="preserve"> </w:t>
      </w:r>
      <w:r>
        <w:rPr>
          <w:sz w:val="20"/>
        </w:rPr>
        <w:t>countermeasures;</w:t>
      </w:r>
    </w:p>
    <w:p w14:paraId="7326BA39" w14:textId="77777777" w:rsidR="00EF3DFB" w:rsidRDefault="00D27C17">
      <w:pPr>
        <w:pStyle w:val="ListParagraph"/>
        <w:numPr>
          <w:ilvl w:val="1"/>
          <w:numId w:val="30"/>
        </w:numPr>
        <w:tabs>
          <w:tab w:val="left" w:pos="909"/>
          <w:tab w:val="left" w:pos="910"/>
        </w:tabs>
        <w:spacing w:before="2"/>
        <w:rPr>
          <w:sz w:val="20"/>
        </w:rPr>
      </w:pPr>
      <w:r>
        <w:rPr>
          <w:sz w:val="20"/>
        </w:rPr>
        <w:t>new restrictions on access to</w:t>
      </w:r>
      <w:r>
        <w:rPr>
          <w:spacing w:val="-4"/>
          <w:sz w:val="20"/>
        </w:rPr>
        <w:t xml:space="preserve"> </w:t>
      </w:r>
      <w:r>
        <w:rPr>
          <w:sz w:val="20"/>
        </w:rPr>
        <w:t>markets;</w:t>
      </w:r>
    </w:p>
    <w:p w14:paraId="7326BA3A" w14:textId="77777777" w:rsidR="00EF3DFB" w:rsidRDefault="00D27C17">
      <w:pPr>
        <w:pStyle w:val="ListParagraph"/>
        <w:numPr>
          <w:ilvl w:val="1"/>
          <w:numId w:val="30"/>
        </w:numPr>
        <w:tabs>
          <w:tab w:val="left" w:pos="909"/>
          <w:tab w:val="left" w:pos="910"/>
        </w:tabs>
        <w:spacing w:before="10"/>
        <w:rPr>
          <w:sz w:val="20"/>
        </w:rPr>
      </w:pPr>
      <w:r>
        <w:rPr>
          <w:sz w:val="20"/>
        </w:rPr>
        <w:t>lack of develop</w:t>
      </w:r>
      <w:r>
        <w:rPr>
          <w:sz w:val="20"/>
        </w:rPr>
        <w:t>ed</w:t>
      </w:r>
      <w:r>
        <w:rPr>
          <w:spacing w:val="-1"/>
          <w:sz w:val="20"/>
        </w:rPr>
        <w:t xml:space="preserve"> </w:t>
      </w:r>
      <w:r>
        <w:rPr>
          <w:sz w:val="20"/>
        </w:rPr>
        <w:t>infrastructure;</w:t>
      </w:r>
    </w:p>
    <w:p w14:paraId="7326BA3B" w14:textId="77777777" w:rsidR="00EF3DFB" w:rsidRDefault="00D27C17">
      <w:pPr>
        <w:pStyle w:val="ListParagraph"/>
        <w:numPr>
          <w:ilvl w:val="1"/>
          <w:numId w:val="30"/>
        </w:numPr>
        <w:tabs>
          <w:tab w:val="left" w:pos="909"/>
          <w:tab w:val="left" w:pos="910"/>
        </w:tabs>
        <w:spacing w:before="10"/>
        <w:rPr>
          <w:sz w:val="20"/>
        </w:rPr>
      </w:pPr>
      <w:r>
        <w:rPr>
          <w:sz w:val="20"/>
        </w:rPr>
        <w:t>inflation (including hyperinflation) or</w:t>
      </w:r>
      <w:r>
        <w:rPr>
          <w:spacing w:val="-1"/>
          <w:sz w:val="20"/>
        </w:rPr>
        <w:t xml:space="preserve"> </w:t>
      </w:r>
      <w:r>
        <w:rPr>
          <w:sz w:val="20"/>
        </w:rPr>
        <w:t>recession;</w:t>
      </w:r>
    </w:p>
    <w:p w14:paraId="7326BA3C" w14:textId="77777777" w:rsidR="00EF3DFB" w:rsidRDefault="00D27C17">
      <w:pPr>
        <w:pStyle w:val="ListParagraph"/>
        <w:numPr>
          <w:ilvl w:val="1"/>
          <w:numId w:val="30"/>
        </w:numPr>
        <w:tabs>
          <w:tab w:val="left" w:pos="909"/>
          <w:tab w:val="left" w:pos="910"/>
        </w:tabs>
        <w:spacing w:before="10"/>
        <w:rPr>
          <w:sz w:val="20"/>
        </w:rPr>
      </w:pPr>
      <w:r>
        <w:rPr>
          <w:sz w:val="20"/>
        </w:rPr>
        <w:t>devaluations or fluctuations in the value of</w:t>
      </w:r>
      <w:r>
        <w:rPr>
          <w:spacing w:val="-6"/>
          <w:sz w:val="20"/>
        </w:rPr>
        <w:t xml:space="preserve"> </w:t>
      </w:r>
      <w:r>
        <w:rPr>
          <w:sz w:val="20"/>
        </w:rPr>
        <w:t>currencies;</w:t>
      </w:r>
    </w:p>
    <w:p w14:paraId="7326BA3D" w14:textId="77777777" w:rsidR="00EF3DFB" w:rsidRDefault="00D27C17">
      <w:pPr>
        <w:pStyle w:val="ListParagraph"/>
        <w:numPr>
          <w:ilvl w:val="1"/>
          <w:numId w:val="30"/>
        </w:numPr>
        <w:tabs>
          <w:tab w:val="left" w:pos="910"/>
        </w:tabs>
        <w:spacing w:before="10" w:line="249" w:lineRule="auto"/>
        <w:ind w:right="168"/>
        <w:jc w:val="both"/>
        <w:rPr>
          <w:sz w:val="20"/>
        </w:rPr>
      </w:pPr>
      <w:r>
        <w:rPr>
          <w:sz w:val="20"/>
        </w:rPr>
        <w:t>changes in and the burdens and costs of compliance with a variety of laws and regulations, including the Foreign Corrupt Practice</w:t>
      </w:r>
      <w:r>
        <w:rPr>
          <w:sz w:val="20"/>
        </w:rPr>
        <w:t>s Act, tax laws, accounting standards, trade protection measures and import and export licensing requirements, environmental laws and occupational health and safety</w:t>
      </w:r>
      <w:r>
        <w:rPr>
          <w:spacing w:val="-5"/>
          <w:sz w:val="20"/>
        </w:rPr>
        <w:t xml:space="preserve"> </w:t>
      </w:r>
      <w:r>
        <w:rPr>
          <w:sz w:val="20"/>
        </w:rPr>
        <w:t>laws;</w:t>
      </w:r>
    </w:p>
    <w:p w14:paraId="7326BA3E" w14:textId="77777777" w:rsidR="00EF3DFB" w:rsidRDefault="00D27C17">
      <w:pPr>
        <w:pStyle w:val="ListParagraph"/>
        <w:numPr>
          <w:ilvl w:val="1"/>
          <w:numId w:val="30"/>
        </w:numPr>
        <w:tabs>
          <w:tab w:val="left" w:pos="909"/>
          <w:tab w:val="left" w:pos="910"/>
        </w:tabs>
        <w:spacing w:before="2"/>
        <w:rPr>
          <w:sz w:val="20"/>
        </w:rPr>
      </w:pPr>
      <w:r>
        <w:rPr>
          <w:sz w:val="20"/>
        </w:rPr>
        <w:t>social, political or economic</w:t>
      </w:r>
      <w:r>
        <w:rPr>
          <w:spacing w:val="-3"/>
          <w:sz w:val="20"/>
        </w:rPr>
        <w:t xml:space="preserve"> </w:t>
      </w:r>
      <w:r>
        <w:rPr>
          <w:sz w:val="20"/>
        </w:rPr>
        <w:t>instability;</w:t>
      </w:r>
    </w:p>
    <w:p w14:paraId="7326BA3F" w14:textId="77777777" w:rsidR="00EF3DFB" w:rsidRDefault="00D27C17">
      <w:pPr>
        <w:pStyle w:val="ListParagraph"/>
        <w:numPr>
          <w:ilvl w:val="1"/>
          <w:numId w:val="30"/>
        </w:numPr>
        <w:tabs>
          <w:tab w:val="left" w:pos="909"/>
          <w:tab w:val="left" w:pos="910"/>
        </w:tabs>
        <w:spacing w:before="10"/>
        <w:rPr>
          <w:sz w:val="20"/>
        </w:rPr>
      </w:pPr>
      <w:r>
        <w:rPr>
          <w:sz w:val="20"/>
        </w:rPr>
        <w:t>acts of war and</w:t>
      </w:r>
      <w:r>
        <w:rPr>
          <w:spacing w:val="-2"/>
          <w:sz w:val="20"/>
        </w:rPr>
        <w:t xml:space="preserve"> </w:t>
      </w:r>
      <w:r>
        <w:rPr>
          <w:sz w:val="20"/>
        </w:rPr>
        <w:t>terrorism;</w:t>
      </w:r>
    </w:p>
    <w:p w14:paraId="7326BA40" w14:textId="77777777" w:rsidR="00EF3DFB" w:rsidRDefault="00D27C17">
      <w:pPr>
        <w:pStyle w:val="ListParagraph"/>
        <w:numPr>
          <w:ilvl w:val="1"/>
          <w:numId w:val="30"/>
        </w:numPr>
        <w:tabs>
          <w:tab w:val="left" w:pos="909"/>
          <w:tab w:val="left" w:pos="910"/>
        </w:tabs>
        <w:spacing w:before="10"/>
        <w:rPr>
          <w:sz w:val="20"/>
        </w:rPr>
      </w:pPr>
      <w:r>
        <w:rPr>
          <w:sz w:val="20"/>
        </w:rPr>
        <w:t>natural disaste</w:t>
      </w:r>
      <w:r>
        <w:rPr>
          <w:sz w:val="20"/>
        </w:rPr>
        <w:t>rs or other</w:t>
      </w:r>
      <w:r>
        <w:rPr>
          <w:spacing w:val="-3"/>
          <w:sz w:val="20"/>
        </w:rPr>
        <w:t xml:space="preserve"> </w:t>
      </w:r>
      <w:r>
        <w:rPr>
          <w:sz w:val="20"/>
        </w:rPr>
        <w:t>crises;</w:t>
      </w:r>
    </w:p>
    <w:p w14:paraId="7326BA41" w14:textId="77777777" w:rsidR="00EF3DFB" w:rsidRDefault="00D27C17">
      <w:pPr>
        <w:pStyle w:val="ListParagraph"/>
        <w:numPr>
          <w:ilvl w:val="1"/>
          <w:numId w:val="30"/>
        </w:numPr>
        <w:tabs>
          <w:tab w:val="left" w:pos="909"/>
          <w:tab w:val="left" w:pos="910"/>
        </w:tabs>
        <w:spacing w:before="10"/>
        <w:rPr>
          <w:sz w:val="20"/>
        </w:rPr>
      </w:pPr>
      <w:r>
        <w:rPr>
          <w:sz w:val="20"/>
        </w:rPr>
        <w:t>reduced protection of intellectual property</w:t>
      </w:r>
      <w:r>
        <w:rPr>
          <w:spacing w:val="-2"/>
          <w:sz w:val="20"/>
        </w:rPr>
        <w:t xml:space="preserve"> </w:t>
      </w:r>
      <w:r>
        <w:rPr>
          <w:sz w:val="20"/>
        </w:rPr>
        <w:t>rights;</w:t>
      </w:r>
    </w:p>
    <w:p w14:paraId="7326BA42" w14:textId="77777777" w:rsidR="00EF3DFB" w:rsidRDefault="00D27C17">
      <w:pPr>
        <w:pStyle w:val="ListParagraph"/>
        <w:numPr>
          <w:ilvl w:val="1"/>
          <w:numId w:val="30"/>
        </w:numPr>
        <w:tabs>
          <w:tab w:val="left" w:pos="909"/>
          <w:tab w:val="left" w:pos="910"/>
        </w:tabs>
        <w:spacing w:before="10"/>
        <w:rPr>
          <w:sz w:val="20"/>
        </w:rPr>
      </w:pPr>
      <w:r>
        <w:rPr>
          <w:sz w:val="20"/>
        </w:rPr>
        <w:t>restrictions on transfer of funds and/or exchange of</w:t>
      </w:r>
      <w:r>
        <w:rPr>
          <w:spacing w:val="-25"/>
          <w:sz w:val="20"/>
        </w:rPr>
        <w:t xml:space="preserve"> </w:t>
      </w:r>
      <w:r>
        <w:rPr>
          <w:sz w:val="20"/>
        </w:rPr>
        <w:t>currencies;</w:t>
      </w:r>
    </w:p>
    <w:p w14:paraId="7326BA43" w14:textId="77777777" w:rsidR="00EF3DFB" w:rsidRDefault="00D27C17">
      <w:pPr>
        <w:pStyle w:val="ListParagraph"/>
        <w:numPr>
          <w:ilvl w:val="1"/>
          <w:numId w:val="30"/>
        </w:numPr>
        <w:tabs>
          <w:tab w:val="left" w:pos="909"/>
          <w:tab w:val="left" w:pos="910"/>
        </w:tabs>
        <w:spacing w:before="10"/>
        <w:rPr>
          <w:sz w:val="20"/>
        </w:rPr>
      </w:pPr>
      <w:r>
        <w:rPr>
          <w:sz w:val="20"/>
        </w:rPr>
        <w:t>expropriation of assets or forced relocations of operations;</w:t>
      </w:r>
      <w:r>
        <w:rPr>
          <w:spacing w:val="-27"/>
          <w:sz w:val="20"/>
        </w:rPr>
        <w:t xml:space="preserve"> </w:t>
      </w:r>
      <w:r>
        <w:rPr>
          <w:sz w:val="20"/>
        </w:rPr>
        <w:t>and</w:t>
      </w:r>
    </w:p>
    <w:p w14:paraId="7326BA44" w14:textId="77777777" w:rsidR="00EF3DFB" w:rsidRDefault="00D27C17">
      <w:pPr>
        <w:pStyle w:val="ListParagraph"/>
        <w:numPr>
          <w:ilvl w:val="1"/>
          <w:numId w:val="30"/>
        </w:numPr>
        <w:tabs>
          <w:tab w:val="left" w:pos="909"/>
          <w:tab w:val="left" w:pos="910"/>
        </w:tabs>
        <w:spacing w:before="10" w:line="249" w:lineRule="auto"/>
        <w:ind w:right="168"/>
        <w:rPr>
          <w:sz w:val="20"/>
        </w:rPr>
      </w:pPr>
      <w:r>
        <w:rPr>
          <w:sz w:val="20"/>
        </w:rPr>
        <w:t>other adverse changes in policies, including monetary, tax and/or lending policies, encouraging foreign investment or foreign trade by host</w:t>
      </w:r>
      <w:r>
        <w:rPr>
          <w:spacing w:val="-3"/>
          <w:sz w:val="20"/>
        </w:rPr>
        <w:t xml:space="preserve"> </w:t>
      </w:r>
      <w:r>
        <w:rPr>
          <w:sz w:val="20"/>
        </w:rPr>
        <w:t>countries.</w:t>
      </w:r>
    </w:p>
    <w:p w14:paraId="7326BA45" w14:textId="77777777" w:rsidR="00EF3DFB" w:rsidRDefault="00EF3DFB">
      <w:pPr>
        <w:pStyle w:val="BodyText"/>
        <w:rPr>
          <w:sz w:val="21"/>
        </w:rPr>
      </w:pPr>
    </w:p>
    <w:p w14:paraId="7326BA46" w14:textId="77777777" w:rsidR="00EF3DFB" w:rsidRDefault="00D27C17">
      <w:pPr>
        <w:pStyle w:val="BodyText"/>
        <w:spacing w:line="249" w:lineRule="auto"/>
        <w:ind w:left="190" w:right="167"/>
        <w:jc w:val="both"/>
      </w:pPr>
      <w:r>
        <w:t>In addition, our global operations expose us to risks associated with public health crises, such as pand</w:t>
      </w:r>
      <w:r>
        <w:t>emics and epidemics, which could harm our business and cause our operational results to suffer. For example, the COVID-19 pandemic negatively impacted our revenues in the first half of 2020 and the eventual duration and financial impact of the pandemic are</w:t>
      </w:r>
      <w:r>
        <w:t xml:space="preserve"> still uncertain.</w:t>
      </w:r>
    </w:p>
    <w:p w14:paraId="7326BA47" w14:textId="77777777" w:rsidR="00EF3DFB" w:rsidRDefault="00EF3DFB">
      <w:pPr>
        <w:pStyle w:val="BodyText"/>
        <w:spacing w:before="1"/>
        <w:rPr>
          <w:sz w:val="21"/>
        </w:rPr>
      </w:pPr>
    </w:p>
    <w:p w14:paraId="7326BA48" w14:textId="77777777" w:rsidR="00EF3DFB" w:rsidRDefault="00D27C17">
      <w:pPr>
        <w:pStyle w:val="BodyText"/>
        <w:spacing w:line="249" w:lineRule="auto"/>
        <w:ind w:left="190" w:right="169"/>
        <w:jc w:val="both"/>
      </w:pPr>
      <w:r>
        <w:t>Further, the United Kingdom exited the European Union on January 31, 2020, after protracted political and economic negotiations, with a transition period lasting until December 31, 2020. During the transition period, existing arrangement</w:t>
      </w:r>
      <w:r>
        <w:t>s between the United Kingdom and the European Union remained in place while the United Kingdom and the European Union negotiated a trade and cooperation agreement that was entered into on December 24, 2020 and went into effect on January 1, 2021. While the</w:t>
      </w:r>
      <w:r>
        <w:t xml:space="preserve"> agreement does not currently impose tariffs on imports across European Union borders for goods with a United Kingdom or European Union origin, customs procedures and border checks may cause delays and backlogs in the transport of goods, and tariffs still </w:t>
      </w:r>
      <w:r>
        <w:t>apply for some goods originating outside of the United Kingdom or European Union. Further, uncertainty still remains regarding the potential for the future imposition of tariffs on imports across European Union borders. In addition, Brexit could lead to le</w:t>
      </w:r>
      <w:r>
        <w:t>gal uncertainty and potentially divergent national laws and regulations as the United Kingdom determines which European Union laws to replace or replicate. These changes could also cause disruptions to free movement of people and services to and from the U</w:t>
      </w:r>
      <w:r>
        <w:t>nited Kingdom, disruptions to the workforce or the workforce of the Company’s suppliers or business partners, increased foreign exchange volatility with respect to the British pound and additional political and economic uncertainty. The foregoing could cre</w:t>
      </w:r>
      <w:r>
        <w:t>ate uncertainty surrounding the Company’s business and the business of existing and future customers and suppliers, which could increase the cost of some of the Company’s products, thereby reducing its margins. Further, the foregoing risks could have a sig</w:t>
      </w:r>
      <w:r>
        <w:t>nificant adverse impact on the Company’s ability to commercialize its products on a competitive basis in international markets and may have a material adverse effect on its business, financial condition, and results of operations. The Company’s small sales</w:t>
      </w:r>
      <w:r>
        <w:t xml:space="preserve"> volume in some countries, relative to some multinational and local competitors, could exacerbate such risks. Depending on the extent to which the Company may be required to make material changes to its European operations beyond those currently planned, t</w:t>
      </w:r>
      <w:r>
        <w:t>he Company’s results of operations and business prospects could be negatively affected.</w:t>
      </w:r>
    </w:p>
    <w:p w14:paraId="7326BA49" w14:textId="77777777" w:rsidR="00EF3DFB" w:rsidRDefault="00EF3DFB">
      <w:pPr>
        <w:spacing w:line="249" w:lineRule="auto"/>
        <w:jc w:val="both"/>
        <w:sectPr w:rsidR="00EF3DFB">
          <w:pgSz w:w="12240" w:h="15840"/>
          <w:pgMar w:top="600" w:right="640" w:bottom="480" w:left="620" w:header="0" w:footer="291" w:gutter="0"/>
          <w:cols w:space="720"/>
        </w:sectPr>
      </w:pPr>
    </w:p>
    <w:p w14:paraId="7326BA4A" w14:textId="77777777" w:rsidR="00EF3DFB" w:rsidRDefault="00D27C17">
      <w:pPr>
        <w:pStyle w:val="BodyText"/>
        <w:spacing w:before="72" w:line="249" w:lineRule="auto"/>
        <w:ind w:left="190" w:right="170"/>
        <w:jc w:val="both"/>
      </w:pPr>
      <w:r>
        <w:lastRenderedPageBreak/>
        <w:t>Should any of these risks occur, the Company’s ability to manufacture, source, sell or export its products or repatriate profits could be impaired. In add</w:t>
      </w:r>
      <w:r>
        <w:t>ition, the Company could experience a loss of sales and profitability from its international operations and/or the Company could experience a substantial impairment or loss of assets.</w:t>
      </w:r>
    </w:p>
    <w:p w14:paraId="7326BA4B" w14:textId="77777777" w:rsidR="00EF3DFB" w:rsidRDefault="00EF3DFB">
      <w:pPr>
        <w:pStyle w:val="BodyText"/>
        <w:spacing w:before="9"/>
      </w:pPr>
    </w:p>
    <w:p w14:paraId="7326BA4C" w14:textId="77777777" w:rsidR="00EF3DFB" w:rsidRDefault="00D27C17">
      <w:pPr>
        <w:pStyle w:val="Heading2"/>
      </w:pPr>
      <w:r>
        <w:t>Financial Risks</w:t>
      </w:r>
    </w:p>
    <w:p w14:paraId="7326BA4D" w14:textId="77777777" w:rsidR="00EF3DFB" w:rsidRDefault="00EF3DFB">
      <w:pPr>
        <w:pStyle w:val="BodyText"/>
        <w:spacing w:before="8"/>
        <w:rPr>
          <w:b/>
          <w:sz w:val="21"/>
        </w:rPr>
      </w:pPr>
    </w:p>
    <w:p w14:paraId="7326BA4E" w14:textId="77777777" w:rsidR="00EF3DFB" w:rsidRDefault="00D27C17">
      <w:pPr>
        <w:spacing w:line="249" w:lineRule="auto"/>
        <w:ind w:left="190" w:right="169"/>
        <w:jc w:val="both"/>
        <w:rPr>
          <w:b/>
          <w:sz w:val="20"/>
        </w:rPr>
      </w:pPr>
      <w:r>
        <w:rPr>
          <w:b/>
          <w:sz w:val="20"/>
        </w:rPr>
        <w:t xml:space="preserve">The Company has substantial indebtedness, which could </w:t>
      </w:r>
      <w:r>
        <w:rPr>
          <w:b/>
          <w:sz w:val="20"/>
        </w:rPr>
        <w:t>materially and adversely affect the Company and its financial position, including decreasing its business flexibility, impacting its ratings and increasing its borrowing costs.</w:t>
      </w:r>
    </w:p>
    <w:p w14:paraId="7326BA4F" w14:textId="77777777" w:rsidR="00EF3DFB" w:rsidRDefault="00EF3DFB">
      <w:pPr>
        <w:pStyle w:val="BodyText"/>
        <w:spacing w:before="4"/>
        <w:rPr>
          <w:b/>
          <w:sz w:val="21"/>
        </w:rPr>
      </w:pPr>
    </w:p>
    <w:p w14:paraId="7326BA50" w14:textId="77777777" w:rsidR="00EF3DFB" w:rsidRDefault="00D27C17">
      <w:pPr>
        <w:pStyle w:val="BodyText"/>
        <w:spacing w:line="249" w:lineRule="auto"/>
        <w:ind w:left="190" w:right="168"/>
        <w:jc w:val="both"/>
      </w:pPr>
      <w:r>
        <w:t>At December 31, 2020, the Company had $5.6 billion in outstanding debt, reflecting a reduction of approximately $116 million versus December 31, 2019. The Company’s substantial indebtedness has had, and could continue to have, important consequences for th</w:t>
      </w:r>
      <w:r>
        <w:t>e Company, including:</w:t>
      </w:r>
    </w:p>
    <w:p w14:paraId="7326BA51" w14:textId="77777777" w:rsidR="00EF3DFB" w:rsidRDefault="00EF3DFB">
      <w:pPr>
        <w:pStyle w:val="BodyText"/>
        <w:spacing w:before="1"/>
        <w:rPr>
          <w:sz w:val="21"/>
        </w:rPr>
      </w:pPr>
    </w:p>
    <w:p w14:paraId="7326BA52" w14:textId="77777777" w:rsidR="00EF3DFB" w:rsidRDefault="00D27C17">
      <w:pPr>
        <w:pStyle w:val="ListParagraph"/>
        <w:numPr>
          <w:ilvl w:val="1"/>
          <w:numId w:val="30"/>
        </w:numPr>
        <w:tabs>
          <w:tab w:val="left" w:pos="910"/>
        </w:tabs>
        <w:spacing w:line="249" w:lineRule="auto"/>
        <w:ind w:right="167"/>
        <w:jc w:val="both"/>
        <w:rPr>
          <w:sz w:val="20"/>
        </w:rPr>
      </w:pPr>
      <w:r>
        <w:rPr>
          <w:sz w:val="20"/>
        </w:rPr>
        <w:t>requiring the Company to dedicate a substantial portion of its cash flow from operations to payments on its indebtedness, which reduces the availability of its cash flow to fund working capital requirements, capital expenditures, future acquisitions, divid</w:t>
      </w:r>
      <w:r>
        <w:rPr>
          <w:sz w:val="20"/>
        </w:rPr>
        <w:t>ends, repurchases of the Company’s common stock and other general corporate</w:t>
      </w:r>
      <w:r>
        <w:rPr>
          <w:spacing w:val="-18"/>
          <w:sz w:val="20"/>
        </w:rPr>
        <w:t xml:space="preserve"> </w:t>
      </w:r>
      <w:r>
        <w:rPr>
          <w:sz w:val="20"/>
        </w:rPr>
        <w:t>purposes;</w:t>
      </w:r>
    </w:p>
    <w:p w14:paraId="7326BA53" w14:textId="77777777" w:rsidR="00EF3DFB" w:rsidRDefault="00D27C17">
      <w:pPr>
        <w:pStyle w:val="ListParagraph"/>
        <w:numPr>
          <w:ilvl w:val="1"/>
          <w:numId w:val="30"/>
        </w:numPr>
        <w:tabs>
          <w:tab w:val="left" w:pos="910"/>
        </w:tabs>
        <w:spacing w:before="2" w:line="249" w:lineRule="auto"/>
        <w:ind w:right="168"/>
        <w:jc w:val="both"/>
        <w:rPr>
          <w:sz w:val="20"/>
        </w:rPr>
      </w:pPr>
      <w:r>
        <w:rPr>
          <w:sz w:val="20"/>
        </w:rPr>
        <w:t>limiting the Company’s flexibility in planning for, or reacting to, adverse business and economic conditions or changes in the Company’s business and the industries in wh</w:t>
      </w:r>
      <w:r>
        <w:rPr>
          <w:sz w:val="20"/>
        </w:rPr>
        <w:t>ich it</w:t>
      </w:r>
      <w:r>
        <w:rPr>
          <w:spacing w:val="-9"/>
          <w:sz w:val="20"/>
        </w:rPr>
        <w:t xml:space="preserve"> </w:t>
      </w:r>
      <w:r>
        <w:rPr>
          <w:sz w:val="20"/>
        </w:rPr>
        <w:t>operates;</w:t>
      </w:r>
    </w:p>
    <w:p w14:paraId="7326BA54" w14:textId="77777777" w:rsidR="00EF3DFB" w:rsidRDefault="00D27C17">
      <w:pPr>
        <w:pStyle w:val="ListParagraph"/>
        <w:numPr>
          <w:ilvl w:val="1"/>
          <w:numId w:val="30"/>
        </w:numPr>
        <w:tabs>
          <w:tab w:val="left" w:pos="909"/>
          <w:tab w:val="left" w:pos="910"/>
        </w:tabs>
        <w:spacing w:before="2"/>
        <w:rPr>
          <w:sz w:val="20"/>
        </w:rPr>
      </w:pPr>
      <w:r>
        <w:rPr>
          <w:sz w:val="20"/>
        </w:rPr>
        <w:t>placing the Company at a competitive disadvantage compared to its competitors that have less debt;</w:t>
      </w:r>
      <w:r>
        <w:rPr>
          <w:spacing w:val="-24"/>
          <w:sz w:val="20"/>
        </w:rPr>
        <w:t xml:space="preserve"> </w:t>
      </w:r>
      <w:r>
        <w:rPr>
          <w:sz w:val="20"/>
        </w:rPr>
        <w:t>and</w:t>
      </w:r>
    </w:p>
    <w:p w14:paraId="7326BA55" w14:textId="77777777" w:rsidR="00EF3DFB" w:rsidRDefault="00D27C17">
      <w:pPr>
        <w:pStyle w:val="ListParagraph"/>
        <w:numPr>
          <w:ilvl w:val="1"/>
          <w:numId w:val="30"/>
        </w:numPr>
        <w:tabs>
          <w:tab w:val="left" w:pos="910"/>
        </w:tabs>
        <w:spacing w:before="10" w:line="249" w:lineRule="auto"/>
        <w:ind w:right="169"/>
        <w:jc w:val="both"/>
        <w:rPr>
          <w:sz w:val="20"/>
        </w:rPr>
      </w:pPr>
      <w:r>
        <w:rPr>
          <w:sz w:val="20"/>
        </w:rPr>
        <w:t>limiting, along with the financial and non-financial covenants in the Company’s debt documents, its ability to borrow additional</w:t>
      </w:r>
      <w:r>
        <w:rPr>
          <w:spacing w:val="-2"/>
          <w:sz w:val="20"/>
        </w:rPr>
        <w:t xml:space="preserve"> </w:t>
      </w:r>
      <w:r>
        <w:rPr>
          <w:sz w:val="20"/>
        </w:rPr>
        <w:t>funds.</w:t>
      </w:r>
    </w:p>
    <w:p w14:paraId="7326BA56" w14:textId="77777777" w:rsidR="00EF3DFB" w:rsidRDefault="00EF3DFB">
      <w:pPr>
        <w:pStyle w:val="BodyText"/>
        <w:rPr>
          <w:sz w:val="21"/>
        </w:rPr>
      </w:pPr>
    </w:p>
    <w:p w14:paraId="7326BA57" w14:textId="77777777" w:rsidR="00EF3DFB" w:rsidRDefault="00D27C17">
      <w:pPr>
        <w:pStyle w:val="BodyText"/>
        <w:spacing w:line="249" w:lineRule="auto"/>
        <w:ind w:left="190" w:right="169"/>
        <w:jc w:val="both"/>
      </w:pPr>
      <w:r>
        <w:t xml:space="preserve">In addition, if the Company is unable to timely reduce its level of indebtedness, the Company will be subject to increased demands on its cash resources, which could increase its total debt-to-capitalization ratios, decrease its interest coverage ratios, </w:t>
      </w:r>
      <w:r>
        <w:t>lower its credit ratings, result in a breach of covenants or otherwise adversely affect the business and financial results of the Company going forward.</w:t>
      </w:r>
    </w:p>
    <w:p w14:paraId="7326BA58" w14:textId="77777777" w:rsidR="00EF3DFB" w:rsidRDefault="00EF3DFB">
      <w:pPr>
        <w:pStyle w:val="BodyText"/>
        <w:spacing w:before="10"/>
      </w:pPr>
    </w:p>
    <w:p w14:paraId="7326BA59" w14:textId="77777777" w:rsidR="00EF3DFB" w:rsidRDefault="00D27C17">
      <w:pPr>
        <w:pStyle w:val="Heading2"/>
      </w:pPr>
      <w:r>
        <w:t>An increase in interest rates could have a material adverse effect on the Company’s business.</w:t>
      </w:r>
    </w:p>
    <w:p w14:paraId="7326BA5A" w14:textId="77777777" w:rsidR="00EF3DFB" w:rsidRDefault="00EF3DFB">
      <w:pPr>
        <w:pStyle w:val="BodyText"/>
        <w:rPr>
          <w:b/>
          <w:sz w:val="22"/>
        </w:rPr>
      </w:pPr>
    </w:p>
    <w:p w14:paraId="7326BA5B" w14:textId="77777777" w:rsidR="00EF3DFB" w:rsidRDefault="00D27C17">
      <w:pPr>
        <w:pStyle w:val="BodyText"/>
        <w:spacing w:line="249" w:lineRule="auto"/>
        <w:ind w:left="190" w:right="168"/>
        <w:jc w:val="both"/>
      </w:pPr>
      <w:r>
        <w:t>While t</w:t>
      </w:r>
      <w:r>
        <w:t>he vast majority of the Company’s debt is fixed, fluctuations in interest rates can increase borrowing costs on the portion that is variable, and interest rate increases on this portion of the Company’s debt could have a material adverse effect on the Comp</w:t>
      </w:r>
      <w:r>
        <w:t>any’s business. Indeed, increases in interest rates would increase the cost of servicing our debt and could reduce our profitability and cash flows. In response to the last global economic recession, extraordinary monetary policy actions of the U.S. Federa</w:t>
      </w:r>
      <w:r>
        <w:t>l Reserve and other central banking institutions, including the utilization of quantitative easing, were taken to create and maintain a low interest rate environment. However, the U.S. Federal Reserve raised its benchmark interest rate nine times since Dec</w:t>
      </w:r>
      <w:r>
        <w:t>ember 2015, including four times in 2018, each time by a quarter of a percentage point, before reducing interest rates in 2019 three times. In response to the COVID-19 pandemic, the U.S. Federal Reserve reduced its benchmark interest rate to 0% in March 20</w:t>
      </w:r>
      <w:r>
        <w:t>20 before voting in November 2020 to keep short-term interest rates anchored in a range between 0% and 0.25%. Any change in the fiscal policies or stated target interest rates of the U.S. Federal Reserve or other central banking institutions, or market exp</w:t>
      </w:r>
      <w:r>
        <w:t>ectations of such change, are difficult to predict and may result in significantly higher long-term interest rates. Such a transition may be abrupt and may, among</w:t>
      </w:r>
      <w:r>
        <w:rPr>
          <w:spacing w:val="-3"/>
        </w:rPr>
        <w:t xml:space="preserve"> </w:t>
      </w:r>
      <w:r>
        <w:t>other</w:t>
      </w:r>
      <w:r>
        <w:rPr>
          <w:spacing w:val="-3"/>
        </w:rPr>
        <w:t xml:space="preserve"> </w:t>
      </w:r>
      <w:r>
        <w:t>things,</w:t>
      </w:r>
      <w:r>
        <w:rPr>
          <w:spacing w:val="-3"/>
        </w:rPr>
        <w:t xml:space="preserve"> </w:t>
      </w:r>
      <w:r>
        <w:t>reduce</w:t>
      </w:r>
      <w:r>
        <w:rPr>
          <w:spacing w:val="-4"/>
        </w:rPr>
        <w:t xml:space="preserve"> </w:t>
      </w:r>
      <w:r>
        <w:t>the</w:t>
      </w:r>
      <w:r>
        <w:rPr>
          <w:spacing w:val="-4"/>
        </w:rPr>
        <w:t xml:space="preserve"> </w:t>
      </w:r>
      <w:r>
        <w:t>availability</w:t>
      </w:r>
      <w:r>
        <w:rPr>
          <w:spacing w:val="-3"/>
        </w:rPr>
        <w:t xml:space="preserve"> </w:t>
      </w:r>
      <w:r>
        <w:t>and/or</w:t>
      </w:r>
      <w:r>
        <w:rPr>
          <w:spacing w:val="-3"/>
        </w:rPr>
        <w:t xml:space="preserve"> </w:t>
      </w:r>
      <w:r>
        <w:t>increase</w:t>
      </w:r>
      <w:r>
        <w:rPr>
          <w:spacing w:val="-4"/>
        </w:rPr>
        <w:t xml:space="preserve"> </w:t>
      </w:r>
      <w:r>
        <w:t>the</w:t>
      </w:r>
      <w:r>
        <w:rPr>
          <w:spacing w:val="-4"/>
        </w:rPr>
        <w:t xml:space="preserve"> </w:t>
      </w:r>
      <w:r>
        <w:t>costs</w:t>
      </w:r>
      <w:r>
        <w:rPr>
          <w:spacing w:val="-4"/>
        </w:rPr>
        <w:t xml:space="preserve"> </w:t>
      </w:r>
      <w:r>
        <w:t>of</w:t>
      </w:r>
      <w:r>
        <w:rPr>
          <w:spacing w:val="-3"/>
        </w:rPr>
        <w:t xml:space="preserve"> </w:t>
      </w:r>
      <w:r>
        <w:t>obtaining</w:t>
      </w:r>
      <w:r>
        <w:rPr>
          <w:spacing w:val="-3"/>
        </w:rPr>
        <w:t xml:space="preserve"> </w:t>
      </w:r>
      <w:r>
        <w:t>new</w:t>
      </w:r>
      <w:r>
        <w:rPr>
          <w:spacing w:val="-4"/>
        </w:rPr>
        <w:t xml:space="preserve"> </w:t>
      </w:r>
      <w:r>
        <w:t>debt</w:t>
      </w:r>
      <w:r>
        <w:rPr>
          <w:spacing w:val="-4"/>
        </w:rPr>
        <w:t xml:space="preserve"> </w:t>
      </w:r>
      <w:r>
        <w:t>and</w:t>
      </w:r>
      <w:r>
        <w:rPr>
          <w:spacing w:val="-3"/>
        </w:rPr>
        <w:t xml:space="preserve"> </w:t>
      </w:r>
      <w:r>
        <w:t>ref</w:t>
      </w:r>
      <w:r>
        <w:t>inancing</w:t>
      </w:r>
      <w:r>
        <w:rPr>
          <w:spacing w:val="-3"/>
        </w:rPr>
        <w:t xml:space="preserve"> </w:t>
      </w:r>
      <w:r>
        <w:t>existing</w:t>
      </w:r>
      <w:r>
        <w:rPr>
          <w:spacing w:val="-3"/>
        </w:rPr>
        <w:t xml:space="preserve"> </w:t>
      </w:r>
      <w:r>
        <w:t>indebtedness.</w:t>
      </w:r>
    </w:p>
    <w:p w14:paraId="7326BA5C" w14:textId="77777777" w:rsidR="00EF3DFB" w:rsidRDefault="00EF3DFB">
      <w:pPr>
        <w:pStyle w:val="BodyText"/>
        <w:spacing w:before="9"/>
        <w:rPr>
          <w:sz w:val="21"/>
        </w:rPr>
      </w:pPr>
    </w:p>
    <w:p w14:paraId="7326BA5D" w14:textId="77777777" w:rsidR="00EF3DFB" w:rsidRDefault="00D27C17">
      <w:pPr>
        <w:pStyle w:val="BodyText"/>
        <w:spacing w:line="249" w:lineRule="auto"/>
        <w:ind w:left="190" w:right="168"/>
        <w:jc w:val="both"/>
      </w:pPr>
      <w:r>
        <w:t>An increase in interest rates may also occur from changes in regulatory standards or industry practices, such as the contemplated transition away from the London Interbank Offered Rate (“LIBOR”) as a benchmark reference for</w:t>
      </w:r>
      <w:r>
        <w:t xml:space="preserve"> short-term interest rates. Such a transition may result in the usage of a higher reference rate for our variable rate debt. The U.S. Federal Reserve has sponsored the Alternative Reference Rates Committee (“ARRC”), which serves as a forum to coordinate an</w:t>
      </w:r>
      <w:r>
        <w:t>d track planning as market participants currently using LIBOR consider (a) transitioning to alternative reference rates where it is deemed appropriate and (b) addressing risks in legacy contracts language given the possibility that LIBOR might stop. On Apr</w:t>
      </w:r>
      <w:r>
        <w:t>il 3, 2018, the U.S. Federal Reserve began publishing three new reference rates, including the Secured Overnight Financing Rate (“SOFR”). SOFR is observed and backward looking,</w:t>
      </w:r>
      <w:r>
        <w:rPr>
          <w:spacing w:val="-3"/>
        </w:rPr>
        <w:t xml:space="preserve"> </w:t>
      </w:r>
      <w:r>
        <w:t>which</w:t>
      </w:r>
      <w:r>
        <w:rPr>
          <w:spacing w:val="-3"/>
        </w:rPr>
        <w:t xml:space="preserve"> </w:t>
      </w:r>
      <w:r>
        <w:t>stands</w:t>
      </w:r>
      <w:r>
        <w:rPr>
          <w:spacing w:val="-4"/>
        </w:rPr>
        <w:t xml:space="preserve"> </w:t>
      </w:r>
      <w:r>
        <w:t>in</w:t>
      </w:r>
      <w:r>
        <w:rPr>
          <w:spacing w:val="-3"/>
        </w:rPr>
        <w:t xml:space="preserve"> </w:t>
      </w:r>
      <w:r>
        <w:t>contrast</w:t>
      </w:r>
      <w:r>
        <w:rPr>
          <w:spacing w:val="-4"/>
        </w:rPr>
        <w:t xml:space="preserve"> </w:t>
      </w:r>
      <w:r>
        <w:t>with</w:t>
      </w:r>
      <w:r>
        <w:rPr>
          <w:spacing w:val="-3"/>
        </w:rPr>
        <w:t xml:space="preserve"> </w:t>
      </w:r>
      <w:r>
        <w:t>LIBOR</w:t>
      </w:r>
      <w:r>
        <w:rPr>
          <w:spacing w:val="-4"/>
        </w:rPr>
        <w:t xml:space="preserve"> </w:t>
      </w:r>
      <w:r>
        <w:t>under</w:t>
      </w:r>
      <w:r>
        <w:rPr>
          <w:spacing w:val="-3"/>
        </w:rPr>
        <w:t xml:space="preserve"> </w:t>
      </w:r>
      <w:r>
        <w:t>the</w:t>
      </w:r>
      <w:r>
        <w:rPr>
          <w:spacing w:val="-4"/>
        </w:rPr>
        <w:t xml:space="preserve"> </w:t>
      </w:r>
      <w:r>
        <w:t>current</w:t>
      </w:r>
      <w:r>
        <w:rPr>
          <w:spacing w:val="-4"/>
        </w:rPr>
        <w:t xml:space="preserve"> </w:t>
      </w:r>
      <w:r>
        <w:t>methodology,</w:t>
      </w:r>
      <w:r>
        <w:rPr>
          <w:spacing w:val="-3"/>
        </w:rPr>
        <w:t xml:space="preserve"> </w:t>
      </w:r>
      <w:r>
        <w:t>which</w:t>
      </w:r>
      <w:r>
        <w:rPr>
          <w:spacing w:val="-3"/>
        </w:rPr>
        <w:t xml:space="preserve"> </w:t>
      </w:r>
      <w:r>
        <w:t>is</w:t>
      </w:r>
      <w:r>
        <w:rPr>
          <w:spacing w:val="-4"/>
        </w:rPr>
        <w:t xml:space="preserve"> </w:t>
      </w:r>
      <w:r>
        <w:t>an</w:t>
      </w:r>
      <w:r>
        <w:rPr>
          <w:spacing w:val="-3"/>
        </w:rPr>
        <w:t xml:space="preserve"> </w:t>
      </w:r>
      <w:r>
        <w:t>estimated</w:t>
      </w:r>
      <w:r>
        <w:rPr>
          <w:spacing w:val="-3"/>
        </w:rPr>
        <w:t xml:space="preserve"> </w:t>
      </w:r>
      <w:r>
        <w:t>forward-looking</w:t>
      </w:r>
      <w:r>
        <w:rPr>
          <w:spacing w:val="-3"/>
        </w:rPr>
        <w:t xml:space="preserve"> </w:t>
      </w:r>
      <w:r>
        <w:t>rate</w:t>
      </w:r>
      <w:r>
        <w:rPr>
          <w:spacing w:val="-4"/>
        </w:rPr>
        <w:t xml:space="preserve"> </w:t>
      </w:r>
      <w:r>
        <w:t>and</w:t>
      </w:r>
      <w:r>
        <w:rPr>
          <w:spacing w:val="-3"/>
        </w:rPr>
        <w:t xml:space="preserve"> </w:t>
      </w:r>
      <w:r>
        <w:t>relies, to some degree, on the expert judgment of submitting panel members. Given that SOFR is a secured rate backed by government securities, it will be a rate that does not take into account bank credit risk (as is t</w:t>
      </w:r>
      <w:r>
        <w:t xml:space="preserve">he case with LIBOR). SOFR is therefore likely to be lower than LIBOR and is less likely to correlate with the funding costs of financial institutions. ARRC has recommended SOFR as the alternative to LIBOR and published fallback interest rate consultations </w:t>
      </w:r>
      <w:r>
        <w:t>for public comment and a Paced Transition Plan to SOFR use. The Financial Stability Board has taken an interest in LIBOR and possible replacement indices as a matter of risk management. The International Organisation of Securities Commissions, or IOSCO, ha</w:t>
      </w:r>
      <w:r>
        <w:t>s been active in this area and is expected to call on market participants to have backup options if a reference rate, such as LIBOR, ceases publication. The International Swaps and Derivatives Association (“ISDA”) has published guidance on interest rate be</w:t>
      </w:r>
      <w:r>
        <w:t>nchmarks and alternatives in July and August 2018. ISDA also published a protocol providing details of the fallback rate conversion methodology in October 2020. It cannot be predicted whether SOFR</w:t>
      </w:r>
      <w:r>
        <w:rPr>
          <w:spacing w:val="1"/>
        </w:rPr>
        <w:t xml:space="preserve"> </w:t>
      </w:r>
      <w:r>
        <w:t>or</w:t>
      </w:r>
      <w:r>
        <w:rPr>
          <w:spacing w:val="1"/>
        </w:rPr>
        <w:t xml:space="preserve"> </w:t>
      </w:r>
      <w:r>
        <w:t>another</w:t>
      </w:r>
      <w:r>
        <w:rPr>
          <w:spacing w:val="1"/>
        </w:rPr>
        <w:t xml:space="preserve"> </w:t>
      </w:r>
      <w:r>
        <w:t>index</w:t>
      </w:r>
      <w:r>
        <w:rPr>
          <w:spacing w:val="1"/>
        </w:rPr>
        <w:t xml:space="preserve"> </w:t>
      </w:r>
      <w:r>
        <w:t>or</w:t>
      </w:r>
      <w:r>
        <w:rPr>
          <w:spacing w:val="1"/>
        </w:rPr>
        <w:t xml:space="preserve"> </w:t>
      </w:r>
      <w:r>
        <w:t>indices</w:t>
      </w:r>
      <w:r>
        <w:rPr>
          <w:spacing w:val="1"/>
        </w:rPr>
        <w:t xml:space="preserve"> </w:t>
      </w:r>
      <w:r>
        <w:t>will</w:t>
      </w:r>
      <w:r>
        <w:rPr>
          <w:spacing w:val="1"/>
        </w:rPr>
        <w:t xml:space="preserve"> </w:t>
      </w:r>
      <w:r>
        <w:t>become</w:t>
      </w:r>
      <w:r>
        <w:rPr>
          <w:spacing w:val="1"/>
        </w:rPr>
        <w:t xml:space="preserve"> </w:t>
      </w:r>
      <w:r>
        <w:t>a</w:t>
      </w:r>
      <w:r>
        <w:rPr>
          <w:spacing w:val="1"/>
        </w:rPr>
        <w:t xml:space="preserve"> </w:t>
      </w:r>
      <w:r>
        <w:t>market</w:t>
      </w:r>
      <w:r>
        <w:rPr>
          <w:spacing w:val="1"/>
        </w:rPr>
        <w:t xml:space="preserve"> </w:t>
      </w:r>
      <w:r>
        <w:t>standard</w:t>
      </w:r>
      <w:r>
        <w:rPr>
          <w:spacing w:val="1"/>
        </w:rPr>
        <w:t xml:space="preserve"> </w:t>
      </w:r>
      <w:r>
        <w:t>t</w:t>
      </w:r>
      <w:r>
        <w:t>hat</w:t>
      </w:r>
      <w:r>
        <w:rPr>
          <w:spacing w:val="1"/>
        </w:rPr>
        <w:t xml:space="preserve"> </w:t>
      </w:r>
      <w:r>
        <w:t>replaces</w:t>
      </w:r>
      <w:r>
        <w:rPr>
          <w:spacing w:val="1"/>
        </w:rPr>
        <w:t xml:space="preserve"> </w:t>
      </w:r>
      <w:r>
        <w:t>LIBOR,</w:t>
      </w:r>
      <w:r>
        <w:rPr>
          <w:spacing w:val="1"/>
        </w:rPr>
        <w:t xml:space="preserve"> </w:t>
      </w:r>
      <w:r>
        <w:t>and</w:t>
      </w:r>
      <w:r>
        <w:rPr>
          <w:spacing w:val="1"/>
        </w:rPr>
        <w:t xml:space="preserve"> </w:t>
      </w:r>
      <w:r>
        <w:t>if</w:t>
      </w:r>
      <w:r>
        <w:rPr>
          <w:spacing w:val="1"/>
        </w:rPr>
        <w:t xml:space="preserve"> </w:t>
      </w:r>
      <w:r>
        <w:t>so,</w:t>
      </w:r>
      <w:r>
        <w:rPr>
          <w:spacing w:val="1"/>
        </w:rPr>
        <w:t xml:space="preserve"> </w:t>
      </w:r>
      <w:r>
        <w:t>the</w:t>
      </w:r>
      <w:r>
        <w:rPr>
          <w:spacing w:val="1"/>
        </w:rPr>
        <w:t xml:space="preserve"> </w:t>
      </w:r>
      <w:r>
        <w:t>effects</w:t>
      </w:r>
      <w:r>
        <w:rPr>
          <w:spacing w:val="1"/>
        </w:rPr>
        <w:t xml:space="preserve"> </w:t>
      </w:r>
      <w:r>
        <w:t>on</w:t>
      </w:r>
      <w:r>
        <w:rPr>
          <w:spacing w:val="1"/>
        </w:rPr>
        <w:t xml:space="preserve"> </w:t>
      </w:r>
      <w:r>
        <w:t>our</w:t>
      </w:r>
      <w:r>
        <w:rPr>
          <w:spacing w:val="1"/>
        </w:rPr>
        <w:t xml:space="preserve"> </w:t>
      </w:r>
      <w:r>
        <w:t>future</w:t>
      </w:r>
      <w:r>
        <w:rPr>
          <w:spacing w:val="1"/>
        </w:rPr>
        <w:t xml:space="preserve"> </w:t>
      </w:r>
      <w:r>
        <w:t>results</w:t>
      </w:r>
      <w:r>
        <w:rPr>
          <w:spacing w:val="1"/>
        </w:rPr>
        <w:t xml:space="preserve"> </w:t>
      </w:r>
      <w:r>
        <w:t>of</w:t>
      </w:r>
    </w:p>
    <w:p w14:paraId="7326BA5E" w14:textId="77777777" w:rsidR="00EF3DFB" w:rsidRDefault="00EF3DFB">
      <w:pPr>
        <w:spacing w:line="249" w:lineRule="auto"/>
        <w:jc w:val="both"/>
        <w:sectPr w:rsidR="00EF3DFB">
          <w:pgSz w:w="12240" w:h="15840"/>
          <w:pgMar w:top="600" w:right="640" w:bottom="480" w:left="620" w:header="0" w:footer="291" w:gutter="0"/>
          <w:cols w:space="720"/>
        </w:sectPr>
      </w:pPr>
    </w:p>
    <w:p w14:paraId="7326BA5F" w14:textId="77777777" w:rsidR="00EF3DFB" w:rsidRDefault="00D27C17">
      <w:pPr>
        <w:pStyle w:val="BodyText"/>
        <w:spacing w:before="72" w:line="249" w:lineRule="auto"/>
        <w:ind w:left="190" w:right="169"/>
        <w:jc w:val="both"/>
      </w:pPr>
      <w:r>
        <w:lastRenderedPageBreak/>
        <w:t>operations or financial condition. In a November 30, 2020 announcement, LIBOR’s administrator signaled to the market that USD LIBOR</w:t>
      </w:r>
      <w:r>
        <w:rPr>
          <w:spacing w:val="-3"/>
        </w:rPr>
        <w:t xml:space="preserve"> </w:t>
      </w:r>
      <w:r>
        <w:t>for</w:t>
      </w:r>
      <w:r>
        <w:rPr>
          <w:spacing w:val="-2"/>
        </w:rPr>
        <w:t xml:space="preserve"> </w:t>
      </w:r>
      <w:r>
        <w:t>the</w:t>
      </w:r>
      <w:r>
        <w:rPr>
          <w:spacing w:val="-3"/>
        </w:rPr>
        <w:t xml:space="preserve"> </w:t>
      </w:r>
      <w:r>
        <w:t>most</w:t>
      </w:r>
      <w:r>
        <w:rPr>
          <w:spacing w:val="-3"/>
        </w:rPr>
        <w:t xml:space="preserve"> </w:t>
      </w:r>
      <w:r>
        <w:t>liquid</w:t>
      </w:r>
      <w:r>
        <w:rPr>
          <w:spacing w:val="-2"/>
        </w:rPr>
        <w:t xml:space="preserve"> </w:t>
      </w:r>
      <w:r>
        <w:t>maturities</w:t>
      </w:r>
      <w:r>
        <w:rPr>
          <w:spacing w:val="-3"/>
        </w:rPr>
        <w:t xml:space="preserve"> </w:t>
      </w:r>
      <w:r>
        <w:t>is</w:t>
      </w:r>
      <w:r>
        <w:rPr>
          <w:spacing w:val="-3"/>
        </w:rPr>
        <w:t xml:space="preserve"> </w:t>
      </w:r>
      <w:r>
        <w:t>now</w:t>
      </w:r>
      <w:r>
        <w:rPr>
          <w:spacing w:val="-3"/>
        </w:rPr>
        <w:t xml:space="preserve"> </w:t>
      </w:r>
      <w:r>
        <w:t>likely</w:t>
      </w:r>
      <w:r>
        <w:rPr>
          <w:spacing w:val="-2"/>
        </w:rPr>
        <w:t xml:space="preserve"> </w:t>
      </w:r>
      <w:r>
        <w:t>to</w:t>
      </w:r>
      <w:r>
        <w:rPr>
          <w:spacing w:val="-2"/>
        </w:rPr>
        <w:t xml:space="preserve"> </w:t>
      </w:r>
      <w:r>
        <w:t>continue</w:t>
      </w:r>
      <w:r>
        <w:rPr>
          <w:spacing w:val="-3"/>
        </w:rPr>
        <w:t xml:space="preserve"> </w:t>
      </w:r>
      <w:r>
        <w:t>to</w:t>
      </w:r>
      <w:r>
        <w:rPr>
          <w:spacing w:val="-2"/>
        </w:rPr>
        <w:t xml:space="preserve"> </w:t>
      </w:r>
      <w:r>
        <w:t>be</w:t>
      </w:r>
      <w:r>
        <w:rPr>
          <w:spacing w:val="-3"/>
        </w:rPr>
        <w:t xml:space="preserve"> </w:t>
      </w:r>
      <w:r>
        <w:t>published</w:t>
      </w:r>
      <w:r>
        <w:rPr>
          <w:spacing w:val="-2"/>
        </w:rPr>
        <w:t xml:space="preserve"> </w:t>
      </w:r>
      <w:r>
        <w:t>until</w:t>
      </w:r>
      <w:r>
        <w:rPr>
          <w:spacing w:val="-3"/>
        </w:rPr>
        <w:t xml:space="preserve"> </w:t>
      </w:r>
      <w:r>
        <w:t>June</w:t>
      </w:r>
      <w:r>
        <w:rPr>
          <w:spacing w:val="-3"/>
        </w:rPr>
        <w:t xml:space="preserve"> </w:t>
      </w:r>
      <w:r>
        <w:t>30,</w:t>
      </w:r>
      <w:r>
        <w:rPr>
          <w:spacing w:val="-2"/>
        </w:rPr>
        <w:t xml:space="preserve"> </w:t>
      </w:r>
      <w:r>
        <w:t>2023,</w:t>
      </w:r>
      <w:r>
        <w:rPr>
          <w:spacing w:val="-2"/>
        </w:rPr>
        <w:t xml:space="preserve"> </w:t>
      </w:r>
      <w:r>
        <w:t>which</w:t>
      </w:r>
      <w:r>
        <w:rPr>
          <w:spacing w:val="-2"/>
        </w:rPr>
        <w:t xml:space="preserve"> </w:t>
      </w:r>
      <w:r>
        <w:t>would</w:t>
      </w:r>
      <w:r>
        <w:rPr>
          <w:spacing w:val="-2"/>
        </w:rPr>
        <w:t xml:space="preserve"> </w:t>
      </w:r>
      <w:r>
        <w:t>allow</w:t>
      </w:r>
      <w:r>
        <w:rPr>
          <w:spacing w:val="-3"/>
        </w:rPr>
        <w:t xml:space="preserve"> </w:t>
      </w:r>
      <w:r>
        <w:t>time</w:t>
      </w:r>
      <w:r>
        <w:rPr>
          <w:spacing w:val="-3"/>
        </w:rPr>
        <w:t xml:space="preserve"> </w:t>
      </w:r>
      <w:r>
        <w:t>for</w:t>
      </w:r>
      <w:r>
        <w:rPr>
          <w:spacing w:val="-2"/>
        </w:rPr>
        <w:t xml:space="preserve"> </w:t>
      </w:r>
      <w:r>
        <w:t xml:space="preserve">most legacy contracts to mature before USD LIBOR is no longer available, and would also allow for more time for SOFR to develop. If LIBOR ceases to exist prior to the maturity of our contracts, we may need to renegotiate our credit agreements that utilize </w:t>
      </w:r>
      <w:r>
        <w:t>LIBOR as a factor in determining the interest rate to replace LIBOR with the new standard that is</w:t>
      </w:r>
      <w:r>
        <w:rPr>
          <w:spacing w:val="-21"/>
        </w:rPr>
        <w:t xml:space="preserve"> </w:t>
      </w:r>
      <w:r>
        <w:t>established.</w:t>
      </w:r>
    </w:p>
    <w:p w14:paraId="7326BA60" w14:textId="77777777" w:rsidR="00EF3DFB" w:rsidRDefault="00EF3DFB">
      <w:pPr>
        <w:pStyle w:val="BodyText"/>
        <w:spacing w:before="10"/>
      </w:pPr>
    </w:p>
    <w:p w14:paraId="7326BA61" w14:textId="77777777" w:rsidR="00EF3DFB" w:rsidRDefault="00D27C17">
      <w:pPr>
        <w:pStyle w:val="Heading2"/>
        <w:spacing w:before="1" w:line="249" w:lineRule="auto"/>
        <w:ind w:right="168"/>
      </w:pPr>
      <w:r>
        <w:t>Reductions in the Company’s credit ratings could materially and adversely affect its business, financial condition and results of operations.</w:t>
      </w:r>
    </w:p>
    <w:p w14:paraId="7326BA62" w14:textId="77777777" w:rsidR="00EF3DFB" w:rsidRDefault="00EF3DFB">
      <w:pPr>
        <w:pStyle w:val="BodyText"/>
        <w:spacing w:before="3"/>
        <w:rPr>
          <w:b/>
          <w:sz w:val="21"/>
        </w:rPr>
      </w:pPr>
    </w:p>
    <w:p w14:paraId="7326BA63" w14:textId="77777777" w:rsidR="00EF3DFB" w:rsidRDefault="00D27C17">
      <w:pPr>
        <w:pStyle w:val="BodyText"/>
        <w:spacing w:line="249" w:lineRule="auto"/>
        <w:ind w:left="190" w:right="170"/>
        <w:jc w:val="both"/>
      </w:pPr>
      <w:r>
        <w:t>T</w:t>
      </w:r>
      <w:r>
        <w:t xml:space="preserve">he Company’s credit ratings impact the cost and availability of future borrowings and, accordingly, the Company’s cost of capital. The Company’s credit ratings reflect each rating organization’s opinion of its financial strength, operating performance and </w:t>
      </w:r>
      <w:r>
        <w:t>ability to meet its debt obligations. The credit ratings assigned to the Company also impact the interest rates paid on short- and long-term financing.</w:t>
      </w:r>
    </w:p>
    <w:p w14:paraId="7326BA64" w14:textId="77777777" w:rsidR="00EF3DFB" w:rsidRDefault="00EF3DFB">
      <w:pPr>
        <w:pStyle w:val="BodyText"/>
        <w:spacing w:before="1"/>
        <w:rPr>
          <w:sz w:val="21"/>
        </w:rPr>
      </w:pPr>
    </w:p>
    <w:p w14:paraId="7326BA65" w14:textId="77777777" w:rsidR="00EF3DFB" w:rsidRDefault="00D27C17">
      <w:pPr>
        <w:pStyle w:val="BodyText"/>
        <w:spacing w:before="1" w:line="249" w:lineRule="auto"/>
        <w:ind w:left="190" w:right="169"/>
        <w:jc w:val="both"/>
      </w:pPr>
      <w:r>
        <w:t>On November 1, 2019, S&amp;P Global Inc. (“S&amp;P”) downgraded the Company’s debt rating to “BB+” as S&amp;P belie</w:t>
      </w:r>
      <w:r>
        <w:t xml:space="preserve">ved the Company would fail to meet S&amp;P’s target debt level for 2019. In addition, on March 9, 2020, Moody’s Corporation (“Moody’s”) downgraded the Company’s debt rating to “Ba1” based on a view that the Company would fail to meet Moody's target debt level </w:t>
      </w:r>
      <w:r>
        <w:t xml:space="preserve">for 2020. Subsequently on April 15, 2020, Fitch Ratings (“Fitch”) downgraded the Company’s debt rating to “BB” as they believed the Company would fail to meet Fitch's target debt level for 2020. As a result of the S&amp;P and Moody's downgrades, the Company’s </w:t>
      </w:r>
      <w:r>
        <w:t>ability to borrow from the commercial paper market on terms it deems acceptable or favorable was eliminated and its cost of borrowing increased.</w:t>
      </w:r>
    </w:p>
    <w:p w14:paraId="7326BA66" w14:textId="77777777" w:rsidR="00EF3DFB" w:rsidRDefault="00EF3DFB">
      <w:pPr>
        <w:pStyle w:val="BodyText"/>
        <w:spacing w:before="4"/>
        <w:rPr>
          <w:sz w:val="21"/>
        </w:rPr>
      </w:pPr>
    </w:p>
    <w:p w14:paraId="7326BA67" w14:textId="77777777" w:rsidR="00EF3DFB" w:rsidRDefault="00D27C17">
      <w:pPr>
        <w:pStyle w:val="BodyText"/>
        <w:spacing w:line="249" w:lineRule="auto"/>
        <w:ind w:left="190" w:right="168"/>
        <w:jc w:val="both"/>
      </w:pPr>
      <w:r>
        <w:t>Any further downgrade by Moody’s or S&amp;P would further increase the Company’s borrowing costs and continue to a</w:t>
      </w:r>
      <w:r>
        <w:t>dversely affect the Company’s financial results. In addition, in the event of a future reduction in credit rating, the Company would likely be required to pay a higher interest rate in future financings, and its potential pool of investors and funding sour</w:t>
      </w:r>
      <w:r>
        <w:t>ces could decrease. If the Company’s short-term ratings were to be further lowered, it would further limit, or eliminate entirely, the Company’s access to the commercial paper</w:t>
      </w:r>
      <w:r>
        <w:rPr>
          <w:spacing w:val="-3"/>
        </w:rPr>
        <w:t xml:space="preserve"> </w:t>
      </w:r>
      <w:r>
        <w:t>market.</w:t>
      </w:r>
    </w:p>
    <w:p w14:paraId="7326BA68" w14:textId="77777777" w:rsidR="00EF3DFB" w:rsidRDefault="00EF3DFB">
      <w:pPr>
        <w:pStyle w:val="BodyText"/>
        <w:spacing w:before="2"/>
        <w:rPr>
          <w:sz w:val="21"/>
        </w:rPr>
      </w:pPr>
    </w:p>
    <w:p w14:paraId="7326BA69" w14:textId="77777777" w:rsidR="00EF3DFB" w:rsidRDefault="00D27C17">
      <w:pPr>
        <w:pStyle w:val="BodyText"/>
        <w:spacing w:before="1" w:line="249" w:lineRule="auto"/>
        <w:ind w:left="190" w:right="170"/>
        <w:jc w:val="both"/>
      </w:pPr>
      <w:r>
        <w:t>The ratings from credit agencies are not recommendations to buy, sell o</w:t>
      </w:r>
      <w:r>
        <w:t>r hold the Company’s securities, and each rating should be evaluated independently of any other rating.</w:t>
      </w:r>
    </w:p>
    <w:p w14:paraId="7326BA6A" w14:textId="77777777" w:rsidR="00EF3DFB" w:rsidRDefault="00EF3DFB">
      <w:pPr>
        <w:pStyle w:val="BodyText"/>
        <w:rPr>
          <w:sz w:val="21"/>
        </w:rPr>
      </w:pPr>
    </w:p>
    <w:p w14:paraId="7326BA6B" w14:textId="77777777" w:rsidR="00EF3DFB" w:rsidRDefault="00D27C17">
      <w:pPr>
        <w:ind w:left="190"/>
        <w:jc w:val="both"/>
        <w:rPr>
          <w:sz w:val="20"/>
        </w:rPr>
      </w:pPr>
      <w:r>
        <w:rPr>
          <w:sz w:val="20"/>
        </w:rPr>
        <w:t xml:space="preserve">See </w:t>
      </w:r>
      <w:r>
        <w:rPr>
          <w:i/>
          <w:sz w:val="20"/>
        </w:rPr>
        <w:t xml:space="preserve">Factors Affecting Liquidity </w:t>
      </w:r>
      <w:r>
        <w:rPr>
          <w:sz w:val="20"/>
        </w:rPr>
        <w:t xml:space="preserve">in </w:t>
      </w:r>
      <w:r>
        <w:rPr>
          <w:i/>
          <w:sz w:val="20"/>
        </w:rPr>
        <w:t>Liquidity and Capital Resources in Item 7</w:t>
      </w:r>
      <w:r>
        <w:rPr>
          <w:sz w:val="20"/>
        </w:rPr>
        <w:t>.</w:t>
      </w:r>
    </w:p>
    <w:p w14:paraId="7326BA6C" w14:textId="77777777" w:rsidR="00EF3DFB" w:rsidRDefault="00EF3DFB">
      <w:pPr>
        <w:pStyle w:val="BodyText"/>
        <w:spacing w:before="5"/>
        <w:rPr>
          <w:sz w:val="21"/>
        </w:rPr>
      </w:pPr>
    </w:p>
    <w:p w14:paraId="7326BA6D" w14:textId="77777777" w:rsidR="00EF3DFB" w:rsidRDefault="00D27C17">
      <w:pPr>
        <w:pStyle w:val="Heading2"/>
        <w:spacing w:line="249" w:lineRule="auto"/>
        <w:ind w:right="167"/>
      </w:pPr>
      <w:r>
        <w:t>Failure to successfully remediate the material weakness in internal control over financial reporting and to maintain effective internal control over financial reporting could result in material misstatements in our financial statements, and our failure to</w:t>
      </w:r>
      <w:r>
        <w:rPr>
          <w:spacing w:val="-2"/>
        </w:rPr>
        <w:t xml:space="preserve"> </w:t>
      </w:r>
      <w:r>
        <w:t>meet</w:t>
      </w:r>
      <w:r>
        <w:rPr>
          <w:spacing w:val="-2"/>
        </w:rPr>
        <w:t xml:space="preserve"> </w:t>
      </w:r>
      <w:r>
        <w:t>our</w:t>
      </w:r>
      <w:r>
        <w:rPr>
          <w:spacing w:val="-3"/>
        </w:rPr>
        <w:t xml:space="preserve"> </w:t>
      </w:r>
      <w:r>
        <w:t>reporting</w:t>
      </w:r>
      <w:r>
        <w:rPr>
          <w:spacing w:val="-2"/>
        </w:rPr>
        <w:t xml:space="preserve"> </w:t>
      </w:r>
      <w:r>
        <w:t>and</w:t>
      </w:r>
      <w:r>
        <w:rPr>
          <w:spacing w:val="-3"/>
        </w:rPr>
        <w:t xml:space="preserve"> </w:t>
      </w:r>
      <w:r>
        <w:t>financial</w:t>
      </w:r>
      <w:r>
        <w:rPr>
          <w:spacing w:val="-3"/>
        </w:rPr>
        <w:t xml:space="preserve"> </w:t>
      </w:r>
      <w:r>
        <w:t>obligations,</w:t>
      </w:r>
      <w:r>
        <w:rPr>
          <w:spacing w:val="-2"/>
        </w:rPr>
        <w:t xml:space="preserve"> </w:t>
      </w:r>
      <w:r>
        <w:t>which</w:t>
      </w:r>
      <w:r>
        <w:rPr>
          <w:spacing w:val="-3"/>
        </w:rPr>
        <w:t xml:space="preserve"> </w:t>
      </w:r>
      <w:r>
        <w:t>in</w:t>
      </w:r>
      <w:r>
        <w:rPr>
          <w:spacing w:val="-3"/>
        </w:rPr>
        <w:t xml:space="preserve"> </w:t>
      </w:r>
      <w:r>
        <w:t>turn</w:t>
      </w:r>
      <w:r>
        <w:rPr>
          <w:spacing w:val="-3"/>
        </w:rPr>
        <w:t xml:space="preserve"> </w:t>
      </w:r>
      <w:r>
        <w:t>could</w:t>
      </w:r>
      <w:r>
        <w:rPr>
          <w:spacing w:val="-3"/>
        </w:rPr>
        <w:t xml:space="preserve"> </w:t>
      </w:r>
      <w:r>
        <w:t>have</w:t>
      </w:r>
      <w:r>
        <w:rPr>
          <w:spacing w:val="-3"/>
        </w:rPr>
        <w:t xml:space="preserve"> </w:t>
      </w:r>
      <w:r>
        <w:t>a</w:t>
      </w:r>
      <w:r>
        <w:rPr>
          <w:spacing w:val="-2"/>
        </w:rPr>
        <w:t xml:space="preserve"> </w:t>
      </w:r>
      <w:r>
        <w:t>negative</w:t>
      </w:r>
      <w:r>
        <w:rPr>
          <w:spacing w:val="-3"/>
        </w:rPr>
        <w:t xml:space="preserve"> </w:t>
      </w:r>
      <w:r>
        <w:t>impact</w:t>
      </w:r>
      <w:r>
        <w:rPr>
          <w:spacing w:val="-2"/>
        </w:rPr>
        <w:t xml:space="preserve"> </w:t>
      </w:r>
      <w:r>
        <w:t>on</w:t>
      </w:r>
      <w:r>
        <w:rPr>
          <w:spacing w:val="-3"/>
        </w:rPr>
        <w:t xml:space="preserve"> </w:t>
      </w:r>
      <w:r>
        <w:t>our</w:t>
      </w:r>
      <w:r>
        <w:rPr>
          <w:spacing w:val="-3"/>
        </w:rPr>
        <w:t xml:space="preserve"> </w:t>
      </w:r>
      <w:r>
        <w:t>financial</w:t>
      </w:r>
      <w:r>
        <w:rPr>
          <w:spacing w:val="-3"/>
        </w:rPr>
        <w:t xml:space="preserve"> </w:t>
      </w:r>
      <w:r>
        <w:t>condition.</w:t>
      </w:r>
    </w:p>
    <w:p w14:paraId="7326BA6E" w14:textId="77777777" w:rsidR="00EF3DFB" w:rsidRDefault="00EF3DFB">
      <w:pPr>
        <w:pStyle w:val="BodyText"/>
        <w:spacing w:before="6"/>
        <w:rPr>
          <w:b/>
        </w:rPr>
      </w:pPr>
    </w:p>
    <w:p w14:paraId="7326BA6F" w14:textId="77777777" w:rsidR="00EF3DFB" w:rsidRDefault="00D27C17">
      <w:pPr>
        <w:pStyle w:val="BodyText"/>
        <w:spacing w:line="249" w:lineRule="auto"/>
        <w:ind w:left="190" w:right="167"/>
        <w:jc w:val="both"/>
      </w:pPr>
      <w:r>
        <w:t xml:space="preserve">As further detailed in </w:t>
      </w:r>
      <w:r>
        <w:rPr>
          <w:i/>
        </w:rPr>
        <w:t>Item 9A. Controls and Procedures</w:t>
      </w:r>
      <w:r>
        <w:t>, management continues to have a material weakness in its internal control over financial reporting. A material weakness was disclosed in the Company’s 2019 Annual Report on Form 10-K, filed on March 2, 2020 and subsequent quarterly reports on Form 10-Q, r</w:t>
      </w:r>
      <w:r>
        <w:t>elated to the accounting for certain aspects of income taxes. At December 31, 2019, the Company identified that it did not design and maintain controls related to the completeness and accuracy of accounting for state income tax and the accuracy of determin</w:t>
      </w:r>
      <w:r>
        <w:t>ing uncertain tax positions, including but not limited to verifying the accrued interest associated with uncertain tax positions was properly determined and recorded. In addition, during the fourth quarter of 2020, management identified that the Company di</w:t>
      </w:r>
      <w:r>
        <w:t>d not design and maintain effective controls to ensure the accuracy of accounting for non-recurring tax planning transactions. These control deficiencies, in the aggregate, could result in a misstatement of the Company's aforementioned accounts and disclos</w:t>
      </w:r>
      <w:r>
        <w:t>ures that would result in a material misstatement of the annual or interim consolidated financial statements that would not be prevented or detected. Accordingly, management has determined that these control deficiencies, in the aggregate, constitute a mat</w:t>
      </w:r>
      <w:r>
        <w:t>erial</w:t>
      </w:r>
      <w:r>
        <w:rPr>
          <w:spacing w:val="-8"/>
        </w:rPr>
        <w:t xml:space="preserve"> </w:t>
      </w:r>
      <w:r>
        <w:t>weakness.</w:t>
      </w:r>
    </w:p>
    <w:p w14:paraId="7326BA70" w14:textId="77777777" w:rsidR="00EF3DFB" w:rsidRDefault="00EF3DFB">
      <w:pPr>
        <w:pStyle w:val="BodyText"/>
        <w:spacing w:before="7"/>
        <w:rPr>
          <w:sz w:val="21"/>
        </w:rPr>
      </w:pPr>
    </w:p>
    <w:p w14:paraId="7326BA71" w14:textId="77777777" w:rsidR="00EF3DFB" w:rsidRDefault="00D27C17">
      <w:pPr>
        <w:pStyle w:val="BodyText"/>
        <w:spacing w:line="249" w:lineRule="auto"/>
        <w:ind w:left="190" w:right="169"/>
        <w:jc w:val="both"/>
      </w:pPr>
      <w:r>
        <w:t>A material weakness is defined as a deficiency, or a combination of deficiencies, in internal control over financial reporting such that there is a reasonable possibility that a material misstatement of our annual or interim financial stat</w:t>
      </w:r>
      <w:r>
        <w:t>ements will not be prevented or detected on a timely</w:t>
      </w:r>
      <w:r>
        <w:rPr>
          <w:spacing w:val="-2"/>
        </w:rPr>
        <w:t xml:space="preserve"> </w:t>
      </w:r>
      <w:r>
        <w:t>basis.</w:t>
      </w:r>
    </w:p>
    <w:p w14:paraId="7326BA72" w14:textId="77777777" w:rsidR="00EF3DFB" w:rsidRDefault="00EF3DFB">
      <w:pPr>
        <w:spacing w:line="249" w:lineRule="auto"/>
        <w:jc w:val="both"/>
        <w:sectPr w:rsidR="00EF3DFB">
          <w:pgSz w:w="12240" w:h="15840"/>
          <w:pgMar w:top="600" w:right="640" w:bottom="480" w:left="620" w:header="0" w:footer="291" w:gutter="0"/>
          <w:cols w:space="720"/>
        </w:sectPr>
      </w:pPr>
    </w:p>
    <w:p w14:paraId="7326BA73" w14:textId="77777777" w:rsidR="00EF3DFB" w:rsidRDefault="00D27C17">
      <w:pPr>
        <w:pStyle w:val="BodyText"/>
        <w:spacing w:before="72" w:line="249" w:lineRule="auto"/>
        <w:ind w:left="190" w:right="168"/>
        <w:jc w:val="both"/>
      </w:pPr>
      <w:r>
        <w:lastRenderedPageBreak/>
        <w:t>As of December 31, 2020, management designed and implemented the following measures to remediate the deficiencies related to the completeness and accuracy of accounting for state inc</w:t>
      </w:r>
      <w:r>
        <w:t>ome tax and the accuracy of determining uncertain tax positions, including but not limited to verifying that the accrued interest associated with uncertain tax positions was properly determined and recorded:</w:t>
      </w:r>
    </w:p>
    <w:p w14:paraId="7326BA74" w14:textId="77777777" w:rsidR="00EF3DFB" w:rsidRDefault="00EF3DFB">
      <w:pPr>
        <w:pStyle w:val="BodyText"/>
        <w:rPr>
          <w:sz w:val="21"/>
        </w:rPr>
      </w:pPr>
    </w:p>
    <w:p w14:paraId="7326BA75" w14:textId="77777777" w:rsidR="00EF3DFB" w:rsidRDefault="00D27C17">
      <w:pPr>
        <w:pStyle w:val="ListParagraph"/>
        <w:numPr>
          <w:ilvl w:val="1"/>
          <w:numId w:val="30"/>
        </w:numPr>
        <w:tabs>
          <w:tab w:val="left" w:pos="909"/>
          <w:tab w:val="left" w:pos="910"/>
        </w:tabs>
        <w:spacing w:before="1" w:line="249" w:lineRule="auto"/>
        <w:ind w:right="170"/>
        <w:rPr>
          <w:sz w:val="20"/>
        </w:rPr>
      </w:pPr>
      <w:r>
        <w:rPr>
          <w:sz w:val="20"/>
        </w:rPr>
        <w:t>Hired experienced resources with substantive ba</w:t>
      </w:r>
      <w:r>
        <w:rPr>
          <w:sz w:val="20"/>
        </w:rPr>
        <w:t>ckgrounds in accounting for income taxes as well as U.S. multinational public company</w:t>
      </w:r>
      <w:r>
        <w:rPr>
          <w:spacing w:val="-2"/>
          <w:sz w:val="20"/>
        </w:rPr>
        <w:t xml:space="preserve"> </w:t>
      </w:r>
      <w:r>
        <w:rPr>
          <w:sz w:val="20"/>
        </w:rPr>
        <w:t>experience;</w:t>
      </w:r>
    </w:p>
    <w:p w14:paraId="7326BA76" w14:textId="77777777" w:rsidR="00EF3DFB" w:rsidRDefault="00D27C17">
      <w:pPr>
        <w:pStyle w:val="ListParagraph"/>
        <w:numPr>
          <w:ilvl w:val="1"/>
          <w:numId w:val="30"/>
        </w:numPr>
        <w:tabs>
          <w:tab w:val="left" w:pos="909"/>
          <w:tab w:val="left" w:pos="910"/>
        </w:tabs>
        <w:spacing w:before="1" w:line="249" w:lineRule="auto"/>
        <w:ind w:right="169"/>
        <w:rPr>
          <w:sz w:val="20"/>
        </w:rPr>
      </w:pPr>
      <w:r>
        <w:rPr>
          <w:sz w:val="20"/>
        </w:rPr>
        <w:t>Engaged a third party to review the Company’s tax provision processes, identify inefficiencies, and recommend process enhancements;</w:t>
      </w:r>
    </w:p>
    <w:p w14:paraId="7326BA77" w14:textId="77777777" w:rsidR="00EF3DFB" w:rsidRDefault="00D27C17">
      <w:pPr>
        <w:pStyle w:val="ListParagraph"/>
        <w:numPr>
          <w:ilvl w:val="1"/>
          <w:numId w:val="30"/>
        </w:numPr>
        <w:tabs>
          <w:tab w:val="left" w:pos="909"/>
          <w:tab w:val="left" w:pos="910"/>
        </w:tabs>
        <w:spacing w:before="2" w:line="249" w:lineRule="auto"/>
        <w:ind w:right="170"/>
        <w:rPr>
          <w:sz w:val="20"/>
        </w:rPr>
      </w:pPr>
      <w:r>
        <w:rPr>
          <w:sz w:val="20"/>
        </w:rPr>
        <w:t>Implemented a tax reportin</w:t>
      </w:r>
      <w:r>
        <w:rPr>
          <w:sz w:val="20"/>
        </w:rPr>
        <w:t>g software solution that has enhanced our visibility of uncertain tax positions as well as a software solution that has enhanced our state income tax reporting</w:t>
      </w:r>
      <w:r>
        <w:rPr>
          <w:spacing w:val="-10"/>
          <w:sz w:val="20"/>
        </w:rPr>
        <w:t xml:space="preserve"> </w:t>
      </w:r>
      <w:r>
        <w:rPr>
          <w:sz w:val="20"/>
        </w:rPr>
        <w:t>capabilities;</w:t>
      </w:r>
    </w:p>
    <w:p w14:paraId="7326BA78" w14:textId="77777777" w:rsidR="00EF3DFB" w:rsidRDefault="00D27C17">
      <w:pPr>
        <w:pStyle w:val="ListParagraph"/>
        <w:numPr>
          <w:ilvl w:val="1"/>
          <w:numId w:val="30"/>
        </w:numPr>
        <w:tabs>
          <w:tab w:val="left" w:pos="909"/>
          <w:tab w:val="left" w:pos="910"/>
        </w:tabs>
        <w:spacing w:before="1" w:line="249" w:lineRule="auto"/>
        <w:ind w:right="169"/>
        <w:rPr>
          <w:sz w:val="20"/>
        </w:rPr>
      </w:pPr>
      <w:r>
        <w:rPr>
          <w:sz w:val="20"/>
        </w:rPr>
        <w:t>Implemented enhancements and process improvements to the quarterly and annual prov</w:t>
      </w:r>
      <w:r>
        <w:rPr>
          <w:sz w:val="20"/>
        </w:rPr>
        <w:t>ision with respect to uncertain tax positions and state income taxes;</w:t>
      </w:r>
      <w:r>
        <w:rPr>
          <w:spacing w:val="-5"/>
          <w:sz w:val="20"/>
        </w:rPr>
        <w:t xml:space="preserve"> </w:t>
      </w:r>
      <w:r>
        <w:rPr>
          <w:sz w:val="20"/>
        </w:rPr>
        <w:t>and</w:t>
      </w:r>
    </w:p>
    <w:p w14:paraId="7326BA79" w14:textId="77777777" w:rsidR="00EF3DFB" w:rsidRDefault="00D27C17">
      <w:pPr>
        <w:pStyle w:val="ListParagraph"/>
        <w:numPr>
          <w:ilvl w:val="1"/>
          <w:numId w:val="30"/>
        </w:numPr>
        <w:tabs>
          <w:tab w:val="left" w:pos="909"/>
          <w:tab w:val="left" w:pos="910"/>
        </w:tabs>
        <w:spacing w:before="2" w:line="249" w:lineRule="auto"/>
        <w:ind w:right="168"/>
        <w:rPr>
          <w:sz w:val="20"/>
        </w:rPr>
      </w:pPr>
      <w:r>
        <w:rPr>
          <w:sz w:val="20"/>
        </w:rPr>
        <w:t>Undertook extensive training for key personnel in each reporting jurisdiction on tax reporting requirements and our redesigned</w:t>
      </w:r>
      <w:r>
        <w:rPr>
          <w:spacing w:val="-1"/>
          <w:sz w:val="20"/>
        </w:rPr>
        <w:t xml:space="preserve"> </w:t>
      </w:r>
      <w:r>
        <w:rPr>
          <w:sz w:val="20"/>
        </w:rPr>
        <w:t>processes.</w:t>
      </w:r>
    </w:p>
    <w:p w14:paraId="7326BA7A" w14:textId="77777777" w:rsidR="00EF3DFB" w:rsidRDefault="00EF3DFB">
      <w:pPr>
        <w:pStyle w:val="BodyText"/>
        <w:rPr>
          <w:sz w:val="21"/>
        </w:rPr>
      </w:pPr>
    </w:p>
    <w:p w14:paraId="7326BA7B" w14:textId="77777777" w:rsidR="00EF3DFB" w:rsidRDefault="00D27C17">
      <w:pPr>
        <w:pStyle w:val="BodyText"/>
        <w:spacing w:line="249" w:lineRule="auto"/>
        <w:ind w:left="190" w:right="168"/>
        <w:jc w:val="both"/>
      </w:pPr>
      <w:r>
        <w:t>In addition, as summarized below, management is in the process of developing a full remediation plan for and has begu</w:t>
      </w:r>
      <w:r>
        <w:t>n enhancing certain controls to include refinements and improvements to the controls with respect to the deficiencies related to the accuracy of accounting for non-recurring tax planning transactions:</w:t>
      </w:r>
    </w:p>
    <w:p w14:paraId="7326BA7C" w14:textId="77777777" w:rsidR="00EF3DFB" w:rsidRDefault="00EF3DFB">
      <w:pPr>
        <w:pStyle w:val="BodyText"/>
        <w:spacing w:before="1"/>
        <w:rPr>
          <w:sz w:val="21"/>
        </w:rPr>
      </w:pPr>
    </w:p>
    <w:p w14:paraId="7326BA7D" w14:textId="77777777" w:rsidR="00EF3DFB" w:rsidRDefault="00D27C17">
      <w:pPr>
        <w:pStyle w:val="ListParagraph"/>
        <w:numPr>
          <w:ilvl w:val="1"/>
          <w:numId w:val="30"/>
        </w:numPr>
        <w:tabs>
          <w:tab w:val="left" w:pos="909"/>
          <w:tab w:val="left" w:pos="910"/>
        </w:tabs>
        <w:rPr>
          <w:sz w:val="20"/>
        </w:rPr>
      </w:pPr>
      <w:r>
        <w:rPr>
          <w:sz w:val="20"/>
        </w:rPr>
        <w:t>Enhancing the precision of the control over the calcul</w:t>
      </w:r>
      <w:r>
        <w:rPr>
          <w:sz w:val="20"/>
        </w:rPr>
        <w:t>ation and analysis of non-recurring tax planning</w:t>
      </w:r>
      <w:r>
        <w:rPr>
          <w:spacing w:val="-25"/>
          <w:sz w:val="20"/>
        </w:rPr>
        <w:t xml:space="preserve"> </w:t>
      </w:r>
      <w:r>
        <w:rPr>
          <w:sz w:val="20"/>
        </w:rPr>
        <w:t>transactions.</w:t>
      </w:r>
    </w:p>
    <w:p w14:paraId="7326BA7E" w14:textId="77777777" w:rsidR="00EF3DFB" w:rsidRDefault="00EF3DFB">
      <w:pPr>
        <w:pStyle w:val="BodyText"/>
        <w:spacing w:before="9"/>
        <w:rPr>
          <w:sz w:val="21"/>
        </w:rPr>
      </w:pPr>
    </w:p>
    <w:p w14:paraId="7326BA7F" w14:textId="77777777" w:rsidR="00EF3DFB" w:rsidRDefault="00D27C17">
      <w:pPr>
        <w:pStyle w:val="BodyText"/>
        <w:spacing w:line="249" w:lineRule="auto"/>
        <w:ind w:left="190" w:right="169"/>
        <w:jc w:val="both"/>
      </w:pPr>
      <w:r>
        <w:t>While management believes that the measures already designed and implemented in both the state tax and uncertain tax positions processes are effective, the material weakness, in the aggregate,</w:t>
      </w:r>
      <w:r>
        <w:t xml:space="preserve"> will not be considered fully remediated until all aspects of the controls operate for a sufficient period of time and management has concluded, through testing, that these controls are operating effectively. The Company will monitor the effectiveness of i</w:t>
      </w:r>
      <w:r>
        <w:t>ts remediation plan and will refine its remediation plan as appropriate.</w:t>
      </w:r>
    </w:p>
    <w:p w14:paraId="7326BA80" w14:textId="77777777" w:rsidR="00EF3DFB" w:rsidRDefault="00EF3DFB">
      <w:pPr>
        <w:pStyle w:val="BodyText"/>
        <w:spacing w:before="1"/>
        <w:rPr>
          <w:sz w:val="21"/>
        </w:rPr>
      </w:pPr>
    </w:p>
    <w:p w14:paraId="7326BA81" w14:textId="77777777" w:rsidR="00EF3DFB" w:rsidRDefault="00D27C17">
      <w:pPr>
        <w:pStyle w:val="BodyText"/>
        <w:spacing w:before="1" w:line="249" w:lineRule="auto"/>
        <w:ind w:left="190" w:right="168"/>
        <w:jc w:val="both"/>
      </w:pPr>
      <w:r>
        <w:t>Any failure to remediate the material weakness, or the identification of new material weaknesses in our internal control over financial reporting, could result in material misstateme</w:t>
      </w:r>
      <w:r>
        <w:t xml:space="preserve">nts in our financial statements that may continue undetected, negatively impact the public perception of the Company and our securities and cause us to fail to meet our reporting and financial obligations or incur significant additional costs to remediate </w:t>
      </w:r>
      <w:r>
        <w:t>the material weakness, each of which could harm our ability to raise capital on favorable terms in the future or otherwise have a negative impact on our financial</w:t>
      </w:r>
      <w:r>
        <w:rPr>
          <w:spacing w:val="-16"/>
        </w:rPr>
        <w:t xml:space="preserve"> </w:t>
      </w:r>
      <w:r>
        <w:t>condition.</w:t>
      </w:r>
    </w:p>
    <w:p w14:paraId="7326BA82" w14:textId="77777777" w:rsidR="00EF3DFB" w:rsidRDefault="00EF3DFB">
      <w:pPr>
        <w:pStyle w:val="BodyText"/>
        <w:spacing w:before="10"/>
      </w:pPr>
    </w:p>
    <w:p w14:paraId="7326BA83" w14:textId="77777777" w:rsidR="00EF3DFB" w:rsidRDefault="00D27C17">
      <w:pPr>
        <w:pStyle w:val="Heading2"/>
        <w:spacing w:before="1" w:line="249" w:lineRule="auto"/>
        <w:ind w:right="168"/>
      </w:pPr>
      <w:r>
        <w:t>Continued declines in the future expected cash flows for the Company’s businesses</w:t>
      </w:r>
      <w:r>
        <w:t xml:space="preserve"> or changes to underlying assumptions used to calculate fair value could result in additional impairment charges which could have a material adverse effect on the Company’s financial results of operations.</w:t>
      </w:r>
    </w:p>
    <w:p w14:paraId="7326BA84" w14:textId="77777777" w:rsidR="00EF3DFB" w:rsidRDefault="00EF3DFB">
      <w:pPr>
        <w:pStyle w:val="BodyText"/>
        <w:spacing w:before="4"/>
        <w:rPr>
          <w:b/>
          <w:sz w:val="21"/>
        </w:rPr>
      </w:pPr>
    </w:p>
    <w:p w14:paraId="7326BA85" w14:textId="77777777" w:rsidR="00EF3DFB" w:rsidRDefault="00D27C17">
      <w:pPr>
        <w:pStyle w:val="BodyText"/>
        <w:spacing w:line="249" w:lineRule="auto"/>
        <w:ind w:left="190" w:right="168"/>
        <w:jc w:val="both"/>
      </w:pPr>
      <w:r>
        <w:t>The Company is required under U.S. GAAP to review</w:t>
      </w:r>
      <w:r>
        <w:t xml:space="preserve"> its amortizable intangible assets for impairment when events or changes in circumstances indicate the carrying value may not be recoverable, and are also required to conduct impairment tests on goodwill and other indefinite-lived intangible assets annuall</w:t>
      </w:r>
      <w:r>
        <w:t>y or more frequently, if circumstances indicate that the carrying value may not be recoverable or that an other-than-temporary impairment exists.</w:t>
      </w:r>
    </w:p>
    <w:p w14:paraId="7326BA86" w14:textId="77777777" w:rsidR="00EF3DFB" w:rsidRDefault="00EF3DFB">
      <w:pPr>
        <w:pStyle w:val="BodyText"/>
        <w:spacing w:before="1"/>
        <w:rPr>
          <w:sz w:val="21"/>
        </w:rPr>
      </w:pPr>
    </w:p>
    <w:p w14:paraId="7326BA87" w14:textId="77777777" w:rsidR="00EF3DFB" w:rsidRDefault="00D27C17">
      <w:pPr>
        <w:pStyle w:val="BodyText"/>
        <w:spacing w:before="1" w:line="249" w:lineRule="auto"/>
        <w:ind w:left="190" w:right="169"/>
        <w:jc w:val="both"/>
      </w:pPr>
      <w:r>
        <w:t>During the years ended December 31, 2020, 2019 and 2018, the Company recorded non-cash impairment charges related to goodwill</w:t>
      </w:r>
      <w:r>
        <w:rPr>
          <w:spacing w:val="20"/>
        </w:rPr>
        <w:t xml:space="preserve"> </w:t>
      </w:r>
      <w:r>
        <w:t>and</w:t>
      </w:r>
      <w:r>
        <w:rPr>
          <w:spacing w:val="20"/>
        </w:rPr>
        <w:t xml:space="preserve"> </w:t>
      </w:r>
      <w:r>
        <w:t>indefinite</w:t>
      </w:r>
      <w:r>
        <w:rPr>
          <w:spacing w:val="20"/>
        </w:rPr>
        <w:t xml:space="preserve"> </w:t>
      </w:r>
      <w:r>
        <w:t>lived</w:t>
      </w:r>
      <w:r>
        <w:rPr>
          <w:spacing w:val="20"/>
        </w:rPr>
        <w:t xml:space="preserve"> </w:t>
      </w:r>
      <w:r>
        <w:t>intangibles</w:t>
      </w:r>
      <w:r>
        <w:rPr>
          <w:spacing w:val="20"/>
        </w:rPr>
        <w:t xml:space="preserve"> </w:t>
      </w:r>
      <w:r>
        <w:t>of</w:t>
      </w:r>
      <w:r>
        <w:rPr>
          <w:spacing w:val="20"/>
        </w:rPr>
        <w:t xml:space="preserve"> </w:t>
      </w:r>
      <w:r>
        <w:t>$1.5</w:t>
      </w:r>
      <w:r>
        <w:rPr>
          <w:spacing w:val="20"/>
        </w:rPr>
        <w:t xml:space="preserve"> </w:t>
      </w:r>
      <w:r>
        <w:t>billion,</w:t>
      </w:r>
      <w:r>
        <w:rPr>
          <w:spacing w:val="20"/>
        </w:rPr>
        <w:t xml:space="preserve"> </w:t>
      </w:r>
      <w:r>
        <w:t>$1.2</w:t>
      </w:r>
      <w:r>
        <w:rPr>
          <w:spacing w:val="20"/>
        </w:rPr>
        <w:t xml:space="preserve"> </w:t>
      </w:r>
      <w:r>
        <w:t>billion</w:t>
      </w:r>
      <w:r>
        <w:rPr>
          <w:spacing w:val="20"/>
        </w:rPr>
        <w:t xml:space="preserve"> </w:t>
      </w:r>
      <w:r>
        <w:t>and</w:t>
      </w:r>
      <w:r>
        <w:rPr>
          <w:spacing w:val="20"/>
        </w:rPr>
        <w:t xml:space="preserve"> </w:t>
      </w:r>
      <w:r>
        <w:t>$8.3</w:t>
      </w:r>
      <w:r>
        <w:rPr>
          <w:spacing w:val="20"/>
        </w:rPr>
        <w:t xml:space="preserve"> </w:t>
      </w:r>
      <w:r>
        <w:t>billion,</w:t>
      </w:r>
      <w:r>
        <w:rPr>
          <w:spacing w:val="20"/>
        </w:rPr>
        <w:t xml:space="preserve"> </w:t>
      </w:r>
      <w:r>
        <w:t>respectively,</w:t>
      </w:r>
      <w:r>
        <w:rPr>
          <w:spacing w:val="20"/>
        </w:rPr>
        <w:t xml:space="preserve"> </w:t>
      </w:r>
      <w:r>
        <w:t>in</w:t>
      </w:r>
      <w:r>
        <w:rPr>
          <w:spacing w:val="20"/>
        </w:rPr>
        <w:t xml:space="preserve"> </w:t>
      </w:r>
      <w:r>
        <w:t>continuing</w:t>
      </w:r>
      <w:r>
        <w:rPr>
          <w:spacing w:val="20"/>
        </w:rPr>
        <w:t xml:space="preserve"> </w:t>
      </w:r>
      <w:r>
        <w:t>operations</w:t>
      </w:r>
      <w:r>
        <w:rPr>
          <w:spacing w:val="20"/>
        </w:rPr>
        <w:t xml:space="preserve"> </w:t>
      </w:r>
      <w:r>
        <w:t>and</w:t>
      </w:r>
    </w:p>
    <w:p w14:paraId="7326BA88" w14:textId="77777777" w:rsidR="00EF3DFB" w:rsidRDefault="00D27C17">
      <w:pPr>
        <w:pStyle w:val="BodyText"/>
        <w:spacing w:before="1" w:line="249" w:lineRule="auto"/>
        <w:ind w:left="190" w:right="168"/>
        <w:jc w:val="both"/>
      </w:pPr>
      <w:r>
        <w:t>$112 million and $1.5 billion, in discontinued operations in 2019 and 2018, respectively. Future events or factors may occur that would adversely affect the fair value of the Company’s assets and require impairment charges. Such events or factors may inclu</w:t>
      </w:r>
      <w:r>
        <w:t>de, but are not limited to, divestitures of certain businesses or product lines, strategic decisions made in response to changes in economic and competitive conditions, the impact of the economic environment on the Company’s sales and customer base, a mate</w:t>
      </w:r>
      <w:r>
        <w:t xml:space="preserve">rial adverse change in the Company’s relationship with significant customers or business partners, or a sustained decline in the Company’s stock price. In the event any such impairment indicators become known or are present, the Company may be required to </w:t>
      </w:r>
      <w:r>
        <w:t>perform impairment tests based on changes in the economic environment and other factors, and these tests could result in impairment charges in the future. Given the Company’s recent history of impairment charges, there is minimal difference between the est</w:t>
      </w:r>
      <w:r>
        <w:t xml:space="preserve">imated fair values and the carrying values of some of its intangible assets, increasing the possibility of future impairment charges. See </w:t>
      </w:r>
      <w:r>
        <w:rPr>
          <w:i/>
        </w:rPr>
        <w:t xml:space="preserve">Critical Accounting Estimates </w:t>
      </w:r>
      <w:r>
        <w:t xml:space="preserve">in </w:t>
      </w:r>
      <w:r>
        <w:rPr>
          <w:i/>
        </w:rPr>
        <w:t>Item 7 and Footnotes 1 and 7 of Notes to Consolidated Financial</w:t>
      </w:r>
      <w:r>
        <w:rPr>
          <w:i/>
          <w:spacing w:val="-36"/>
        </w:rPr>
        <w:t xml:space="preserve"> </w:t>
      </w:r>
      <w:r>
        <w:rPr>
          <w:i/>
        </w:rPr>
        <w:t>Statements</w:t>
      </w:r>
      <w:r>
        <w:t>.</w:t>
      </w:r>
    </w:p>
    <w:p w14:paraId="7326BA89" w14:textId="77777777" w:rsidR="00EF3DFB" w:rsidRDefault="00EF3DFB">
      <w:pPr>
        <w:spacing w:line="249" w:lineRule="auto"/>
        <w:jc w:val="both"/>
        <w:sectPr w:rsidR="00EF3DFB">
          <w:pgSz w:w="12240" w:h="15840"/>
          <w:pgMar w:top="600" w:right="640" w:bottom="480" w:left="620" w:header="0" w:footer="291" w:gutter="0"/>
          <w:cols w:space="720"/>
        </w:sectPr>
      </w:pPr>
    </w:p>
    <w:p w14:paraId="7326BA8A" w14:textId="77777777" w:rsidR="00EF3DFB" w:rsidRDefault="00D27C17">
      <w:pPr>
        <w:pStyle w:val="Heading2"/>
        <w:spacing w:before="68" w:line="249" w:lineRule="auto"/>
        <w:ind w:right="167"/>
      </w:pPr>
      <w:r>
        <w:lastRenderedPageBreak/>
        <w:t>The Company is exposed to both foreign currency translation and transaction risks that may materially adversely affect the Company’s operating results, financial condition and liquidity.</w:t>
      </w:r>
    </w:p>
    <w:p w14:paraId="7326BA8B" w14:textId="77777777" w:rsidR="00EF3DFB" w:rsidRDefault="00EF3DFB">
      <w:pPr>
        <w:pStyle w:val="BodyText"/>
        <w:spacing w:before="4"/>
        <w:rPr>
          <w:b/>
          <w:sz w:val="21"/>
        </w:rPr>
      </w:pPr>
    </w:p>
    <w:p w14:paraId="7326BA8C" w14:textId="77777777" w:rsidR="00EF3DFB" w:rsidRDefault="00D27C17">
      <w:pPr>
        <w:pStyle w:val="BodyText"/>
        <w:spacing w:line="249" w:lineRule="auto"/>
        <w:ind w:left="190" w:right="169"/>
        <w:jc w:val="both"/>
      </w:pPr>
      <w:r>
        <w:t>The reporting currency for the Company’s financial st</w:t>
      </w:r>
      <w:r>
        <w:t>atements is the U.S. dollar and it has substantial assets, liabilities, revenues and costs denominated in currencies other than U.S. dollars. The preparation of the Company’s Consolidated Financial Statements requires translation of those assets, liabiliti</w:t>
      </w:r>
      <w:r>
        <w:t>es, revenues and expenses into U.S. dollars at then-applicable exchange rates. Consequently, increases and decreases in the value of the U.S. dollar versus other currencies will affect the amount of these items in the Company’s Consolidated Financial State</w:t>
      </w:r>
      <w:r>
        <w:t>ments, even if their value has not changed in their original currency. These translations could result in significant changes to the Company’s results of operations from period to period. Although the Company may employ, at times, a variety of techniques t</w:t>
      </w:r>
      <w:r>
        <w:t>o mitigate the impact of exchange rate fluctuations, including foreign currency hedging activities, it cannot guarantee that such risk management strategies will be effective, and its financial condition or results of operations could be adversely</w:t>
      </w:r>
      <w:r>
        <w:rPr>
          <w:spacing w:val="-3"/>
        </w:rPr>
        <w:t xml:space="preserve"> </w:t>
      </w:r>
      <w:r>
        <w:t>impacted</w:t>
      </w:r>
      <w:r>
        <w:t>.</w:t>
      </w:r>
    </w:p>
    <w:p w14:paraId="7326BA8D" w14:textId="77777777" w:rsidR="00EF3DFB" w:rsidRDefault="00EF3DFB">
      <w:pPr>
        <w:pStyle w:val="BodyText"/>
        <w:spacing w:before="5"/>
        <w:rPr>
          <w:sz w:val="21"/>
        </w:rPr>
      </w:pPr>
    </w:p>
    <w:p w14:paraId="7326BA8E" w14:textId="77777777" w:rsidR="00EF3DFB" w:rsidRDefault="00D27C17">
      <w:pPr>
        <w:pStyle w:val="BodyText"/>
        <w:spacing w:before="1" w:line="249" w:lineRule="auto"/>
        <w:ind w:left="190" w:right="169"/>
        <w:jc w:val="both"/>
      </w:pPr>
      <w:r>
        <w:t>In addition, foreign currency transaction risk arises when the Company and its subsidiaries enter into transactions where the settlement occurs in a currency other than its functional currency. Exchange differences (gains and losses) arising on the sett</w:t>
      </w:r>
      <w:r>
        <w:t>lement of monetary items or on translation of monetary items at rates different from those at which they were translated on initial recognition during the period or in previous financial statements are recognized in the Consolidated Statement of Operations</w:t>
      </w:r>
      <w:r>
        <w:t xml:space="preserve"> in the period in which they arise. Although the Company may employ, at times, a variety of techniques to mitigate the impact of foreign currency transaction risk, including the hedging of forecasted cash inflows and outflows, it cannot guarantee that such</w:t>
      </w:r>
      <w:r>
        <w:t xml:space="preserve"> risk management strategies will be effective, and its financial condition or results of operations could be adversely impacted.</w:t>
      </w:r>
    </w:p>
    <w:p w14:paraId="7326BA8F" w14:textId="77777777" w:rsidR="00EF3DFB" w:rsidRDefault="00EF3DFB">
      <w:pPr>
        <w:pStyle w:val="BodyText"/>
        <w:spacing w:before="4"/>
        <w:rPr>
          <w:sz w:val="21"/>
        </w:rPr>
      </w:pPr>
    </w:p>
    <w:p w14:paraId="7326BA90" w14:textId="77777777" w:rsidR="00EF3DFB" w:rsidRDefault="00D27C17">
      <w:pPr>
        <w:spacing w:line="249" w:lineRule="auto"/>
        <w:ind w:left="190" w:right="169"/>
        <w:jc w:val="both"/>
        <w:rPr>
          <w:sz w:val="20"/>
        </w:rPr>
      </w:pPr>
      <w:r>
        <w:rPr>
          <w:sz w:val="20"/>
        </w:rPr>
        <w:t xml:space="preserve">See </w:t>
      </w:r>
      <w:r>
        <w:rPr>
          <w:i/>
          <w:sz w:val="20"/>
        </w:rPr>
        <w:t>Management’s Discussion and Analysis of Financial Condition and Results of Operations and Footnote 10 of the Notes to Cons</w:t>
      </w:r>
      <w:r>
        <w:rPr>
          <w:i/>
          <w:sz w:val="20"/>
        </w:rPr>
        <w:t xml:space="preserve">olidated Financial Statements </w:t>
      </w:r>
      <w:r>
        <w:rPr>
          <w:sz w:val="20"/>
        </w:rPr>
        <w:t>for further information.</w:t>
      </w:r>
    </w:p>
    <w:p w14:paraId="7326BA91" w14:textId="77777777" w:rsidR="00EF3DFB" w:rsidRDefault="00EF3DFB">
      <w:pPr>
        <w:pStyle w:val="BodyText"/>
        <w:spacing w:before="8"/>
      </w:pPr>
    </w:p>
    <w:p w14:paraId="7326BA92" w14:textId="77777777" w:rsidR="00EF3DFB" w:rsidRDefault="00D27C17">
      <w:pPr>
        <w:pStyle w:val="Heading2"/>
        <w:spacing w:line="249" w:lineRule="auto"/>
        <w:ind w:right="170"/>
      </w:pPr>
      <w:r>
        <w:t>Circumstances associated with divestitures and product line exits could adversely affect the Company’s results of operations and financial condition.</w:t>
      </w:r>
    </w:p>
    <w:p w14:paraId="7326BA93" w14:textId="77777777" w:rsidR="00EF3DFB" w:rsidRDefault="00EF3DFB">
      <w:pPr>
        <w:pStyle w:val="BodyText"/>
        <w:spacing w:before="4"/>
        <w:rPr>
          <w:b/>
          <w:sz w:val="21"/>
        </w:rPr>
      </w:pPr>
    </w:p>
    <w:p w14:paraId="7326BA94" w14:textId="77777777" w:rsidR="00EF3DFB" w:rsidRDefault="00D27C17">
      <w:pPr>
        <w:pStyle w:val="BodyText"/>
        <w:spacing w:line="249" w:lineRule="auto"/>
        <w:ind w:left="190" w:right="168"/>
        <w:jc w:val="both"/>
      </w:pPr>
      <w:r>
        <w:t>The Company may decide to sell or discontinue oth</w:t>
      </w:r>
      <w:r>
        <w:t>er businesses or products in the future based on an evaluation of performance and strategic fit. Divestitures or discontinuations of businesses or products may result in asset impairments, including those related to goodwill and other intangible assets, an</w:t>
      </w:r>
      <w:r>
        <w:t>d losses upon disposition, both of which could have an adverse effect on the Company’s results of operations and financial condition. In addition, the Company may encounter difficulty in finding buyers or executing alternative exit strategies at acceptable</w:t>
      </w:r>
      <w:r>
        <w:t xml:space="preserve"> prices and terms and in a timely manner, and prospective buyers may have difficulty obtaining</w:t>
      </w:r>
      <w:r>
        <w:rPr>
          <w:spacing w:val="-4"/>
        </w:rPr>
        <w:t xml:space="preserve"> </w:t>
      </w:r>
      <w:r>
        <w:t>financing.</w:t>
      </w:r>
      <w:r>
        <w:rPr>
          <w:spacing w:val="-4"/>
        </w:rPr>
        <w:t xml:space="preserve"> </w:t>
      </w:r>
      <w:r>
        <w:t>Past</w:t>
      </w:r>
      <w:r>
        <w:rPr>
          <w:spacing w:val="-5"/>
        </w:rPr>
        <w:t xml:space="preserve"> </w:t>
      </w:r>
      <w:r>
        <w:t>and</w:t>
      </w:r>
      <w:r>
        <w:rPr>
          <w:spacing w:val="-4"/>
        </w:rPr>
        <w:t xml:space="preserve"> </w:t>
      </w:r>
      <w:r>
        <w:t>future</w:t>
      </w:r>
      <w:r>
        <w:rPr>
          <w:spacing w:val="-5"/>
        </w:rPr>
        <w:t xml:space="preserve"> </w:t>
      </w:r>
      <w:r>
        <w:t>divestitures</w:t>
      </w:r>
      <w:r>
        <w:rPr>
          <w:spacing w:val="-5"/>
        </w:rPr>
        <w:t xml:space="preserve"> </w:t>
      </w:r>
      <w:r>
        <w:t>and</w:t>
      </w:r>
      <w:r>
        <w:rPr>
          <w:spacing w:val="-4"/>
        </w:rPr>
        <w:t xml:space="preserve"> </w:t>
      </w:r>
      <w:r>
        <w:t>business</w:t>
      </w:r>
      <w:r>
        <w:rPr>
          <w:spacing w:val="-5"/>
        </w:rPr>
        <w:t xml:space="preserve"> </w:t>
      </w:r>
      <w:r>
        <w:t>discontinuations</w:t>
      </w:r>
      <w:r>
        <w:rPr>
          <w:spacing w:val="-5"/>
        </w:rPr>
        <w:t xml:space="preserve"> </w:t>
      </w:r>
      <w:r>
        <w:t>also</w:t>
      </w:r>
      <w:r>
        <w:rPr>
          <w:spacing w:val="-4"/>
        </w:rPr>
        <w:t xml:space="preserve"> </w:t>
      </w:r>
      <w:r>
        <w:t>involve</w:t>
      </w:r>
      <w:r>
        <w:rPr>
          <w:spacing w:val="-5"/>
        </w:rPr>
        <w:t xml:space="preserve"> </w:t>
      </w:r>
      <w:r>
        <w:t>additional</w:t>
      </w:r>
      <w:r>
        <w:rPr>
          <w:spacing w:val="-5"/>
        </w:rPr>
        <w:t xml:space="preserve"> </w:t>
      </w:r>
      <w:r>
        <w:t>risks,</w:t>
      </w:r>
      <w:r>
        <w:rPr>
          <w:spacing w:val="-4"/>
        </w:rPr>
        <w:t xml:space="preserve"> </w:t>
      </w:r>
      <w:r>
        <w:t>including</w:t>
      </w:r>
      <w:r>
        <w:rPr>
          <w:spacing w:val="-4"/>
        </w:rPr>
        <w:t xml:space="preserve"> </w:t>
      </w:r>
      <w:r>
        <w:t>the</w:t>
      </w:r>
      <w:r>
        <w:rPr>
          <w:spacing w:val="-5"/>
        </w:rPr>
        <w:t xml:space="preserve"> </w:t>
      </w:r>
      <w:r>
        <w:t>following:</w:t>
      </w:r>
    </w:p>
    <w:p w14:paraId="7326BA95" w14:textId="77777777" w:rsidR="00EF3DFB" w:rsidRDefault="00EF3DFB">
      <w:pPr>
        <w:pStyle w:val="BodyText"/>
        <w:spacing w:before="3"/>
        <w:rPr>
          <w:sz w:val="21"/>
        </w:rPr>
      </w:pPr>
    </w:p>
    <w:p w14:paraId="7326BA96" w14:textId="77777777" w:rsidR="00EF3DFB" w:rsidRDefault="00D27C17">
      <w:pPr>
        <w:pStyle w:val="ListParagraph"/>
        <w:numPr>
          <w:ilvl w:val="1"/>
          <w:numId w:val="30"/>
        </w:numPr>
        <w:tabs>
          <w:tab w:val="left" w:pos="909"/>
          <w:tab w:val="left" w:pos="910"/>
        </w:tabs>
        <w:rPr>
          <w:sz w:val="20"/>
        </w:rPr>
      </w:pPr>
      <w:r>
        <w:rPr>
          <w:sz w:val="20"/>
        </w:rPr>
        <w:t>difficulties in the separation of operations, services, products and</w:t>
      </w:r>
      <w:r>
        <w:rPr>
          <w:spacing w:val="-7"/>
          <w:sz w:val="20"/>
        </w:rPr>
        <w:t xml:space="preserve"> </w:t>
      </w:r>
      <w:r>
        <w:rPr>
          <w:sz w:val="20"/>
        </w:rPr>
        <w:t>personnel;</w:t>
      </w:r>
    </w:p>
    <w:p w14:paraId="7326BA97" w14:textId="77777777" w:rsidR="00EF3DFB" w:rsidRDefault="00D27C17">
      <w:pPr>
        <w:pStyle w:val="ListParagraph"/>
        <w:numPr>
          <w:ilvl w:val="1"/>
          <w:numId w:val="30"/>
        </w:numPr>
        <w:tabs>
          <w:tab w:val="left" w:pos="909"/>
          <w:tab w:val="left" w:pos="910"/>
        </w:tabs>
        <w:spacing w:before="10"/>
        <w:rPr>
          <w:sz w:val="20"/>
        </w:rPr>
      </w:pPr>
      <w:r>
        <w:rPr>
          <w:sz w:val="20"/>
        </w:rPr>
        <w:t>the retention of certain current or future liabilities in order to induce a buyer to complete a</w:t>
      </w:r>
      <w:r>
        <w:rPr>
          <w:spacing w:val="-21"/>
          <w:sz w:val="20"/>
        </w:rPr>
        <w:t xml:space="preserve"> </w:t>
      </w:r>
      <w:r>
        <w:rPr>
          <w:sz w:val="20"/>
        </w:rPr>
        <w:t>divestiture;</w:t>
      </w:r>
    </w:p>
    <w:p w14:paraId="7326BA98" w14:textId="77777777" w:rsidR="00EF3DFB" w:rsidRDefault="00D27C17">
      <w:pPr>
        <w:pStyle w:val="ListParagraph"/>
        <w:numPr>
          <w:ilvl w:val="1"/>
          <w:numId w:val="30"/>
        </w:numPr>
        <w:tabs>
          <w:tab w:val="left" w:pos="909"/>
          <w:tab w:val="left" w:pos="910"/>
        </w:tabs>
        <w:spacing w:before="10"/>
        <w:rPr>
          <w:sz w:val="20"/>
        </w:rPr>
      </w:pPr>
      <w:r>
        <w:rPr>
          <w:sz w:val="20"/>
        </w:rPr>
        <w:t>the disruption of the Company’s</w:t>
      </w:r>
      <w:r>
        <w:rPr>
          <w:spacing w:val="-4"/>
          <w:sz w:val="20"/>
        </w:rPr>
        <w:t xml:space="preserve"> </w:t>
      </w:r>
      <w:r>
        <w:rPr>
          <w:sz w:val="20"/>
        </w:rPr>
        <w:t>business;</w:t>
      </w:r>
    </w:p>
    <w:p w14:paraId="7326BA99" w14:textId="77777777" w:rsidR="00EF3DFB" w:rsidRDefault="00D27C17">
      <w:pPr>
        <w:pStyle w:val="ListParagraph"/>
        <w:numPr>
          <w:ilvl w:val="1"/>
          <w:numId w:val="30"/>
        </w:numPr>
        <w:tabs>
          <w:tab w:val="left" w:pos="909"/>
          <w:tab w:val="left" w:pos="910"/>
        </w:tabs>
        <w:spacing w:before="10"/>
        <w:rPr>
          <w:sz w:val="20"/>
        </w:rPr>
      </w:pPr>
      <w:r>
        <w:rPr>
          <w:sz w:val="20"/>
        </w:rPr>
        <w:t>the potential loss of key employees;</w:t>
      </w:r>
      <w:r>
        <w:rPr>
          <w:spacing w:val="-5"/>
          <w:sz w:val="20"/>
        </w:rPr>
        <w:t xml:space="preserve"> </w:t>
      </w:r>
      <w:r>
        <w:rPr>
          <w:sz w:val="20"/>
        </w:rPr>
        <w:t>and</w:t>
      </w:r>
    </w:p>
    <w:p w14:paraId="7326BA9A" w14:textId="77777777" w:rsidR="00EF3DFB" w:rsidRDefault="00D27C17">
      <w:pPr>
        <w:pStyle w:val="ListParagraph"/>
        <w:numPr>
          <w:ilvl w:val="1"/>
          <w:numId w:val="30"/>
        </w:numPr>
        <w:tabs>
          <w:tab w:val="left" w:pos="909"/>
          <w:tab w:val="left" w:pos="910"/>
        </w:tabs>
        <w:spacing w:before="10"/>
        <w:rPr>
          <w:sz w:val="20"/>
        </w:rPr>
      </w:pPr>
      <w:r>
        <w:rPr>
          <w:sz w:val="20"/>
        </w:rPr>
        <w:t>disputes or litigation with the</w:t>
      </w:r>
      <w:r>
        <w:rPr>
          <w:spacing w:val="-3"/>
          <w:sz w:val="20"/>
        </w:rPr>
        <w:t xml:space="preserve"> </w:t>
      </w:r>
      <w:r>
        <w:rPr>
          <w:sz w:val="20"/>
        </w:rPr>
        <w:t>buyers.</w:t>
      </w:r>
    </w:p>
    <w:p w14:paraId="7326BA9B" w14:textId="77777777" w:rsidR="00EF3DFB" w:rsidRDefault="00EF3DFB">
      <w:pPr>
        <w:pStyle w:val="BodyText"/>
        <w:spacing w:before="9"/>
        <w:rPr>
          <w:sz w:val="21"/>
        </w:rPr>
      </w:pPr>
    </w:p>
    <w:p w14:paraId="7326BA9C" w14:textId="77777777" w:rsidR="00EF3DFB" w:rsidRDefault="00D27C17">
      <w:pPr>
        <w:pStyle w:val="BodyText"/>
        <w:spacing w:line="249" w:lineRule="auto"/>
        <w:ind w:left="190" w:right="169"/>
        <w:jc w:val="both"/>
      </w:pPr>
      <w:r>
        <w:t>The Company may not be successful in managing these or any other significant risks that it may encounter in divesting or discontinuing a business or exiting product lines, wh</w:t>
      </w:r>
      <w:r>
        <w:t>ich could have a material adverse effect on its business.</w:t>
      </w:r>
    </w:p>
    <w:p w14:paraId="7326BA9D" w14:textId="77777777" w:rsidR="00EF3DFB" w:rsidRDefault="00EF3DFB">
      <w:pPr>
        <w:pStyle w:val="BodyText"/>
        <w:spacing w:before="8"/>
      </w:pPr>
    </w:p>
    <w:p w14:paraId="7326BA9E" w14:textId="77777777" w:rsidR="00EF3DFB" w:rsidRDefault="00D27C17">
      <w:pPr>
        <w:pStyle w:val="Heading2"/>
      </w:pPr>
      <w:r>
        <w:t>Legal, Tax and Regulatory Risks</w:t>
      </w:r>
    </w:p>
    <w:p w14:paraId="7326BA9F" w14:textId="77777777" w:rsidR="00EF3DFB" w:rsidRDefault="00EF3DFB">
      <w:pPr>
        <w:pStyle w:val="BodyText"/>
        <w:spacing w:before="9"/>
        <w:rPr>
          <w:b/>
          <w:sz w:val="21"/>
        </w:rPr>
      </w:pPr>
    </w:p>
    <w:p w14:paraId="7326BAA0" w14:textId="77777777" w:rsidR="00EF3DFB" w:rsidRDefault="00D27C17">
      <w:pPr>
        <w:spacing w:line="249" w:lineRule="auto"/>
        <w:ind w:left="190" w:right="169"/>
        <w:jc w:val="both"/>
        <w:rPr>
          <w:b/>
          <w:sz w:val="20"/>
        </w:rPr>
      </w:pPr>
      <w:r>
        <w:rPr>
          <w:b/>
          <w:sz w:val="20"/>
        </w:rPr>
        <w:t>Governmental investigations or actions by other third parties could have a material adverse effect on management and the Company’s business operations.</w:t>
      </w:r>
    </w:p>
    <w:p w14:paraId="7326BAA1" w14:textId="77777777" w:rsidR="00EF3DFB" w:rsidRDefault="00EF3DFB">
      <w:pPr>
        <w:pStyle w:val="BodyText"/>
        <w:spacing w:before="3"/>
        <w:rPr>
          <w:b/>
          <w:sz w:val="21"/>
        </w:rPr>
      </w:pPr>
    </w:p>
    <w:p w14:paraId="7326BAA2" w14:textId="77777777" w:rsidR="00EF3DFB" w:rsidRDefault="00D27C17">
      <w:pPr>
        <w:pStyle w:val="BodyText"/>
        <w:ind w:left="190" w:right="168"/>
        <w:jc w:val="both"/>
      </w:pPr>
      <w:r>
        <w:t>The Company</w:t>
      </w:r>
      <w:r>
        <w:t xml:space="preserve"> is subject to various federal, state and foreign laws and regulations. In the ordinary course of business, the Company is also subject to formal and informal regulatory and governmental examinations, subpoenas, requests for documents, testimony or informa</w:t>
      </w:r>
      <w:r>
        <w:t>tion, inquiries, investigations, threatened legal actions and proceedings. The Company previously disclosed that it had received a subpoena and related informal document requests from the U.S. Securities and Exchange Commission (the “SEC”) primarily relati</w:t>
      </w:r>
      <w:r>
        <w:t xml:space="preserve">ng to its sales practices and certain accounting matters for the time period beginning from January 1, 2016. See </w:t>
      </w:r>
      <w:r>
        <w:rPr>
          <w:i/>
        </w:rPr>
        <w:t xml:space="preserve">Footnote 18 of the Notes to the Consolidated Financial Statements </w:t>
      </w:r>
      <w:r>
        <w:t>for further information. Responding to governmental investigations, voluntary</w:t>
      </w:r>
      <w:r>
        <w:t xml:space="preserve"> document requests, subpoenas or actions by regulatory bodies may be time-consuming, expensive and disruptive to the Company’s operations and could divert the attention of management and key personnel from the Company’s business operations.</w:t>
      </w:r>
    </w:p>
    <w:p w14:paraId="7326BAA3" w14:textId="77777777" w:rsidR="00EF3DFB" w:rsidRDefault="00EF3DFB">
      <w:pPr>
        <w:jc w:val="both"/>
        <w:sectPr w:rsidR="00EF3DFB">
          <w:pgSz w:w="12240" w:h="15840"/>
          <w:pgMar w:top="600" w:right="640" w:bottom="480" w:left="620" w:header="0" w:footer="291" w:gutter="0"/>
          <w:cols w:space="720"/>
        </w:sectPr>
      </w:pPr>
    </w:p>
    <w:p w14:paraId="7326BAA4" w14:textId="77777777" w:rsidR="00EF3DFB" w:rsidRDefault="00D27C17">
      <w:pPr>
        <w:pStyle w:val="Heading2"/>
        <w:spacing w:before="68"/>
      </w:pPr>
      <w:r>
        <w:lastRenderedPageBreak/>
        <w:t>T</w:t>
      </w:r>
      <w:r>
        <w:t>he Company’s businesses and operations are subject to regulation in the U.S. and abroad.</w:t>
      </w:r>
    </w:p>
    <w:p w14:paraId="7326BAA5" w14:textId="77777777" w:rsidR="00EF3DFB" w:rsidRDefault="00EF3DFB">
      <w:pPr>
        <w:pStyle w:val="BodyText"/>
        <w:rPr>
          <w:b/>
          <w:sz w:val="22"/>
        </w:rPr>
      </w:pPr>
    </w:p>
    <w:p w14:paraId="7326BAA6" w14:textId="77777777" w:rsidR="00EF3DFB" w:rsidRDefault="00D27C17">
      <w:pPr>
        <w:pStyle w:val="BodyText"/>
        <w:spacing w:before="1" w:line="249" w:lineRule="auto"/>
        <w:ind w:left="190" w:right="168"/>
        <w:jc w:val="both"/>
      </w:pPr>
      <w:r>
        <w:t>Changes in laws, regulations and related interpretations may alter the environment in which the Company does business. This includes changes in environmental, data privacy, competitive and product-related laws, as well as changes in accounting standards, t</w:t>
      </w:r>
      <w:r>
        <w:t>axation and other regulations. Accordingly, the Company’s ability to manage regulatory, tax and legal matters (including environmental, human resource, product liability, patent and other intellectual property matters), and to resolve pending legal and env</w:t>
      </w:r>
      <w:r>
        <w:t>ironmental matters without significant liability could require the Company to record significant reserves in excess of amounts accrued to date or pay significant fines during a reporting period, which could materially impact the Company’s results. In addit</w:t>
      </w:r>
      <w:r>
        <w:t xml:space="preserve">ion, new regulations may be enacted in the U.S. or abroad that may require the Company to incur additional personnel-related, environmental or other costs on an ongoing basis, significantly restrict the Company’s ability to sell certain products, or incur </w:t>
      </w:r>
      <w:r>
        <w:t>fines or penalties for noncompliance, any of which could adversely affect the Company’s results of operations.</w:t>
      </w:r>
    </w:p>
    <w:p w14:paraId="7326BAA7" w14:textId="77777777" w:rsidR="00EF3DFB" w:rsidRDefault="00EF3DFB">
      <w:pPr>
        <w:pStyle w:val="BodyText"/>
        <w:spacing w:before="5"/>
        <w:rPr>
          <w:sz w:val="21"/>
        </w:rPr>
      </w:pPr>
    </w:p>
    <w:p w14:paraId="7326BAA8" w14:textId="77777777" w:rsidR="00EF3DFB" w:rsidRDefault="00D27C17">
      <w:pPr>
        <w:pStyle w:val="BodyText"/>
        <w:spacing w:before="1" w:line="249" w:lineRule="auto"/>
        <w:ind w:left="190" w:right="169"/>
        <w:jc w:val="both"/>
      </w:pPr>
      <w:r>
        <w:t>As a U.S.-based multinational company, the Company is also subject to tax regulations in the U.S. and multiple foreign jurisdictions, some of wh</w:t>
      </w:r>
      <w:r>
        <w:t>ich are interdependent. For example, certain income that is earned and taxed in countries outside the U.S. may not be taxed in the U.S. until those earnings are actually repatriated or deemed repatriated. If these or other tax regulations should change, th</w:t>
      </w:r>
      <w:r>
        <w:t>e Company’s financial results could be</w:t>
      </w:r>
      <w:r>
        <w:rPr>
          <w:spacing w:val="-7"/>
        </w:rPr>
        <w:t xml:space="preserve"> </w:t>
      </w:r>
      <w:r>
        <w:t>impacted.</w:t>
      </w:r>
    </w:p>
    <w:p w14:paraId="7326BAA9" w14:textId="77777777" w:rsidR="00EF3DFB" w:rsidRDefault="00EF3DFB">
      <w:pPr>
        <w:pStyle w:val="BodyText"/>
        <w:spacing w:before="1"/>
        <w:rPr>
          <w:sz w:val="21"/>
        </w:rPr>
      </w:pPr>
    </w:p>
    <w:p w14:paraId="7326BAAA" w14:textId="77777777" w:rsidR="00EF3DFB" w:rsidRDefault="00D27C17">
      <w:pPr>
        <w:pStyle w:val="BodyText"/>
        <w:spacing w:line="249" w:lineRule="auto"/>
        <w:ind w:left="190" w:right="167"/>
        <w:jc w:val="both"/>
      </w:pPr>
      <w:r>
        <w:t xml:space="preserve">On June 18, 2019, the U.S. Treasury and the Internal Revenue Service (“IRS”) released temporary regulations under IRC Section 245A (“Section 245A”) as enacted by the 2017 U.S. Tax Reform Legislation (“2017 </w:t>
      </w:r>
      <w:r>
        <w:t>Tax Reform”) and IRC Section 954(c)(6) (the “Temporary Regulations”) to apply retroactively to the date the 2017 Tax Reform was enacted. On August 21, 2020, the U.S. Treasury and IRS released finalized versions of the Temporary Regulations (collectively wi</w:t>
      </w:r>
      <w:r>
        <w:t>th the Temporary Regulations, the “Regulations”). The Regulations seek to limit the 100% dividends received deduction permitted by Section 245A for certain dividends received from controlled foreign corporations and to limit the applicability of the look-t</w:t>
      </w:r>
      <w:r>
        <w:t>hrough exception to foreign personal holding company income for certain dividends received from controlled foreign corporations. Before the retroactive application of the Regulations, the Company benefited in 2018 from both the 100% dividends received dedu</w:t>
      </w:r>
      <w:r>
        <w:t>ction and the look- through exception to foreign personal holding company income. The Company analyzed the Regulations and concluded the relevant Regulations</w:t>
      </w:r>
      <w:r>
        <w:rPr>
          <w:spacing w:val="-3"/>
        </w:rPr>
        <w:t xml:space="preserve"> </w:t>
      </w:r>
      <w:r>
        <w:t>were</w:t>
      </w:r>
      <w:r>
        <w:rPr>
          <w:spacing w:val="-3"/>
        </w:rPr>
        <w:t xml:space="preserve"> </w:t>
      </w:r>
      <w:r>
        <w:t>not</w:t>
      </w:r>
      <w:r>
        <w:rPr>
          <w:spacing w:val="-3"/>
        </w:rPr>
        <w:t xml:space="preserve"> </w:t>
      </w:r>
      <w:r>
        <w:t>validly</w:t>
      </w:r>
      <w:r>
        <w:rPr>
          <w:spacing w:val="-3"/>
        </w:rPr>
        <w:t xml:space="preserve"> </w:t>
      </w:r>
      <w:r>
        <w:t>issued.</w:t>
      </w:r>
      <w:r>
        <w:rPr>
          <w:spacing w:val="-3"/>
        </w:rPr>
        <w:t xml:space="preserve"> </w:t>
      </w:r>
      <w:r>
        <w:t>Therefore,</w:t>
      </w:r>
      <w:r>
        <w:rPr>
          <w:spacing w:val="-3"/>
        </w:rPr>
        <w:t xml:space="preserve"> </w:t>
      </w:r>
      <w:r>
        <w:t>the</w:t>
      </w:r>
      <w:r>
        <w:rPr>
          <w:spacing w:val="-3"/>
        </w:rPr>
        <w:t xml:space="preserve"> </w:t>
      </w:r>
      <w:r>
        <w:t>Company</w:t>
      </w:r>
      <w:r>
        <w:rPr>
          <w:spacing w:val="-3"/>
        </w:rPr>
        <w:t xml:space="preserve"> </w:t>
      </w:r>
      <w:r>
        <w:t>has</w:t>
      </w:r>
      <w:r>
        <w:rPr>
          <w:spacing w:val="-3"/>
        </w:rPr>
        <w:t xml:space="preserve"> </w:t>
      </w:r>
      <w:r>
        <w:t>not</w:t>
      </w:r>
      <w:r>
        <w:rPr>
          <w:spacing w:val="-3"/>
        </w:rPr>
        <w:t xml:space="preserve"> </w:t>
      </w:r>
      <w:r>
        <w:t>accounted</w:t>
      </w:r>
      <w:r>
        <w:rPr>
          <w:spacing w:val="-3"/>
        </w:rPr>
        <w:t xml:space="preserve"> </w:t>
      </w:r>
      <w:r>
        <w:t>for</w:t>
      </w:r>
      <w:r>
        <w:rPr>
          <w:spacing w:val="-3"/>
        </w:rPr>
        <w:t xml:space="preserve"> </w:t>
      </w:r>
      <w:r>
        <w:t>the</w:t>
      </w:r>
      <w:r>
        <w:rPr>
          <w:spacing w:val="-3"/>
        </w:rPr>
        <w:t xml:space="preserve"> </w:t>
      </w:r>
      <w:r>
        <w:t>effects</w:t>
      </w:r>
      <w:r>
        <w:rPr>
          <w:spacing w:val="-3"/>
        </w:rPr>
        <w:t xml:space="preserve"> </w:t>
      </w:r>
      <w:r>
        <w:t>of</w:t>
      </w:r>
      <w:r>
        <w:rPr>
          <w:spacing w:val="-3"/>
        </w:rPr>
        <w:t xml:space="preserve"> </w:t>
      </w:r>
      <w:r>
        <w:t>the</w:t>
      </w:r>
      <w:r>
        <w:rPr>
          <w:spacing w:val="-3"/>
        </w:rPr>
        <w:t xml:space="preserve"> </w:t>
      </w:r>
      <w:r>
        <w:t>Regulatio</w:t>
      </w:r>
      <w:r>
        <w:t>ns</w:t>
      </w:r>
      <w:r>
        <w:rPr>
          <w:spacing w:val="-3"/>
        </w:rPr>
        <w:t xml:space="preserve"> </w:t>
      </w:r>
      <w:r>
        <w:t>in</w:t>
      </w:r>
      <w:r>
        <w:rPr>
          <w:spacing w:val="-3"/>
        </w:rPr>
        <w:t xml:space="preserve"> </w:t>
      </w:r>
      <w:r>
        <w:t>its</w:t>
      </w:r>
      <w:r>
        <w:rPr>
          <w:spacing w:val="-3"/>
        </w:rPr>
        <w:t xml:space="preserve"> </w:t>
      </w:r>
      <w:r>
        <w:t>Consolidated Financial Statements for the period ending December 31, 2020. If the Company’s position on the Regulations is not sustained, the Company would be required to recognize an income tax expense of approximately $180 million to $220 million related</w:t>
      </w:r>
      <w:r>
        <w:t xml:space="preserve"> to an income tax benefit from fiscal year 2018 that was recorded based on regulations in existence at the time. In addition, the Company may be required to pay any applicable interest and penalties. The Company believes it has strong arguments in favor of</w:t>
      </w:r>
      <w:r>
        <w:t xml:space="preserve"> its position and believes it has met the more likely than not recognition threshold that its position will be sustained. However, due to the inherent uncertainty involved in challenging the validity of regulations as well as a potential litigation process</w:t>
      </w:r>
      <w:r>
        <w:t>, there can be no assurances that the relevant Regulations will be invalidated or that a court of law will rule in favor of the</w:t>
      </w:r>
      <w:r>
        <w:rPr>
          <w:spacing w:val="-32"/>
        </w:rPr>
        <w:t xml:space="preserve"> </w:t>
      </w:r>
      <w:r>
        <w:t>Company.</w:t>
      </w:r>
    </w:p>
    <w:p w14:paraId="7326BAAB" w14:textId="77777777" w:rsidR="00EF3DFB" w:rsidRDefault="00EF3DFB">
      <w:pPr>
        <w:pStyle w:val="BodyText"/>
        <w:spacing w:before="9"/>
        <w:rPr>
          <w:sz w:val="21"/>
        </w:rPr>
      </w:pPr>
    </w:p>
    <w:p w14:paraId="7326BAAC" w14:textId="77777777" w:rsidR="00EF3DFB" w:rsidRDefault="00D27C17">
      <w:pPr>
        <w:pStyle w:val="Heading2"/>
        <w:spacing w:before="1" w:line="249" w:lineRule="auto"/>
        <w:ind w:right="170"/>
      </w:pPr>
      <w:r>
        <w:t>The resolution of the Company’s tax contingencies may result in additional tax liabilities, which could adversely impa</w:t>
      </w:r>
      <w:r>
        <w:t>ct the Company’s cash flows and results of operations.</w:t>
      </w:r>
    </w:p>
    <w:p w14:paraId="7326BAAD" w14:textId="77777777" w:rsidR="00EF3DFB" w:rsidRDefault="00EF3DFB">
      <w:pPr>
        <w:pStyle w:val="BodyText"/>
        <w:spacing w:before="3"/>
        <w:rPr>
          <w:b/>
          <w:sz w:val="21"/>
        </w:rPr>
      </w:pPr>
    </w:p>
    <w:p w14:paraId="7326BAAE" w14:textId="77777777" w:rsidR="00EF3DFB" w:rsidRDefault="00D27C17">
      <w:pPr>
        <w:pStyle w:val="BodyText"/>
        <w:spacing w:line="249" w:lineRule="auto"/>
        <w:ind w:left="190" w:right="168"/>
        <w:jc w:val="both"/>
      </w:pPr>
      <w:r>
        <w:t>The Company is subject to income tax in the U.S. and numerous jurisdictions internationally. Significant estimation and judgment are required in determining the Company’s worldwide provision for incom</w:t>
      </w:r>
      <w:r>
        <w:t>e taxes. In the ordinary course of the Company’s business, there are many transactions and calculations where the ultimate tax determination is uncertain. The Company is regularly under audit by various worldwide tax authorities. Although the Company belie</w:t>
      </w:r>
      <w:r>
        <w:t>ves its tax estimates are reasonable, the final outcome of tax audits and related litigation could be materially different than that reflected in its historical income tax provisions and accruals. There can be no assurance that the resolution of any audits</w:t>
      </w:r>
      <w:r>
        <w:t xml:space="preserve"> or litigation will not have an adverse effect on future operating results.</w:t>
      </w:r>
    </w:p>
    <w:p w14:paraId="7326BAAF" w14:textId="77777777" w:rsidR="00EF3DFB" w:rsidRDefault="00EF3DFB">
      <w:pPr>
        <w:spacing w:line="249" w:lineRule="auto"/>
        <w:jc w:val="both"/>
        <w:sectPr w:rsidR="00EF3DFB">
          <w:pgSz w:w="12240" w:h="15840"/>
          <w:pgMar w:top="600" w:right="640" w:bottom="480" w:left="620" w:header="0" w:footer="291" w:gutter="0"/>
          <w:cols w:space="720"/>
        </w:sectPr>
      </w:pPr>
    </w:p>
    <w:p w14:paraId="7326BAB0" w14:textId="77777777" w:rsidR="00EF3DFB" w:rsidRDefault="00D27C17">
      <w:pPr>
        <w:pStyle w:val="Heading2"/>
        <w:spacing w:before="68"/>
      </w:pPr>
      <w:r>
        <w:lastRenderedPageBreak/>
        <w:t>The Company may incur significant costs in order to comply with environmental remediation obligations.</w:t>
      </w:r>
    </w:p>
    <w:p w14:paraId="7326BAB1" w14:textId="77777777" w:rsidR="00EF3DFB" w:rsidRDefault="00EF3DFB">
      <w:pPr>
        <w:pStyle w:val="BodyText"/>
        <w:rPr>
          <w:b/>
          <w:sz w:val="22"/>
        </w:rPr>
      </w:pPr>
    </w:p>
    <w:p w14:paraId="7326BAB2" w14:textId="77777777" w:rsidR="00EF3DFB" w:rsidRDefault="00D27C17">
      <w:pPr>
        <w:pStyle w:val="BodyText"/>
        <w:spacing w:before="1" w:line="249" w:lineRule="auto"/>
        <w:ind w:left="190" w:right="167"/>
        <w:jc w:val="both"/>
      </w:pPr>
      <w:r>
        <w:t xml:space="preserve">In addition to operational standards, environmental laws also </w:t>
      </w:r>
      <w:r>
        <w:t>impose obligations on various entities to clean up contaminated properties or to pay for the cost of such remediation, often upon parties that did not actually cause the contamination. Accordingly, the Company may be liable, either contractually or by oper</w:t>
      </w:r>
      <w:r>
        <w:t>ation of law, for remediation costs even if the contaminated property is not presently owned or operated by the Company, is a landfill or other location where it has disposed of wastes, or if the contamination was caused by third parties during or prior to</w:t>
      </w:r>
      <w:r>
        <w:t xml:space="preserve"> the Company’s ownership or operation of the property. Given the nature of the past industrial operations conducted by the Company and others at these properties, there can be no assurance that all potential instances of soil or groundwater contamination h</w:t>
      </w:r>
      <w:r>
        <w:t>ave been identified, even for those properties where an environmental site assessment has been conducted. The Company does not believe that any of the Company’s existing remediation obligations, including at third-party sites where it has been named a pote</w:t>
      </w:r>
      <w:r>
        <w:t>ntially responsible party, will have a material adverse effect upon its business, results of operations or financial condition. However, future events, such as changes in existing laws or policies or their enforcement, or the discovery of currently unknown</w:t>
      </w:r>
      <w:r>
        <w:t xml:space="preserve"> contamination, may give rise to additional remediation liabilities that may be material. See </w:t>
      </w:r>
      <w:r>
        <w:rPr>
          <w:i/>
        </w:rPr>
        <w:t xml:space="preserve">“Environmental Matters” </w:t>
      </w:r>
      <w:r>
        <w:t xml:space="preserve">in </w:t>
      </w:r>
      <w:r>
        <w:rPr>
          <w:i/>
        </w:rPr>
        <w:t xml:space="preserve">Footnote 18 of the Notes to Consolidated Financial Statements </w:t>
      </w:r>
      <w:r>
        <w:t>for a further discussion of these and other environmental-related</w:t>
      </w:r>
      <w:r>
        <w:rPr>
          <w:spacing w:val="-2"/>
        </w:rPr>
        <w:t xml:space="preserve"> </w:t>
      </w:r>
      <w:r>
        <w:t>matters</w:t>
      </w:r>
      <w:r>
        <w:t>.</w:t>
      </w:r>
    </w:p>
    <w:p w14:paraId="7326BAB3" w14:textId="77777777" w:rsidR="00EF3DFB" w:rsidRDefault="00EF3DFB">
      <w:pPr>
        <w:pStyle w:val="BodyText"/>
        <w:spacing w:before="5"/>
        <w:rPr>
          <w:sz w:val="21"/>
        </w:rPr>
      </w:pPr>
    </w:p>
    <w:p w14:paraId="7326BAB4" w14:textId="77777777" w:rsidR="00EF3DFB" w:rsidRDefault="00D27C17">
      <w:pPr>
        <w:pStyle w:val="Heading2"/>
        <w:spacing w:before="1" w:line="249" w:lineRule="auto"/>
        <w:ind w:right="170"/>
      </w:pPr>
      <w:r>
        <w:t>The Company’s business involves the potential for product recalls, product liability and other claims against it, which could affect its earnings and financial condition.</w:t>
      </w:r>
    </w:p>
    <w:p w14:paraId="7326BAB5" w14:textId="77777777" w:rsidR="00EF3DFB" w:rsidRDefault="00EF3DFB">
      <w:pPr>
        <w:pStyle w:val="BodyText"/>
        <w:spacing w:before="3"/>
        <w:rPr>
          <w:b/>
          <w:sz w:val="21"/>
        </w:rPr>
      </w:pPr>
    </w:p>
    <w:p w14:paraId="7326BAB6" w14:textId="77777777" w:rsidR="00EF3DFB" w:rsidRDefault="00D27C17">
      <w:pPr>
        <w:pStyle w:val="BodyText"/>
        <w:spacing w:line="249" w:lineRule="auto"/>
        <w:ind w:left="190" w:right="169"/>
        <w:jc w:val="both"/>
      </w:pPr>
      <w:r>
        <w:t>As a manufacturer and distributor of consumer products, the Company is subject to th</w:t>
      </w:r>
      <w:r>
        <w:t>e U.S. Consumer Products Safety Act of 1972, as amended by the Consumer Product Safety Improvement Act of 2008, which empowers the U.S. Consumer Products Safety Commission to exclude from the market products that are found to be unsafe or hazardous, and si</w:t>
      </w:r>
      <w:r>
        <w:t>milar laws under foreign jurisdictions. Under certain circumstances, the Consumer Products Safety Commission or a comparable foreign agency could require the Company to repurchase or recall one or more of its products. Additionally, other laws and agencies</w:t>
      </w:r>
      <w:r>
        <w:t>, such as the National Highway Traffic Safety Administration, regulate certain consumer products sold by the Company in the United States and abroad, and more restrictive laws and regulations may be adopted in the future. From time to time, the Company has</w:t>
      </w:r>
      <w:r>
        <w:t xml:space="preserve"> announced voluntary recalls of its products where it has identified potential product safety concerns. For example, in 2019 the Company announced a voluntary recall of the Contigo Gizmo product due to occurrences of the silicone spout detaching from the n</w:t>
      </w:r>
      <w:r>
        <w:t>ylon base, which resulted in significant product returns and other costs. Any repurchase or recall of the Company’s products could be costly and damaging to the Company’s reputation. When the Company is required to remove, or voluntarily removes, its produ</w:t>
      </w:r>
      <w:r>
        <w:t>cts from the market, the Company’s reputation could be tarnished and the Company might have large quantities of finished products that it could not sell. The Company also faces exposure to product liability claims in the event that one of its products is a</w:t>
      </w:r>
      <w:r>
        <w:t>lleged to have resulted in property damage, bodily injury or other adverse</w:t>
      </w:r>
      <w:r>
        <w:rPr>
          <w:spacing w:val="-3"/>
        </w:rPr>
        <w:t xml:space="preserve"> </w:t>
      </w:r>
      <w:r>
        <w:t>effects.</w:t>
      </w:r>
    </w:p>
    <w:p w14:paraId="7326BAB7" w14:textId="77777777" w:rsidR="00EF3DFB" w:rsidRDefault="00EF3DFB">
      <w:pPr>
        <w:pStyle w:val="BodyText"/>
        <w:spacing w:before="10"/>
        <w:rPr>
          <w:sz w:val="21"/>
        </w:rPr>
      </w:pPr>
    </w:p>
    <w:p w14:paraId="7326BAB8" w14:textId="77777777" w:rsidR="00EF3DFB" w:rsidRDefault="00D27C17">
      <w:pPr>
        <w:pStyle w:val="BodyText"/>
        <w:spacing w:line="249" w:lineRule="auto"/>
        <w:ind w:left="190" w:right="168"/>
        <w:jc w:val="both"/>
      </w:pPr>
      <w:r>
        <w:t>In addition to the risk of substantial monetary judgments or fines or penalties that may result from any governmental investigations, product liability claims or regulator</w:t>
      </w:r>
      <w:r>
        <w:t>y actions could result in negative publicity that could harm the Company’s reputation in the marketplace, adversely impact the value of its end-user brands, or result in an increase in the cost of producing the Company’s products. Similar to product liabil</w:t>
      </w:r>
      <w:r>
        <w:t>ity claims, the Company faces exposure to class action lawsuits related to the performance, safety or advertising of its products. Such class action suits could result in substantial monetary judgments, injunctions related to the sale of products and poten</w:t>
      </w:r>
      <w:r>
        <w:t>tially tarnish the Company’s</w:t>
      </w:r>
      <w:r>
        <w:rPr>
          <w:spacing w:val="-5"/>
        </w:rPr>
        <w:t xml:space="preserve"> </w:t>
      </w:r>
      <w:r>
        <w:t>reputation.</w:t>
      </w:r>
    </w:p>
    <w:p w14:paraId="7326BAB9" w14:textId="77777777" w:rsidR="00EF3DFB" w:rsidRDefault="00EF3DFB">
      <w:pPr>
        <w:pStyle w:val="BodyText"/>
        <w:spacing w:before="3"/>
        <w:rPr>
          <w:sz w:val="21"/>
        </w:rPr>
      </w:pPr>
    </w:p>
    <w:p w14:paraId="7326BABA" w14:textId="77777777" w:rsidR="00EF3DFB" w:rsidRDefault="00D27C17">
      <w:pPr>
        <w:pStyle w:val="BodyText"/>
        <w:spacing w:line="249" w:lineRule="auto"/>
        <w:ind w:left="190" w:right="168"/>
        <w:jc w:val="both"/>
      </w:pPr>
      <w:r>
        <w:t>Although the Company maintains product liability insurance in amounts that it believes are reasonable, that insurance is, in most cases, subject to large self-insured retentions for which the Company is responsible</w:t>
      </w:r>
      <w:r>
        <w:t>, and the Company cannot assure you that it will be able to maintain such insurance on acceptable terms, if at all, in the future or that product liability claims will not exceed the amount of insurance coverage. The Company does not maintain insurance aga</w:t>
      </w:r>
      <w:r>
        <w:t>inst many types of claims involving alleged defects in its products that do not involve personal injury or property damage. Additionally, the Company does not maintain product recall insurance and may not have insurance coverage for claims asserted in clas</w:t>
      </w:r>
      <w:r>
        <w:t>s action lawsuits. As a result, product recalls, product liability claims and other product-related claims could have a material adverse effect on the Company’s business, results of operations and financial condition. The Company spends substantial resourc</w:t>
      </w:r>
      <w:r>
        <w:t>es ensuring compliance with governmental and other applicable standards. However, compliance with these standards does not necessarily prevent individual or class action lawsuits, which can entail significant cost and risk. As a result, these types of clai</w:t>
      </w:r>
      <w:r>
        <w:t>ms could have a material adverse effect on the Company’s business, results of operations and financial condition.</w:t>
      </w:r>
    </w:p>
    <w:p w14:paraId="7326BABB" w14:textId="77777777" w:rsidR="00EF3DFB" w:rsidRDefault="00EF3DFB">
      <w:pPr>
        <w:pStyle w:val="BodyText"/>
        <w:spacing w:before="8"/>
        <w:rPr>
          <w:sz w:val="21"/>
        </w:rPr>
      </w:pPr>
    </w:p>
    <w:p w14:paraId="7326BABC" w14:textId="77777777" w:rsidR="00EF3DFB" w:rsidRDefault="00D27C17">
      <w:pPr>
        <w:pStyle w:val="BodyText"/>
        <w:spacing w:line="249" w:lineRule="auto"/>
        <w:ind w:left="190" w:right="168"/>
        <w:jc w:val="both"/>
      </w:pPr>
      <w:r>
        <w:t>The Company’s product liability insurance program is an occurrence-based program based on its current and historical claims experience and th</w:t>
      </w:r>
      <w:r>
        <w:t>e availability and cost of insurance. The Company currently either self-insures or administers a high retention insurance program for most product liability risks. Historically, product liability awards have rarely exceeded the Company’s individual per occ</w:t>
      </w:r>
      <w:r>
        <w:t>urrence self-insured retention. The Company cannot give assurance, however, that its future product liability experience will be consistent with its past experience or that claims and awards subject to self-insured retention will not be material.</w:t>
      </w:r>
    </w:p>
    <w:p w14:paraId="7326BABD" w14:textId="77777777" w:rsidR="00EF3DFB" w:rsidRDefault="00EF3DFB">
      <w:pPr>
        <w:spacing w:line="249" w:lineRule="auto"/>
        <w:jc w:val="both"/>
        <w:sectPr w:rsidR="00EF3DFB">
          <w:footerReference w:type="default" r:id="rId11"/>
          <w:pgSz w:w="12240" w:h="15840"/>
          <w:pgMar w:top="600" w:right="640" w:bottom="480" w:left="620" w:header="0" w:footer="291" w:gutter="0"/>
          <w:pgNumType w:start="20"/>
          <w:cols w:space="720"/>
        </w:sectPr>
      </w:pPr>
    </w:p>
    <w:p w14:paraId="7326BABE" w14:textId="77777777" w:rsidR="00EF3DFB" w:rsidRDefault="00D27C17">
      <w:pPr>
        <w:spacing w:before="72" w:line="249" w:lineRule="auto"/>
        <w:ind w:left="190" w:right="171"/>
        <w:jc w:val="both"/>
        <w:rPr>
          <w:sz w:val="20"/>
        </w:rPr>
      </w:pPr>
      <w:r>
        <w:rPr>
          <w:sz w:val="20"/>
        </w:rPr>
        <w:lastRenderedPageBreak/>
        <w:t xml:space="preserve">See </w:t>
      </w:r>
      <w:r>
        <w:rPr>
          <w:i/>
          <w:sz w:val="20"/>
        </w:rPr>
        <w:t xml:space="preserve">Footnote 18 of the Notes to the Consolidated Financial Statements </w:t>
      </w:r>
      <w:r>
        <w:rPr>
          <w:sz w:val="20"/>
        </w:rPr>
        <w:t>for a further discussion of these and other regulatory and litigation-related matters.</w:t>
      </w:r>
    </w:p>
    <w:p w14:paraId="7326BABF" w14:textId="77777777" w:rsidR="00EF3DFB" w:rsidRDefault="00EF3DFB">
      <w:pPr>
        <w:pStyle w:val="BodyText"/>
        <w:spacing w:before="8"/>
      </w:pPr>
    </w:p>
    <w:p w14:paraId="7326BAC0" w14:textId="77777777" w:rsidR="00EF3DFB" w:rsidRDefault="00D27C17">
      <w:pPr>
        <w:pStyle w:val="Heading2"/>
        <w:spacing w:line="249" w:lineRule="auto"/>
        <w:ind w:right="167"/>
      </w:pPr>
      <w:r>
        <w:t>If the Company fails to adequately protect its intellectual property rights, competitors may manufacture and market similar products, which could adversely affect the Company’s market share and results of operations.</w:t>
      </w:r>
    </w:p>
    <w:p w14:paraId="7326BAC1" w14:textId="77777777" w:rsidR="00EF3DFB" w:rsidRDefault="00EF3DFB">
      <w:pPr>
        <w:pStyle w:val="BodyText"/>
        <w:spacing w:before="3"/>
        <w:rPr>
          <w:b/>
          <w:sz w:val="21"/>
        </w:rPr>
      </w:pPr>
    </w:p>
    <w:p w14:paraId="7326BAC2" w14:textId="77777777" w:rsidR="00EF3DFB" w:rsidRDefault="00D27C17">
      <w:pPr>
        <w:pStyle w:val="BodyText"/>
        <w:spacing w:line="249" w:lineRule="auto"/>
        <w:ind w:left="190" w:right="168"/>
        <w:jc w:val="both"/>
      </w:pPr>
      <w:r>
        <w:t>The Company’s success with its proprie</w:t>
      </w:r>
      <w:r>
        <w:t>tary products depends, in part, on its ability to protect its current and future technologies and products and to defend its intellectual property rights, including its patent, trade secret and trademark rights. If the Company fails to adequately protect i</w:t>
      </w:r>
      <w:r>
        <w:t>ts intellectual property rights, competitors may manufacture and market similar products.</w:t>
      </w:r>
    </w:p>
    <w:p w14:paraId="7326BAC3" w14:textId="77777777" w:rsidR="00EF3DFB" w:rsidRDefault="00EF3DFB">
      <w:pPr>
        <w:pStyle w:val="BodyText"/>
        <w:spacing w:before="1"/>
        <w:rPr>
          <w:sz w:val="21"/>
        </w:rPr>
      </w:pPr>
    </w:p>
    <w:p w14:paraId="7326BAC4" w14:textId="77777777" w:rsidR="00EF3DFB" w:rsidRDefault="00D27C17">
      <w:pPr>
        <w:pStyle w:val="BodyText"/>
        <w:spacing w:line="249" w:lineRule="auto"/>
        <w:ind w:left="190" w:right="169"/>
        <w:jc w:val="both"/>
      </w:pPr>
      <w:r>
        <w:t>The Company holds numerous design and utility patents covering a wide variety of products. The Company cannot be sure that it will receive patents for any of its pat</w:t>
      </w:r>
      <w:r>
        <w:t>ent applications or that any existing or future patents that it receives or licenses will provide competitive advantages for its products. The Company also cannot be sure that competitors will not challenge, invalidate or avoid the application of any exist</w:t>
      </w:r>
      <w:r>
        <w:t>ing or future patents that the Company receives or licenses. In addition, patent rights may not prevent competitors from developing, using or selling products that are similar or functionally equivalent to the Company’s products.</w:t>
      </w:r>
    </w:p>
    <w:p w14:paraId="7326BAC5" w14:textId="77777777" w:rsidR="00EF3DFB" w:rsidRDefault="00EF3DFB">
      <w:pPr>
        <w:pStyle w:val="BodyText"/>
        <w:rPr>
          <w:sz w:val="21"/>
        </w:rPr>
      </w:pPr>
    </w:p>
    <w:p w14:paraId="7326BAC6" w14:textId="77777777" w:rsidR="00EF3DFB" w:rsidRDefault="00D27C17">
      <w:pPr>
        <w:pStyle w:val="Heading2"/>
        <w:spacing w:line="249" w:lineRule="auto"/>
        <w:ind w:right="169"/>
      </w:pPr>
      <w:r>
        <w:t>If the Company is found t</w:t>
      </w:r>
      <w:r>
        <w:t>o have infringed the intellectual property rights of others or cannot obtain necessary intellectual property rights from others, its competitiveness could be negatively impaired.</w:t>
      </w:r>
    </w:p>
    <w:p w14:paraId="7326BAC7" w14:textId="77777777" w:rsidR="00EF3DFB" w:rsidRDefault="00EF3DFB">
      <w:pPr>
        <w:pStyle w:val="BodyText"/>
        <w:spacing w:before="3"/>
        <w:rPr>
          <w:b/>
          <w:sz w:val="21"/>
        </w:rPr>
      </w:pPr>
    </w:p>
    <w:p w14:paraId="7326BAC8" w14:textId="77777777" w:rsidR="00EF3DFB" w:rsidRDefault="00D27C17">
      <w:pPr>
        <w:pStyle w:val="BodyText"/>
        <w:spacing w:line="249" w:lineRule="auto"/>
        <w:ind w:left="190" w:right="169"/>
        <w:jc w:val="both"/>
      </w:pPr>
      <w:r>
        <w:t>If the Company is found to have violated the trademark, trade secret, copyri</w:t>
      </w:r>
      <w:r>
        <w:t>ght, patent or other intellectual property rights of others, directly or indirectly, including through the use of third-party marks, ideas, or technologies, such a finding could result in the need to cease use of such mark, trade secret, copyrighted work o</w:t>
      </w:r>
      <w:r>
        <w:t xml:space="preserve">r patented invention in the Company’s business, as well as the obligation to pay for past infringement. If rights holders are willing to permit the Company to continue to use such intellectual property rights, they could require a payment of a substantial </w:t>
      </w:r>
      <w:r>
        <w:t>amount for continued use of those rights. Either ceasing use or paying such amounts could cause the Company to become less competitive and could have a material adverse effect on the Company’s business, financial condition, and results of</w:t>
      </w:r>
      <w:r>
        <w:rPr>
          <w:spacing w:val="-2"/>
        </w:rPr>
        <w:t xml:space="preserve"> </w:t>
      </w:r>
      <w:r>
        <w:t>operations.</w:t>
      </w:r>
    </w:p>
    <w:p w14:paraId="7326BAC9" w14:textId="77777777" w:rsidR="00EF3DFB" w:rsidRDefault="00EF3DFB">
      <w:pPr>
        <w:pStyle w:val="BodyText"/>
        <w:spacing w:before="4"/>
        <w:rPr>
          <w:sz w:val="21"/>
        </w:rPr>
      </w:pPr>
    </w:p>
    <w:p w14:paraId="7326BACA" w14:textId="77777777" w:rsidR="00EF3DFB" w:rsidRDefault="00D27C17">
      <w:pPr>
        <w:pStyle w:val="BodyText"/>
        <w:spacing w:line="249" w:lineRule="auto"/>
        <w:ind w:left="190" w:right="168"/>
        <w:jc w:val="both"/>
      </w:pPr>
      <w:r>
        <w:t>Even</w:t>
      </w:r>
      <w:r>
        <w:t xml:space="preserve"> if the Company is not found to infringe a third party’s intellectual property rights, claims of infringement could adversely affect the Company’s business. The Company could incur significant legal costs and related expenses to defend against such claims,</w:t>
      </w:r>
      <w:r>
        <w:t xml:space="preserve"> and the Company could incur significant costs associated with discontinuing to use, provide, or manufacture certain products, services or trademarks even if it is ultimately found not to have infringed such rights.</w:t>
      </w:r>
    </w:p>
    <w:p w14:paraId="7326BACB" w14:textId="77777777" w:rsidR="00EF3DFB" w:rsidRDefault="00EF3DFB">
      <w:pPr>
        <w:pStyle w:val="BodyText"/>
        <w:spacing w:before="4"/>
        <w:rPr>
          <w:sz w:val="31"/>
        </w:rPr>
      </w:pPr>
    </w:p>
    <w:p w14:paraId="7326BACC" w14:textId="77777777" w:rsidR="00EF3DFB" w:rsidRDefault="00D27C17">
      <w:pPr>
        <w:pStyle w:val="Heading2"/>
      </w:pPr>
      <w:bookmarkStart w:id="9" w:name="Item_1B._Unresolved_Staff_Comments"/>
      <w:bookmarkStart w:id="10" w:name="_bookmark3"/>
      <w:bookmarkEnd w:id="9"/>
      <w:bookmarkEnd w:id="10"/>
      <w:r>
        <w:t>ITEM 1B. UNRESOLVED STAFF COMMENTS</w:t>
      </w:r>
    </w:p>
    <w:p w14:paraId="7326BACD" w14:textId="77777777" w:rsidR="00EF3DFB" w:rsidRDefault="00D27C17">
      <w:pPr>
        <w:pStyle w:val="BodyText"/>
        <w:spacing w:before="133"/>
        <w:ind w:left="190"/>
        <w:jc w:val="both"/>
      </w:pPr>
      <w:r>
        <w:t>Not applicable.</w:t>
      </w:r>
    </w:p>
    <w:p w14:paraId="7326BACE" w14:textId="77777777" w:rsidR="00EF3DFB" w:rsidRDefault="00EF3DFB">
      <w:pPr>
        <w:pStyle w:val="BodyText"/>
        <w:spacing w:before="10"/>
        <w:rPr>
          <w:sz w:val="31"/>
        </w:rPr>
      </w:pPr>
    </w:p>
    <w:p w14:paraId="7326BACF" w14:textId="77777777" w:rsidR="00EF3DFB" w:rsidRDefault="00D27C17">
      <w:pPr>
        <w:pStyle w:val="Heading2"/>
        <w:spacing w:before="1"/>
      </w:pPr>
      <w:bookmarkStart w:id="11" w:name="Item_2._Properties"/>
      <w:bookmarkStart w:id="12" w:name="_bookmark4"/>
      <w:bookmarkEnd w:id="11"/>
      <w:bookmarkEnd w:id="12"/>
      <w:r>
        <w:t>ITEM 2. PROPERTIES</w:t>
      </w:r>
    </w:p>
    <w:p w14:paraId="7326BAD0" w14:textId="77777777" w:rsidR="00EF3DFB" w:rsidRDefault="00EF3DFB">
      <w:pPr>
        <w:pStyle w:val="BodyText"/>
        <w:rPr>
          <w:b/>
          <w:sz w:val="22"/>
        </w:rPr>
      </w:pPr>
    </w:p>
    <w:p w14:paraId="7326BAD1" w14:textId="77777777" w:rsidR="00EF3DFB" w:rsidRDefault="00D27C17">
      <w:pPr>
        <w:pStyle w:val="BodyText"/>
        <w:spacing w:line="249" w:lineRule="auto"/>
        <w:ind w:left="190" w:right="169"/>
        <w:jc w:val="both"/>
      </w:pPr>
      <w:r>
        <w:t xml:space="preserve">The Company's primary corporate offices are located in an owned office space in Atlanta, Georgia and a leased office space in Norwalk, Connecticut. At December 31, 2020, the Company's </w:t>
      </w:r>
      <w:r>
        <w:t>global physical presence included approximately 55 manufacturing facilities (20 in the U.S.), approximately 70 regional distribution centers and warehouses (35 in the U.S.), approximately 140 offices for sales, research and development and administrative p</w:t>
      </w:r>
      <w:r>
        <w:t>urposes (40 in the U.S.), as well as approximately 425 retail stores (405 in the U.S.) primarily related to Yankee Candle. Approximately 90% of our global properties are leased (95% in the U.S.), which primarily reflect the Yankee Candle retail stores.</w:t>
      </w:r>
    </w:p>
    <w:p w14:paraId="7326BAD2" w14:textId="77777777" w:rsidR="00EF3DFB" w:rsidRDefault="00EF3DFB">
      <w:pPr>
        <w:pStyle w:val="BodyText"/>
        <w:spacing w:before="3"/>
        <w:rPr>
          <w:sz w:val="21"/>
        </w:rPr>
      </w:pPr>
    </w:p>
    <w:p w14:paraId="7326BAD3" w14:textId="77777777" w:rsidR="00EF3DFB" w:rsidRDefault="00D27C17">
      <w:pPr>
        <w:spacing w:line="249" w:lineRule="auto"/>
        <w:ind w:left="190" w:right="168"/>
        <w:jc w:val="both"/>
        <w:rPr>
          <w:sz w:val="20"/>
        </w:rPr>
      </w:pPr>
      <w:r>
        <w:rPr>
          <w:sz w:val="20"/>
        </w:rPr>
        <w:t xml:space="preserve">In general, the Company's properties are well-maintained, considered adequate and are utilized for their intended purposes. See </w:t>
      </w:r>
      <w:r>
        <w:rPr>
          <w:i/>
          <w:sz w:val="20"/>
        </w:rPr>
        <w:t xml:space="preserve">Footnote 6 of the Notes to Consolidated Financial Statements </w:t>
      </w:r>
      <w:r>
        <w:rPr>
          <w:sz w:val="20"/>
        </w:rPr>
        <w:t>for amounts invested in land, buildings and machinery and equipment</w:t>
      </w:r>
      <w:r>
        <w:rPr>
          <w:sz w:val="20"/>
        </w:rPr>
        <w:t xml:space="preserve">. Also, see </w:t>
      </w:r>
      <w:r>
        <w:rPr>
          <w:i/>
          <w:sz w:val="20"/>
        </w:rPr>
        <w:t xml:space="preserve">Footnote 13 of the Notes to Consolidated Financial Statements </w:t>
      </w:r>
      <w:r>
        <w:rPr>
          <w:sz w:val="20"/>
        </w:rPr>
        <w:t>for information about the Company’s leased properties.</w:t>
      </w:r>
    </w:p>
    <w:p w14:paraId="7326BAD4" w14:textId="77777777" w:rsidR="00EF3DFB" w:rsidRDefault="00EF3DFB">
      <w:pPr>
        <w:pStyle w:val="BodyText"/>
        <w:spacing w:before="10"/>
      </w:pPr>
    </w:p>
    <w:p w14:paraId="7326BAD5" w14:textId="77777777" w:rsidR="00EF3DFB" w:rsidRDefault="00D27C17">
      <w:pPr>
        <w:pStyle w:val="Heading2"/>
      </w:pPr>
      <w:bookmarkStart w:id="13" w:name="Item_3._Legal_Proceedings"/>
      <w:bookmarkStart w:id="14" w:name="_bookmark5"/>
      <w:bookmarkEnd w:id="13"/>
      <w:bookmarkEnd w:id="14"/>
      <w:r>
        <w:t>ITEM 3. LEGAL PROCEEDINGS</w:t>
      </w:r>
    </w:p>
    <w:p w14:paraId="7326BAD6" w14:textId="77777777" w:rsidR="00EF3DFB" w:rsidRDefault="00EF3DFB">
      <w:pPr>
        <w:pStyle w:val="BodyText"/>
        <w:rPr>
          <w:b/>
          <w:sz w:val="22"/>
        </w:rPr>
      </w:pPr>
    </w:p>
    <w:p w14:paraId="7326BAD7" w14:textId="77777777" w:rsidR="00EF3DFB" w:rsidRDefault="00D27C17">
      <w:pPr>
        <w:pStyle w:val="BodyText"/>
        <w:spacing w:before="1" w:line="249" w:lineRule="auto"/>
        <w:ind w:left="190" w:right="168"/>
        <w:jc w:val="both"/>
      </w:pPr>
      <w:r>
        <w:t>Information regarding legal proceedings is included in Footnote 18 of the Notes to Consolidated Fin</w:t>
      </w:r>
      <w:r>
        <w:t>ancial Statements and is incorporated by reference herein.</w:t>
      </w:r>
    </w:p>
    <w:p w14:paraId="7326BAD8" w14:textId="77777777" w:rsidR="00EF3DFB" w:rsidRDefault="00EF3DFB">
      <w:pPr>
        <w:pStyle w:val="BodyText"/>
        <w:spacing w:before="1"/>
        <w:rPr>
          <w:sz w:val="31"/>
        </w:rPr>
      </w:pPr>
    </w:p>
    <w:p w14:paraId="7326BAD9" w14:textId="77777777" w:rsidR="00EF3DFB" w:rsidRDefault="00D27C17">
      <w:pPr>
        <w:pStyle w:val="Heading2"/>
        <w:spacing w:before="1"/>
      </w:pPr>
      <w:bookmarkStart w:id="15" w:name="Item_4._Mine_Safety_Disclosures"/>
      <w:bookmarkStart w:id="16" w:name="_bookmark6"/>
      <w:bookmarkEnd w:id="15"/>
      <w:bookmarkEnd w:id="16"/>
      <w:r>
        <w:t>ITEM 4. MINE SAFETY DISCLOSURES</w:t>
      </w:r>
    </w:p>
    <w:p w14:paraId="7326BADA" w14:textId="77777777" w:rsidR="00EF3DFB" w:rsidRDefault="00D27C17">
      <w:pPr>
        <w:pStyle w:val="BodyText"/>
        <w:spacing w:before="133"/>
        <w:ind w:left="190"/>
        <w:jc w:val="both"/>
      </w:pPr>
      <w:r>
        <w:t>Not applicable.</w:t>
      </w:r>
    </w:p>
    <w:p w14:paraId="7326BADB" w14:textId="77777777" w:rsidR="00EF3DFB" w:rsidRDefault="00EF3DFB">
      <w:pPr>
        <w:jc w:val="both"/>
        <w:sectPr w:rsidR="00EF3DFB">
          <w:pgSz w:w="12240" w:h="15840"/>
          <w:pgMar w:top="600" w:right="640" w:bottom="480" w:left="620" w:header="0" w:footer="291" w:gutter="0"/>
          <w:cols w:space="720"/>
        </w:sectPr>
      </w:pPr>
    </w:p>
    <w:p w14:paraId="7326BADC" w14:textId="77777777" w:rsidR="00EF3DFB" w:rsidRDefault="00D27C17">
      <w:pPr>
        <w:pStyle w:val="Heading2"/>
        <w:spacing w:before="68"/>
        <w:jc w:val="left"/>
      </w:pPr>
      <w:bookmarkStart w:id="17" w:name="Supplementary_Item_—_Executive_Officers_"/>
      <w:bookmarkStart w:id="18" w:name="_bookmark7"/>
      <w:bookmarkEnd w:id="17"/>
      <w:bookmarkEnd w:id="18"/>
      <w:r>
        <w:lastRenderedPageBreak/>
        <w:t>SUPPLEMENTARY ITEM — INFORMATION ABOUT OUR EXECUTIVE OFFICERS</w:t>
      </w:r>
    </w:p>
    <w:p w14:paraId="7326BADD" w14:textId="77777777" w:rsidR="00EF3DFB" w:rsidRDefault="00EF3DFB">
      <w:pPr>
        <w:pStyle w:val="BodyText"/>
        <w:spacing w:before="4" w:after="1"/>
        <w:rPr>
          <w:b/>
          <w:sz w:val="14"/>
        </w:rPr>
      </w:pPr>
    </w:p>
    <w:tbl>
      <w:tblPr>
        <w:tblW w:w="0" w:type="auto"/>
        <w:tblInd w:w="190" w:type="dxa"/>
        <w:tblLayout w:type="fixed"/>
        <w:tblCellMar>
          <w:left w:w="0" w:type="dxa"/>
          <w:right w:w="0" w:type="dxa"/>
        </w:tblCellMar>
        <w:tblLook w:val="01E0" w:firstRow="1" w:lastRow="1" w:firstColumn="1" w:lastColumn="1" w:noHBand="0" w:noVBand="0"/>
      </w:tblPr>
      <w:tblGrid>
        <w:gridCol w:w="3465"/>
        <w:gridCol w:w="976"/>
        <w:gridCol w:w="6179"/>
      </w:tblGrid>
      <w:tr w:rsidR="00EF3DFB" w14:paraId="7326BAE1" w14:textId="77777777">
        <w:trPr>
          <w:trHeight w:val="241"/>
        </w:trPr>
        <w:tc>
          <w:tcPr>
            <w:tcW w:w="3465" w:type="dxa"/>
            <w:tcBorders>
              <w:bottom w:val="single" w:sz="8" w:space="0" w:color="000000"/>
            </w:tcBorders>
          </w:tcPr>
          <w:p w14:paraId="7326BADE" w14:textId="77777777" w:rsidR="00EF3DFB" w:rsidRDefault="00D27C17">
            <w:pPr>
              <w:pStyle w:val="TableParagraph"/>
              <w:spacing w:line="221" w:lineRule="exact"/>
              <w:ind w:left="52"/>
              <w:rPr>
                <w:b/>
                <w:sz w:val="20"/>
              </w:rPr>
            </w:pPr>
            <w:r>
              <w:rPr>
                <w:b/>
                <w:sz w:val="20"/>
              </w:rPr>
              <w:t>Name</w:t>
            </w:r>
          </w:p>
        </w:tc>
        <w:tc>
          <w:tcPr>
            <w:tcW w:w="976" w:type="dxa"/>
            <w:tcBorders>
              <w:bottom w:val="single" w:sz="8" w:space="0" w:color="000000"/>
            </w:tcBorders>
          </w:tcPr>
          <w:p w14:paraId="7326BADF" w14:textId="77777777" w:rsidR="00EF3DFB" w:rsidRDefault="00D27C17">
            <w:pPr>
              <w:pStyle w:val="TableParagraph"/>
              <w:spacing w:line="221" w:lineRule="exact"/>
              <w:ind w:right="229"/>
              <w:jc w:val="right"/>
              <w:rPr>
                <w:b/>
                <w:sz w:val="20"/>
              </w:rPr>
            </w:pPr>
            <w:r>
              <w:rPr>
                <w:b/>
                <w:sz w:val="20"/>
              </w:rPr>
              <w:t>Age</w:t>
            </w:r>
          </w:p>
        </w:tc>
        <w:tc>
          <w:tcPr>
            <w:tcW w:w="6179" w:type="dxa"/>
            <w:tcBorders>
              <w:bottom w:val="single" w:sz="8" w:space="0" w:color="000000"/>
            </w:tcBorders>
          </w:tcPr>
          <w:p w14:paraId="7326BAE0" w14:textId="77777777" w:rsidR="00EF3DFB" w:rsidRDefault="00D27C17">
            <w:pPr>
              <w:pStyle w:val="TableParagraph"/>
              <w:spacing w:line="221" w:lineRule="exact"/>
              <w:ind w:left="231"/>
              <w:rPr>
                <w:b/>
                <w:sz w:val="20"/>
              </w:rPr>
            </w:pPr>
            <w:r>
              <w:rPr>
                <w:b/>
                <w:sz w:val="20"/>
              </w:rPr>
              <w:t>Title</w:t>
            </w:r>
          </w:p>
        </w:tc>
      </w:tr>
      <w:tr w:rsidR="00EF3DFB" w14:paraId="7326BAE5" w14:textId="77777777">
        <w:trPr>
          <w:trHeight w:val="290"/>
        </w:trPr>
        <w:tc>
          <w:tcPr>
            <w:tcW w:w="3465" w:type="dxa"/>
            <w:tcBorders>
              <w:top w:val="single" w:sz="8" w:space="0" w:color="000000"/>
            </w:tcBorders>
            <w:shd w:val="clear" w:color="auto" w:fill="CCEDFF"/>
          </w:tcPr>
          <w:p w14:paraId="7326BAE2" w14:textId="77777777" w:rsidR="00EF3DFB" w:rsidRDefault="00D27C17">
            <w:pPr>
              <w:pStyle w:val="TableParagraph"/>
              <w:spacing w:before="30"/>
              <w:ind w:left="52"/>
              <w:rPr>
                <w:sz w:val="20"/>
              </w:rPr>
            </w:pPr>
            <w:r>
              <w:rPr>
                <w:sz w:val="20"/>
              </w:rPr>
              <w:t>Ravichandra K. Saligram</w:t>
            </w:r>
          </w:p>
        </w:tc>
        <w:tc>
          <w:tcPr>
            <w:tcW w:w="976" w:type="dxa"/>
            <w:tcBorders>
              <w:top w:val="single" w:sz="8" w:space="0" w:color="000000"/>
            </w:tcBorders>
            <w:shd w:val="clear" w:color="auto" w:fill="CCEDFF"/>
          </w:tcPr>
          <w:p w14:paraId="7326BAE3" w14:textId="77777777" w:rsidR="00EF3DFB" w:rsidRDefault="00D27C17">
            <w:pPr>
              <w:pStyle w:val="TableParagraph"/>
              <w:spacing w:before="30"/>
              <w:ind w:right="277"/>
              <w:jc w:val="right"/>
              <w:rPr>
                <w:sz w:val="20"/>
              </w:rPr>
            </w:pPr>
            <w:r>
              <w:rPr>
                <w:sz w:val="20"/>
              </w:rPr>
              <w:t>64</w:t>
            </w:r>
          </w:p>
        </w:tc>
        <w:tc>
          <w:tcPr>
            <w:tcW w:w="6179" w:type="dxa"/>
            <w:tcBorders>
              <w:top w:val="single" w:sz="8" w:space="0" w:color="000000"/>
            </w:tcBorders>
            <w:shd w:val="clear" w:color="auto" w:fill="CCEDFF"/>
          </w:tcPr>
          <w:p w14:paraId="7326BAE4" w14:textId="77777777" w:rsidR="00EF3DFB" w:rsidRDefault="00D27C17">
            <w:pPr>
              <w:pStyle w:val="TableParagraph"/>
              <w:spacing w:before="30"/>
              <w:ind w:left="231"/>
              <w:rPr>
                <w:sz w:val="20"/>
              </w:rPr>
            </w:pPr>
            <w:r>
              <w:rPr>
                <w:sz w:val="20"/>
              </w:rPr>
              <w:t>President and Chief Executive Officer</w:t>
            </w:r>
          </w:p>
        </w:tc>
      </w:tr>
      <w:tr w:rsidR="00EF3DFB" w14:paraId="7326BAE9" w14:textId="77777777">
        <w:trPr>
          <w:trHeight w:val="300"/>
        </w:trPr>
        <w:tc>
          <w:tcPr>
            <w:tcW w:w="3465" w:type="dxa"/>
          </w:tcPr>
          <w:p w14:paraId="7326BAE6" w14:textId="77777777" w:rsidR="00EF3DFB" w:rsidRDefault="00D27C17">
            <w:pPr>
              <w:pStyle w:val="TableParagraph"/>
              <w:spacing w:before="4"/>
              <w:ind w:left="52"/>
              <w:rPr>
                <w:sz w:val="20"/>
              </w:rPr>
            </w:pPr>
            <w:r>
              <w:rPr>
                <w:sz w:val="20"/>
              </w:rPr>
              <w:t>Christopher H. Peterson</w:t>
            </w:r>
          </w:p>
        </w:tc>
        <w:tc>
          <w:tcPr>
            <w:tcW w:w="976" w:type="dxa"/>
          </w:tcPr>
          <w:p w14:paraId="7326BAE7" w14:textId="77777777" w:rsidR="00EF3DFB" w:rsidRDefault="00D27C17">
            <w:pPr>
              <w:pStyle w:val="TableParagraph"/>
              <w:spacing w:before="40"/>
              <w:ind w:right="277"/>
              <w:jc w:val="right"/>
              <w:rPr>
                <w:sz w:val="20"/>
              </w:rPr>
            </w:pPr>
            <w:r>
              <w:rPr>
                <w:sz w:val="20"/>
              </w:rPr>
              <w:t>54</w:t>
            </w:r>
          </w:p>
        </w:tc>
        <w:tc>
          <w:tcPr>
            <w:tcW w:w="6179" w:type="dxa"/>
          </w:tcPr>
          <w:p w14:paraId="7326BAE8" w14:textId="77777777" w:rsidR="00EF3DFB" w:rsidRDefault="00D27C17">
            <w:pPr>
              <w:pStyle w:val="TableParagraph"/>
              <w:spacing w:before="40"/>
              <w:ind w:left="231"/>
              <w:rPr>
                <w:sz w:val="20"/>
              </w:rPr>
            </w:pPr>
            <w:r>
              <w:rPr>
                <w:sz w:val="20"/>
              </w:rPr>
              <w:t>Chief Financial Officer &amp; President, Business Operations</w:t>
            </w:r>
          </w:p>
        </w:tc>
      </w:tr>
      <w:tr w:rsidR="00EF3DFB" w14:paraId="7326BAED" w14:textId="77777777">
        <w:trPr>
          <w:trHeight w:val="300"/>
        </w:trPr>
        <w:tc>
          <w:tcPr>
            <w:tcW w:w="3465" w:type="dxa"/>
            <w:shd w:val="clear" w:color="auto" w:fill="CCEDFF"/>
          </w:tcPr>
          <w:p w14:paraId="7326BAEA" w14:textId="77777777" w:rsidR="00EF3DFB" w:rsidRDefault="00D27C17">
            <w:pPr>
              <w:pStyle w:val="TableParagraph"/>
              <w:spacing w:before="4"/>
              <w:ind w:left="52"/>
              <w:rPr>
                <w:sz w:val="20"/>
              </w:rPr>
            </w:pPr>
            <w:r>
              <w:rPr>
                <w:sz w:val="20"/>
              </w:rPr>
              <w:t>Bradford R. Turner</w:t>
            </w:r>
          </w:p>
        </w:tc>
        <w:tc>
          <w:tcPr>
            <w:tcW w:w="976" w:type="dxa"/>
            <w:shd w:val="clear" w:color="auto" w:fill="CCEDFF"/>
          </w:tcPr>
          <w:p w14:paraId="7326BAEB" w14:textId="77777777" w:rsidR="00EF3DFB" w:rsidRDefault="00D27C17">
            <w:pPr>
              <w:pStyle w:val="TableParagraph"/>
              <w:spacing w:before="40"/>
              <w:ind w:right="277"/>
              <w:jc w:val="right"/>
              <w:rPr>
                <w:sz w:val="20"/>
              </w:rPr>
            </w:pPr>
            <w:r>
              <w:rPr>
                <w:sz w:val="20"/>
              </w:rPr>
              <w:t>48</w:t>
            </w:r>
          </w:p>
        </w:tc>
        <w:tc>
          <w:tcPr>
            <w:tcW w:w="6179" w:type="dxa"/>
            <w:shd w:val="clear" w:color="auto" w:fill="CCEDFF"/>
          </w:tcPr>
          <w:p w14:paraId="7326BAEC" w14:textId="77777777" w:rsidR="00EF3DFB" w:rsidRDefault="00D27C17">
            <w:pPr>
              <w:pStyle w:val="TableParagraph"/>
              <w:spacing w:before="40"/>
              <w:ind w:left="231"/>
              <w:rPr>
                <w:sz w:val="20"/>
              </w:rPr>
            </w:pPr>
            <w:r>
              <w:rPr>
                <w:sz w:val="20"/>
              </w:rPr>
              <w:t>Chief Legal and Administrative Officer and Corporate Secretary</w:t>
            </w:r>
          </w:p>
        </w:tc>
      </w:tr>
      <w:tr w:rsidR="00EF3DFB" w14:paraId="7326BAF1" w14:textId="77777777">
        <w:trPr>
          <w:trHeight w:val="300"/>
        </w:trPr>
        <w:tc>
          <w:tcPr>
            <w:tcW w:w="3465" w:type="dxa"/>
          </w:tcPr>
          <w:p w14:paraId="7326BAEE" w14:textId="77777777" w:rsidR="00EF3DFB" w:rsidRDefault="00D27C17">
            <w:pPr>
              <w:pStyle w:val="TableParagraph"/>
              <w:spacing w:before="40"/>
              <w:ind w:left="52"/>
              <w:rPr>
                <w:sz w:val="20"/>
              </w:rPr>
            </w:pPr>
            <w:r>
              <w:rPr>
                <w:sz w:val="20"/>
              </w:rPr>
              <w:t>Stephen B. Parsons</w:t>
            </w:r>
          </w:p>
        </w:tc>
        <w:tc>
          <w:tcPr>
            <w:tcW w:w="976" w:type="dxa"/>
          </w:tcPr>
          <w:p w14:paraId="7326BAEF" w14:textId="77777777" w:rsidR="00EF3DFB" w:rsidRDefault="00D27C17">
            <w:pPr>
              <w:pStyle w:val="TableParagraph"/>
              <w:spacing w:before="40"/>
              <w:ind w:right="277"/>
              <w:jc w:val="right"/>
              <w:rPr>
                <w:sz w:val="20"/>
              </w:rPr>
            </w:pPr>
            <w:r>
              <w:rPr>
                <w:sz w:val="20"/>
              </w:rPr>
              <w:t>56</w:t>
            </w:r>
          </w:p>
        </w:tc>
        <w:tc>
          <w:tcPr>
            <w:tcW w:w="6179" w:type="dxa"/>
          </w:tcPr>
          <w:p w14:paraId="7326BAF0" w14:textId="77777777" w:rsidR="00EF3DFB" w:rsidRDefault="00D27C17">
            <w:pPr>
              <w:pStyle w:val="TableParagraph"/>
              <w:spacing w:before="40"/>
              <w:ind w:left="231"/>
              <w:rPr>
                <w:sz w:val="20"/>
              </w:rPr>
            </w:pPr>
            <w:r>
              <w:rPr>
                <w:sz w:val="20"/>
              </w:rPr>
              <w:t>Chief Human Resources Officer</w:t>
            </w:r>
          </w:p>
        </w:tc>
      </w:tr>
      <w:tr w:rsidR="00EF3DFB" w14:paraId="7326BAF5" w14:textId="77777777">
        <w:trPr>
          <w:trHeight w:val="300"/>
        </w:trPr>
        <w:tc>
          <w:tcPr>
            <w:tcW w:w="3465" w:type="dxa"/>
            <w:shd w:val="clear" w:color="auto" w:fill="CCEDFF"/>
          </w:tcPr>
          <w:p w14:paraId="7326BAF2" w14:textId="77777777" w:rsidR="00EF3DFB" w:rsidRDefault="00D27C17">
            <w:pPr>
              <w:pStyle w:val="TableParagraph"/>
              <w:spacing w:before="40"/>
              <w:ind w:left="52"/>
              <w:rPr>
                <w:sz w:val="20"/>
              </w:rPr>
            </w:pPr>
            <w:r>
              <w:rPr>
                <w:sz w:val="20"/>
              </w:rPr>
              <w:t>Michael M. Hayes</w:t>
            </w:r>
          </w:p>
        </w:tc>
        <w:tc>
          <w:tcPr>
            <w:tcW w:w="976" w:type="dxa"/>
            <w:shd w:val="clear" w:color="auto" w:fill="CCEDFF"/>
          </w:tcPr>
          <w:p w14:paraId="7326BAF3" w14:textId="77777777" w:rsidR="00EF3DFB" w:rsidRDefault="00D27C17">
            <w:pPr>
              <w:pStyle w:val="TableParagraph"/>
              <w:spacing w:before="40"/>
              <w:ind w:right="277"/>
              <w:jc w:val="right"/>
              <w:rPr>
                <w:sz w:val="20"/>
              </w:rPr>
            </w:pPr>
            <w:r>
              <w:rPr>
                <w:sz w:val="20"/>
              </w:rPr>
              <w:t>52</w:t>
            </w:r>
          </w:p>
        </w:tc>
        <w:tc>
          <w:tcPr>
            <w:tcW w:w="6179" w:type="dxa"/>
            <w:shd w:val="clear" w:color="auto" w:fill="CCEDFF"/>
          </w:tcPr>
          <w:p w14:paraId="7326BAF4" w14:textId="77777777" w:rsidR="00EF3DFB" w:rsidRDefault="00D27C17">
            <w:pPr>
              <w:pStyle w:val="TableParagraph"/>
              <w:spacing w:before="40"/>
              <w:ind w:left="231"/>
              <w:rPr>
                <w:sz w:val="20"/>
              </w:rPr>
            </w:pPr>
            <w:r>
              <w:rPr>
                <w:sz w:val="20"/>
              </w:rPr>
              <w:t>Chief Customer Officer</w:t>
            </w:r>
          </w:p>
        </w:tc>
      </w:tr>
      <w:tr w:rsidR="00EF3DFB" w14:paraId="7326BAF9" w14:textId="77777777">
        <w:trPr>
          <w:trHeight w:val="300"/>
        </w:trPr>
        <w:tc>
          <w:tcPr>
            <w:tcW w:w="3465" w:type="dxa"/>
          </w:tcPr>
          <w:p w14:paraId="7326BAF6" w14:textId="77777777" w:rsidR="00EF3DFB" w:rsidRDefault="00D27C17">
            <w:pPr>
              <w:pStyle w:val="TableParagraph"/>
              <w:spacing w:before="40"/>
              <w:ind w:left="52"/>
              <w:rPr>
                <w:sz w:val="20"/>
              </w:rPr>
            </w:pPr>
            <w:r>
              <w:rPr>
                <w:sz w:val="20"/>
              </w:rPr>
              <w:t>Laurel M. Hurd</w:t>
            </w:r>
          </w:p>
        </w:tc>
        <w:tc>
          <w:tcPr>
            <w:tcW w:w="976" w:type="dxa"/>
          </w:tcPr>
          <w:p w14:paraId="7326BAF7" w14:textId="77777777" w:rsidR="00EF3DFB" w:rsidRDefault="00D27C17">
            <w:pPr>
              <w:pStyle w:val="TableParagraph"/>
              <w:spacing w:before="40"/>
              <w:ind w:right="277"/>
              <w:jc w:val="right"/>
              <w:rPr>
                <w:sz w:val="20"/>
              </w:rPr>
            </w:pPr>
            <w:r>
              <w:rPr>
                <w:sz w:val="20"/>
              </w:rPr>
              <w:t>51</w:t>
            </w:r>
          </w:p>
        </w:tc>
        <w:tc>
          <w:tcPr>
            <w:tcW w:w="6179" w:type="dxa"/>
          </w:tcPr>
          <w:p w14:paraId="7326BAF8" w14:textId="77777777" w:rsidR="00EF3DFB" w:rsidRDefault="00D27C17">
            <w:pPr>
              <w:pStyle w:val="TableParagraph"/>
              <w:spacing w:before="40"/>
              <w:ind w:left="231"/>
              <w:rPr>
                <w:sz w:val="20"/>
              </w:rPr>
            </w:pPr>
            <w:r>
              <w:rPr>
                <w:sz w:val="20"/>
              </w:rPr>
              <w:t>Segment President, Learning and Development</w:t>
            </w:r>
          </w:p>
        </w:tc>
      </w:tr>
      <w:tr w:rsidR="00EF3DFB" w14:paraId="7326BAFD" w14:textId="77777777">
        <w:trPr>
          <w:trHeight w:val="300"/>
        </w:trPr>
        <w:tc>
          <w:tcPr>
            <w:tcW w:w="3465" w:type="dxa"/>
            <w:shd w:val="clear" w:color="auto" w:fill="CCEDFF"/>
          </w:tcPr>
          <w:p w14:paraId="7326BAFA" w14:textId="77777777" w:rsidR="00EF3DFB" w:rsidRDefault="00D27C17">
            <w:pPr>
              <w:pStyle w:val="TableParagraph"/>
              <w:spacing w:before="40"/>
              <w:ind w:left="52"/>
              <w:rPr>
                <w:sz w:val="20"/>
              </w:rPr>
            </w:pPr>
            <w:r>
              <w:rPr>
                <w:sz w:val="20"/>
              </w:rPr>
              <w:t>Kristine K. Malkoski</w:t>
            </w:r>
          </w:p>
        </w:tc>
        <w:tc>
          <w:tcPr>
            <w:tcW w:w="976" w:type="dxa"/>
            <w:shd w:val="clear" w:color="auto" w:fill="CCEDFF"/>
          </w:tcPr>
          <w:p w14:paraId="7326BAFB" w14:textId="77777777" w:rsidR="00EF3DFB" w:rsidRDefault="00D27C17">
            <w:pPr>
              <w:pStyle w:val="TableParagraph"/>
              <w:spacing w:before="40"/>
              <w:ind w:right="277"/>
              <w:jc w:val="right"/>
              <w:rPr>
                <w:sz w:val="20"/>
              </w:rPr>
            </w:pPr>
            <w:r>
              <w:rPr>
                <w:sz w:val="20"/>
              </w:rPr>
              <w:t>60</w:t>
            </w:r>
          </w:p>
        </w:tc>
        <w:tc>
          <w:tcPr>
            <w:tcW w:w="6179" w:type="dxa"/>
            <w:shd w:val="clear" w:color="auto" w:fill="CCEDFF"/>
          </w:tcPr>
          <w:p w14:paraId="7326BAFC" w14:textId="77777777" w:rsidR="00EF3DFB" w:rsidRDefault="00D27C17">
            <w:pPr>
              <w:pStyle w:val="TableParagraph"/>
              <w:spacing w:before="40"/>
              <w:ind w:left="231"/>
              <w:rPr>
                <w:sz w:val="20"/>
              </w:rPr>
            </w:pPr>
            <w:r>
              <w:rPr>
                <w:sz w:val="20"/>
              </w:rPr>
              <w:t>Business Unit CEO, Food</w:t>
            </w:r>
          </w:p>
        </w:tc>
      </w:tr>
      <w:tr w:rsidR="00EF3DFB" w14:paraId="7326BB01" w14:textId="77777777">
        <w:trPr>
          <w:trHeight w:val="300"/>
        </w:trPr>
        <w:tc>
          <w:tcPr>
            <w:tcW w:w="3465" w:type="dxa"/>
          </w:tcPr>
          <w:p w14:paraId="7326BAFE" w14:textId="77777777" w:rsidR="00EF3DFB" w:rsidRDefault="00D27C17">
            <w:pPr>
              <w:pStyle w:val="TableParagraph"/>
              <w:spacing w:before="40"/>
              <w:ind w:left="52"/>
              <w:rPr>
                <w:sz w:val="20"/>
              </w:rPr>
            </w:pPr>
            <w:r>
              <w:rPr>
                <w:sz w:val="20"/>
              </w:rPr>
              <w:t>Michael P. McDermott</w:t>
            </w:r>
          </w:p>
        </w:tc>
        <w:tc>
          <w:tcPr>
            <w:tcW w:w="976" w:type="dxa"/>
          </w:tcPr>
          <w:p w14:paraId="7326BAFF" w14:textId="77777777" w:rsidR="00EF3DFB" w:rsidRDefault="00D27C17">
            <w:pPr>
              <w:pStyle w:val="TableParagraph"/>
              <w:spacing w:before="40"/>
              <w:ind w:right="277"/>
              <w:jc w:val="right"/>
              <w:rPr>
                <w:sz w:val="20"/>
              </w:rPr>
            </w:pPr>
            <w:r>
              <w:rPr>
                <w:sz w:val="20"/>
              </w:rPr>
              <w:t>51</w:t>
            </w:r>
          </w:p>
        </w:tc>
        <w:tc>
          <w:tcPr>
            <w:tcW w:w="6179" w:type="dxa"/>
          </w:tcPr>
          <w:p w14:paraId="7326BB00" w14:textId="77777777" w:rsidR="00EF3DFB" w:rsidRDefault="00D27C17">
            <w:pPr>
              <w:pStyle w:val="TableParagraph"/>
              <w:spacing w:before="40"/>
              <w:ind w:left="231"/>
              <w:rPr>
                <w:sz w:val="20"/>
              </w:rPr>
            </w:pPr>
            <w:r>
              <w:rPr>
                <w:sz w:val="20"/>
              </w:rPr>
              <w:t>Business Unit CEO, Commercial</w:t>
            </w:r>
          </w:p>
        </w:tc>
      </w:tr>
      <w:tr w:rsidR="00EF3DFB" w14:paraId="7326BB05" w14:textId="77777777">
        <w:trPr>
          <w:trHeight w:val="300"/>
        </w:trPr>
        <w:tc>
          <w:tcPr>
            <w:tcW w:w="3465" w:type="dxa"/>
            <w:shd w:val="clear" w:color="auto" w:fill="CCEDFF"/>
          </w:tcPr>
          <w:p w14:paraId="7326BB02" w14:textId="77777777" w:rsidR="00EF3DFB" w:rsidRDefault="00D27C17">
            <w:pPr>
              <w:pStyle w:val="TableParagraph"/>
              <w:spacing w:before="40"/>
              <w:ind w:left="52"/>
              <w:rPr>
                <w:sz w:val="20"/>
              </w:rPr>
            </w:pPr>
            <w:r>
              <w:rPr>
                <w:sz w:val="20"/>
              </w:rPr>
              <w:t>James A. Pisani</w:t>
            </w:r>
          </w:p>
        </w:tc>
        <w:tc>
          <w:tcPr>
            <w:tcW w:w="976" w:type="dxa"/>
            <w:shd w:val="clear" w:color="auto" w:fill="CCEDFF"/>
          </w:tcPr>
          <w:p w14:paraId="7326BB03" w14:textId="77777777" w:rsidR="00EF3DFB" w:rsidRDefault="00D27C17">
            <w:pPr>
              <w:pStyle w:val="TableParagraph"/>
              <w:spacing w:before="40"/>
              <w:ind w:right="277"/>
              <w:jc w:val="right"/>
              <w:rPr>
                <w:sz w:val="20"/>
              </w:rPr>
            </w:pPr>
            <w:r>
              <w:rPr>
                <w:sz w:val="20"/>
              </w:rPr>
              <w:t>54</w:t>
            </w:r>
          </w:p>
        </w:tc>
        <w:tc>
          <w:tcPr>
            <w:tcW w:w="6179" w:type="dxa"/>
            <w:shd w:val="clear" w:color="auto" w:fill="CCEDFF"/>
          </w:tcPr>
          <w:p w14:paraId="7326BB04" w14:textId="77777777" w:rsidR="00EF3DFB" w:rsidRDefault="00D27C17">
            <w:pPr>
              <w:pStyle w:val="TableParagraph"/>
              <w:spacing w:before="40"/>
              <w:ind w:left="231"/>
              <w:rPr>
                <w:sz w:val="20"/>
              </w:rPr>
            </w:pPr>
            <w:r>
              <w:rPr>
                <w:sz w:val="20"/>
              </w:rPr>
              <w:t>Business Unit CEO, Outdoor and Recreation</w:t>
            </w:r>
          </w:p>
        </w:tc>
      </w:tr>
      <w:tr w:rsidR="00EF3DFB" w14:paraId="7326BB09" w14:textId="77777777">
        <w:trPr>
          <w:trHeight w:val="270"/>
        </w:trPr>
        <w:tc>
          <w:tcPr>
            <w:tcW w:w="3465" w:type="dxa"/>
          </w:tcPr>
          <w:p w14:paraId="7326BB06" w14:textId="77777777" w:rsidR="00EF3DFB" w:rsidRDefault="00D27C17">
            <w:pPr>
              <w:pStyle w:val="TableParagraph"/>
              <w:spacing w:before="40" w:line="210" w:lineRule="exact"/>
              <w:ind w:left="52"/>
              <w:rPr>
                <w:sz w:val="20"/>
              </w:rPr>
            </w:pPr>
            <w:r>
              <w:rPr>
                <w:sz w:val="20"/>
              </w:rPr>
              <w:t>Christine M. Robins</w:t>
            </w:r>
          </w:p>
        </w:tc>
        <w:tc>
          <w:tcPr>
            <w:tcW w:w="976" w:type="dxa"/>
          </w:tcPr>
          <w:p w14:paraId="7326BB07" w14:textId="77777777" w:rsidR="00EF3DFB" w:rsidRDefault="00D27C17">
            <w:pPr>
              <w:pStyle w:val="TableParagraph"/>
              <w:spacing w:before="40" w:line="210" w:lineRule="exact"/>
              <w:ind w:right="277"/>
              <w:jc w:val="right"/>
              <w:rPr>
                <w:sz w:val="20"/>
              </w:rPr>
            </w:pPr>
            <w:r>
              <w:rPr>
                <w:sz w:val="20"/>
              </w:rPr>
              <w:t>55</w:t>
            </w:r>
          </w:p>
        </w:tc>
        <w:tc>
          <w:tcPr>
            <w:tcW w:w="6179" w:type="dxa"/>
          </w:tcPr>
          <w:p w14:paraId="7326BB08" w14:textId="77777777" w:rsidR="00EF3DFB" w:rsidRDefault="00D27C17">
            <w:pPr>
              <w:pStyle w:val="TableParagraph"/>
              <w:spacing w:before="40" w:line="210" w:lineRule="exact"/>
              <w:ind w:left="231"/>
              <w:rPr>
                <w:sz w:val="20"/>
              </w:rPr>
            </w:pPr>
            <w:r>
              <w:rPr>
                <w:sz w:val="20"/>
              </w:rPr>
              <w:t>Business Unit CEO, Appliances and Cookware</w:t>
            </w:r>
          </w:p>
        </w:tc>
      </w:tr>
    </w:tbl>
    <w:p w14:paraId="7326BB0A" w14:textId="77777777" w:rsidR="00EF3DFB" w:rsidRDefault="00EF3DFB">
      <w:pPr>
        <w:pStyle w:val="BodyText"/>
        <w:spacing w:before="11"/>
        <w:rPr>
          <w:b/>
          <w:sz w:val="27"/>
        </w:rPr>
      </w:pPr>
    </w:p>
    <w:p w14:paraId="7326BB0B" w14:textId="77777777" w:rsidR="00EF3DFB" w:rsidRDefault="00D27C17">
      <w:pPr>
        <w:pStyle w:val="BodyText"/>
        <w:spacing w:line="249" w:lineRule="auto"/>
        <w:ind w:left="190" w:right="169"/>
        <w:jc w:val="both"/>
      </w:pPr>
      <w:r>
        <w:t>Ravichandra K. Saligram has served as President and Chief Executive Officer of the Company and as a member of the Company's Board of Directors since October 2019. Prior to joining the Company, Mr. Saligram was C</w:t>
      </w:r>
      <w:r>
        <w:t>hief Executive Officer and Director of Ritchie Bros. Auctioneers Incorporated, the world’s largest onsite/online industrial equipment auctioneer, from July 2014 until July 2019. From November 2010 until November 2013, Mr. Saligram was Chief Executive Offic</w:t>
      </w:r>
      <w:r>
        <w:t>er, President, and a member of the Board of Directors of OfficeMax Inc., an omnichannel provider of workplace products, services and solutions where he oversaw the historic 2013 merger of OfficeMax and Office Depot. From 2003 through November 2010, Mr. Sal</w:t>
      </w:r>
      <w:r>
        <w:t xml:space="preserve">igram served in executive management positions with ARAMARK, a global provider of food services, facilities management and uniforms, including as President of ARAMARK International, Chief Globalization Officer and Executive Vice President of ARAMARK. From </w:t>
      </w:r>
      <w:r>
        <w:t>1994 through 2002, Mr. Saligram served in various capacities for the InterContinental Hotels Group, a global hospitality company, including as President of Brands and Franchise for North America; Chief Marketing Officer and Managing Director, Global Strate</w:t>
      </w:r>
      <w:r>
        <w:t>gy; President, International; and President, Asia Pacific. Earlier in his career, Mr. Saligram held various general and brand management roles at S.C. Johnson &amp; Son, Inc., a consumer products company. Mr. Saligram began his career at Leo Burnett, an advert</w:t>
      </w:r>
      <w:r>
        <w:t>ising firm. He has served on the Board of Directors of Church &amp; Dwight Co., Inc. since 2006. Mr. Saligram brings to the Board an extensive background in consumer brands, omnichannel commerce and global operations as well as experience leading corporate tra</w:t>
      </w:r>
      <w:r>
        <w:t>nsformations and building innovative and diverse employee cultures. He also brings an important perspective to the Board as the President and Chief Executive Officer of the</w:t>
      </w:r>
      <w:r>
        <w:rPr>
          <w:spacing w:val="-8"/>
        </w:rPr>
        <w:t xml:space="preserve"> </w:t>
      </w:r>
      <w:r>
        <w:t>Company.</w:t>
      </w:r>
    </w:p>
    <w:p w14:paraId="7326BB0C" w14:textId="77777777" w:rsidR="00EF3DFB" w:rsidRDefault="00EF3DFB">
      <w:pPr>
        <w:pStyle w:val="BodyText"/>
        <w:rPr>
          <w:sz w:val="22"/>
        </w:rPr>
      </w:pPr>
    </w:p>
    <w:p w14:paraId="7326BB0D" w14:textId="77777777" w:rsidR="00EF3DFB" w:rsidRDefault="00D27C17">
      <w:pPr>
        <w:pStyle w:val="BodyText"/>
        <w:spacing w:line="249" w:lineRule="auto"/>
        <w:ind w:left="190" w:right="169"/>
        <w:jc w:val="both"/>
      </w:pPr>
      <w:r>
        <w:t>Christopher H. Peterson has been the Executive Vice President, Chief Fina</w:t>
      </w:r>
      <w:r>
        <w:t>ncial Officer of Newell Brands since December 2018 and President, Business Operations since February 2020. He also served as Interim Chief Executive Officer from June 28, 2019 until October 2, 2019. From April 2018 to August 2018, Mr. Peterson served as th</w:t>
      </w:r>
      <w:r>
        <w:t xml:space="preserve">e Executive Vice President and Chief Operating Officer, Operations of Revlon, Inc., a global beauty company. Before that, Mr. Peterson served as both Revlon’s Chief Operating Officer, Operations and Chief Financial Officer from June 2017 until March 2018, </w:t>
      </w:r>
      <w:r>
        <w:t>and leading into that, he held the title of Chief Operating Officer, Operations from April 2017 until June 2017. Prior to his positions at Revlon, Mr. Peterson held several senior management roles at Ralph Lauren Corporation, a designer, marketer, and dist</w:t>
      </w:r>
      <w:r>
        <w:t>ributor of premium lifestyle products, including serving as President, Global Brands from April 2015 to May 2016, Executive Vice President, Chief Administrative Officer &amp; Chief Financial Officer from November 2013 to March 2015, and Senior Vice President a</w:t>
      </w:r>
      <w:r>
        <w:t>nd Chief Financial Officer from September 2012 to November 2013. Previously, Mr. Peterson held several financial management positions at The Procter &amp; Gamble Company, a global consumer products company, from 1992 to 2012. Mr. Peterson serves on the Board o</w:t>
      </w:r>
      <w:r>
        <w:t>f Directors of BJ’s Wholesale Club Holdings, Inc.</w:t>
      </w:r>
    </w:p>
    <w:p w14:paraId="7326BB0E" w14:textId="77777777" w:rsidR="00EF3DFB" w:rsidRDefault="00EF3DFB">
      <w:pPr>
        <w:pStyle w:val="BodyText"/>
        <w:spacing w:before="8"/>
        <w:rPr>
          <w:sz w:val="21"/>
        </w:rPr>
      </w:pPr>
    </w:p>
    <w:p w14:paraId="7326BB0F" w14:textId="77777777" w:rsidR="00EF3DFB" w:rsidRDefault="00D27C17">
      <w:pPr>
        <w:pStyle w:val="BodyText"/>
        <w:spacing w:line="249" w:lineRule="auto"/>
        <w:ind w:left="190" w:right="170"/>
        <w:jc w:val="both"/>
      </w:pPr>
      <w:r>
        <w:t>Bradford R. Turner has been the Chief Legal and Administrative Officer and Corporate Secretary since August 2017 and served as Chief Legal Officer and Corporate Secretary from April 2016 to August 2017. Pr</w:t>
      </w:r>
      <w:r>
        <w:t>ior to this role, he served as Senior Vice President, General Counsel, and Corporate Secretary from March 2015 to March 2016. Mr. Turner joined the Company in 2004 and has served in various legal roles including Vice President and Deputy General Counsel fr</w:t>
      </w:r>
      <w:r>
        <w:t>om October 2011 to March 2015, and Group Vice President &amp; General Counsel, Office Products, from June 2007 to October 2011.</w:t>
      </w:r>
    </w:p>
    <w:p w14:paraId="7326BB10" w14:textId="77777777" w:rsidR="00EF3DFB" w:rsidRDefault="00EF3DFB">
      <w:pPr>
        <w:spacing w:line="249" w:lineRule="auto"/>
        <w:jc w:val="both"/>
        <w:sectPr w:rsidR="00EF3DFB">
          <w:pgSz w:w="12240" w:h="15840"/>
          <w:pgMar w:top="600" w:right="640" w:bottom="480" w:left="620" w:header="0" w:footer="291" w:gutter="0"/>
          <w:cols w:space="720"/>
        </w:sectPr>
      </w:pPr>
    </w:p>
    <w:p w14:paraId="7326BB11" w14:textId="77777777" w:rsidR="00EF3DFB" w:rsidRDefault="00D27C17">
      <w:pPr>
        <w:pStyle w:val="BodyText"/>
        <w:spacing w:before="72" w:line="249" w:lineRule="auto"/>
        <w:ind w:left="190" w:right="168"/>
        <w:jc w:val="both"/>
      </w:pPr>
      <w:r>
        <w:lastRenderedPageBreak/>
        <w:t>Stephen B. Parsons has served as Chief Human Resources Officer of the Company since October 2019. Prior to joining the Company,</w:t>
      </w:r>
      <w:r>
        <w:rPr>
          <w:spacing w:val="-3"/>
        </w:rPr>
        <w:t xml:space="preserve"> </w:t>
      </w:r>
      <w:r>
        <w:t>Mr.</w:t>
      </w:r>
      <w:r>
        <w:rPr>
          <w:spacing w:val="-3"/>
        </w:rPr>
        <w:t xml:space="preserve"> </w:t>
      </w:r>
      <w:r>
        <w:t>Parsons</w:t>
      </w:r>
      <w:r>
        <w:rPr>
          <w:spacing w:val="-3"/>
        </w:rPr>
        <w:t xml:space="preserve"> </w:t>
      </w:r>
      <w:r>
        <w:t>served</w:t>
      </w:r>
      <w:r>
        <w:rPr>
          <w:spacing w:val="-3"/>
        </w:rPr>
        <w:t xml:space="preserve"> </w:t>
      </w:r>
      <w:r>
        <w:t>as</w:t>
      </w:r>
      <w:r>
        <w:rPr>
          <w:spacing w:val="-3"/>
        </w:rPr>
        <w:t xml:space="preserve"> </w:t>
      </w:r>
      <w:r>
        <w:t>Global</w:t>
      </w:r>
      <w:r>
        <w:rPr>
          <w:spacing w:val="-3"/>
        </w:rPr>
        <w:t xml:space="preserve"> </w:t>
      </w:r>
      <w:r>
        <w:t>Operating</w:t>
      </w:r>
      <w:r>
        <w:rPr>
          <w:spacing w:val="-3"/>
        </w:rPr>
        <w:t xml:space="preserve"> </w:t>
      </w:r>
      <w:r>
        <w:t>Partner,</w:t>
      </w:r>
      <w:r>
        <w:rPr>
          <w:spacing w:val="-3"/>
        </w:rPr>
        <w:t xml:space="preserve"> </w:t>
      </w:r>
      <w:r>
        <w:t>Z</w:t>
      </w:r>
      <w:r>
        <w:rPr>
          <w:spacing w:val="-3"/>
        </w:rPr>
        <w:t xml:space="preserve"> </w:t>
      </w:r>
      <w:r>
        <w:t>Capital</w:t>
      </w:r>
      <w:r>
        <w:rPr>
          <w:spacing w:val="-3"/>
        </w:rPr>
        <w:t xml:space="preserve"> </w:t>
      </w:r>
      <w:r>
        <w:t>Partners,</w:t>
      </w:r>
      <w:r>
        <w:rPr>
          <w:spacing w:val="-3"/>
        </w:rPr>
        <w:t xml:space="preserve"> </w:t>
      </w:r>
      <w:r>
        <w:t>the</w:t>
      </w:r>
      <w:r>
        <w:rPr>
          <w:spacing w:val="-3"/>
        </w:rPr>
        <w:t xml:space="preserve"> </w:t>
      </w:r>
      <w:r>
        <w:t>private</w:t>
      </w:r>
      <w:r>
        <w:rPr>
          <w:spacing w:val="-3"/>
        </w:rPr>
        <w:t xml:space="preserve"> </w:t>
      </w:r>
      <w:r>
        <w:t>equity</w:t>
      </w:r>
      <w:r>
        <w:rPr>
          <w:spacing w:val="-3"/>
        </w:rPr>
        <w:t xml:space="preserve"> </w:t>
      </w:r>
      <w:r>
        <w:t>fund</w:t>
      </w:r>
      <w:r>
        <w:rPr>
          <w:spacing w:val="-3"/>
        </w:rPr>
        <w:t xml:space="preserve"> </w:t>
      </w:r>
      <w:r>
        <w:t>management</w:t>
      </w:r>
      <w:r>
        <w:rPr>
          <w:spacing w:val="-3"/>
        </w:rPr>
        <w:t xml:space="preserve"> </w:t>
      </w:r>
      <w:r>
        <w:t>arm</w:t>
      </w:r>
      <w:r>
        <w:rPr>
          <w:spacing w:val="-3"/>
        </w:rPr>
        <w:t xml:space="preserve"> </w:t>
      </w:r>
      <w:r>
        <w:t>of</w:t>
      </w:r>
      <w:r>
        <w:rPr>
          <w:spacing w:val="-3"/>
        </w:rPr>
        <w:t xml:space="preserve"> </w:t>
      </w:r>
      <w:r>
        <w:t>Z</w:t>
      </w:r>
      <w:r>
        <w:rPr>
          <w:spacing w:val="-3"/>
        </w:rPr>
        <w:t xml:space="preserve"> </w:t>
      </w:r>
      <w:r>
        <w:t>Capital Group si</w:t>
      </w:r>
      <w:r>
        <w:t>nce 2016. Prior to that, he served as Chief Human Resources Officer at Stage Stores, Inc. from 2014 to 2016 and as Global Chief Human Resources Officer at OfficeMax from 2011 to 2014. Earlier in his career, Mr. Parsons held a variety of senior human resour</w:t>
      </w:r>
      <w:r>
        <w:t>ces roles at Rite Aid Corporation, Sears Holdings Corporation and Whirlpool</w:t>
      </w:r>
      <w:r>
        <w:rPr>
          <w:spacing w:val="-13"/>
        </w:rPr>
        <w:t xml:space="preserve"> </w:t>
      </w:r>
      <w:r>
        <w:t>Corporation.</w:t>
      </w:r>
    </w:p>
    <w:p w14:paraId="7326BB12" w14:textId="77777777" w:rsidR="00EF3DFB" w:rsidRDefault="00EF3DFB">
      <w:pPr>
        <w:pStyle w:val="BodyText"/>
        <w:spacing w:before="2"/>
        <w:rPr>
          <w:sz w:val="21"/>
        </w:rPr>
      </w:pPr>
    </w:p>
    <w:p w14:paraId="7326BB13" w14:textId="77777777" w:rsidR="00EF3DFB" w:rsidRDefault="00D27C17">
      <w:pPr>
        <w:pStyle w:val="BodyText"/>
        <w:spacing w:line="249" w:lineRule="auto"/>
        <w:ind w:left="190" w:right="169"/>
        <w:jc w:val="both"/>
      </w:pPr>
      <w:r>
        <w:t>Michael M. Hayes has served as Chief Customer Officer of the Company since April 2020. Prior to joining the Company, from January 2011 to April 2020, Mr. Hayes served</w:t>
      </w:r>
      <w:r>
        <w:t xml:space="preserve"> as the Senior Vice President, Sales &amp; Sales Strategy of Georgia-Pacific LLC. Previously, he led Georgia-Pacific LLC's North American sales organization as Chief Sales Officer. Prior to joining Georgia-Pacific LLC in 2008, Mr. Hayes spent numerous years in</w:t>
      </w:r>
      <w:r>
        <w:t xml:space="preserve"> sales and marketing leadership roles with the Sara Lee Corporation, Information Resources, Inc., The Dial Corporation and the Small Business Association. Mr. Hayes is a decorated U.S. military veteran, serving six years as a Navy Corpsman with the United </w:t>
      </w:r>
      <w:r>
        <w:t>States Marine Corps, and on active duty in Operations Desert Shield and Desert Storm.</w:t>
      </w:r>
    </w:p>
    <w:p w14:paraId="7326BB14" w14:textId="77777777" w:rsidR="00EF3DFB" w:rsidRDefault="00EF3DFB">
      <w:pPr>
        <w:pStyle w:val="BodyText"/>
        <w:spacing w:before="4"/>
        <w:rPr>
          <w:sz w:val="21"/>
        </w:rPr>
      </w:pPr>
    </w:p>
    <w:p w14:paraId="7326BB15" w14:textId="77777777" w:rsidR="00EF3DFB" w:rsidRDefault="00D27C17">
      <w:pPr>
        <w:pStyle w:val="BodyText"/>
        <w:spacing w:line="249" w:lineRule="auto"/>
        <w:ind w:left="190" w:right="169"/>
        <w:jc w:val="both"/>
      </w:pPr>
      <w:r>
        <w:t>Laurel M. Hurd has served as Segment President, Learning and Development, leading both Newell Brands' Baby and Writing businesses since February 2019. Previously, Ms. Hurd was the Division Chief Executive Officer for the Company’s Writing division starting</w:t>
      </w:r>
      <w:r>
        <w:t xml:space="preserve"> in February 2018. From 2016 to February 2018, she served as CEO of the Company’s Baby division. From May 2014 until 2016, Ms. Hurd was President of Baby and Parenting, leading the acquisition of Baby Jogger and later assuming leadership of the Home and Ba</w:t>
      </w:r>
      <w:r>
        <w:t>by segment, including the Calphalon®, Goody®, and Rubbermaid® consumer brands. From 2012 to 2014, Ms. Hurd was Vice President, Global Development, leading both Marketing and Research &amp; Development for the Graco®, Aprica®, and Teutonia® brands</w:t>
      </w:r>
      <w:r>
        <w:rPr>
          <w:spacing w:val="-3"/>
        </w:rPr>
        <w:t xml:space="preserve"> </w:t>
      </w:r>
      <w:r>
        <w:t>globally.</w:t>
      </w:r>
    </w:p>
    <w:p w14:paraId="7326BB16" w14:textId="77777777" w:rsidR="00EF3DFB" w:rsidRDefault="00EF3DFB">
      <w:pPr>
        <w:pStyle w:val="BodyText"/>
        <w:spacing w:before="5"/>
        <w:rPr>
          <w:sz w:val="21"/>
        </w:rPr>
      </w:pPr>
    </w:p>
    <w:p w14:paraId="7326BB17" w14:textId="77777777" w:rsidR="00EF3DFB" w:rsidRDefault="00D27C17">
      <w:pPr>
        <w:pStyle w:val="BodyText"/>
        <w:spacing w:line="249" w:lineRule="auto"/>
        <w:ind w:left="190" w:right="168"/>
        <w:jc w:val="both"/>
      </w:pPr>
      <w:r>
        <w:t>Kr</w:t>
      </w:r>
      <w:r>
        <w:t xml:space="preserve">istine K. Malkoski has served as Business Unit CEO, Food of the Company since February 2020. Prior to joining the Company, from April 2019 to January 2020, Ms. Malkoski was Chief Executive Officer, Americas, for Arc International, a global manufacturer of </w:t>
      </w:r>
      <w:r>
        <w:t>glassware products for the housewares industry, where she was responsible for housewares sales, marketing, manufacturing and distribution across North and South America. From January 2015 to August 2017, Ms. Malkoski served as President, Global Business an</w:t>
      </w:r>
      <w:r>
        <w:t>d Chief Commercial Officer for World Kitchen, a privately owned international housewares company, where she oversaw operations for its retail stores, and, previously, from June 2012 to January 2015, as President, North America, Chief Innovation Officer, an</w:t>
      </w:r>
      <w:r>
        <w:t>d President North America Household for World Kitchen. Prior thereto, Ms. Malkoski served as Vice President and General Manager of the Craftsman division of Sears Holding Company and in various other management roles at Sears, Ubiquity Brands and Procter &amp;</w:t>
      </w:r>
      <w:r>
        <w:t xml:space="preserve"> Gamble. From 1997 to 2002, Ms. Malkoski founded and served as President and Chief Operating Officer of Pharmaceutical Corporation of America, the first contract product management company for the prescription drug</w:t>
      </w:r>
      <w:r>
        <w:rPr>
          <w:spacing w:val="-1"/>
        </w:rPr>
        <w:t xml:space="preserve"> </w:t>
      </w:r>
      <w:r>
        <w:t>industry.</w:t>
      </w:r>
    </w:p>
    <w:p w14:paraId="7326BB18" w14:textId="77777777" w:rsidR="00EF3DFB" w:rsidRDefault="00EF3DFB">
      <w:pPr>
        <w:pStyle w:val="BodyText"/>
        <w:spacing w:before="7"/>
        <w:rPr>
          <w:sz w:val="21"/>
        </w:rPr>
      </w:pPr>
    </w:p>
    <w:p w14:paraId="7326BB19" w14:textId="77777777" w:rsidR="00EF3DFB" w:rsidRDefault="00D27C17">
      <w:pPr>
        <w:pStyle w:val="BodyText"/>
        <w:spacing w:line="249" w:lineRule="auto"/>
        <w:ind w:left="190" w:right="168"/>
        <w:jc w:val="both"/>
      </w:pPr>
      <w:r>
        <w:t>Michael P. McDermott has serve</w:t>
      </w:r>
      <w:r>
        <w:t>d as Business Unit CEO, Commercial of the Company since January 2020. Prior to joining the Company, Mr. McDermott served as President of Omni-Channel Retail at Bass Pro Shops in 2019. Previously, Mr. McDermott served as Executive Vice President and Chief C</w:t>
      </w:r>
      <w:r>
        <w:t>ustomer Officer at Lowe's Companies Inc. from 2016 to 2019; Chief Merchandising Officer from 2014 to 2016; and Senior Vice President from 2011-2013. Prior to working with Lowe's Companies Inc., Mr. McDermott held various management roles at General Electri</w:t>
      </w:r>
      <w:r>
        <w:t>c Company.</w:t>
      </w:r>
    </w:p>
    <w:p w14:paraId="7326BB1A" w14:textId="77777777" w:rsidR="00EF3DFB" w:rsidRDefault="00EF3DFB">
      <w:pPr>
        <w:pStyle w:val="BodyText"/>
        <w:spacing w:before="3"/>
        <w:rPr>
          <w:sz w:val="21"/>
        </w:rPr>
      </w:pPr>
    </w:p>
    <w:p w14:paraId="7326BB1B" w14:textId="77777777" w:rsidR="00EF3DFB" w:rsidRDefault="00D27C17">
      <w:pPr>
        <w:pStyle w:val="BodyText"/>
        <w:spacing w:line="249" w:lineRule="auto"/>
        <w:ind w:left="190" w:right="169"/>
        <w:jc w:val="both"/>
      </w:pPr>
      <w:r>
        <w:t>James A. Pisani has served as Business Unit CEO, Outdoor and Recreation of the Company since May 2020. Prior to joining the Company, Mr. Pisani served as Global Brand President of Timberland LLC from August 2016 to April 2020 and, from August 2</w:t>
      </w:r>
      <w:r>
        <w:t>018 to April 2020, on the executive leadership team at VF Corporation, where he was responsible for the oversight and strategic direction of the Timberland brand worldwide. Prior to his work at Timberland LLC, Mr. Pisani served as President of VF Corporati</w:t>
      </w:r>
      <w:r>
        <w:t>on's Licensed Sports Group from July 2008 to August 2016. Previously, Mr. Pisani served in various capacities at Kraft Foods and at PepsiCo, where he was Vice President of Business</w:t>
      </w:r>
      <w:r>
        <w:rPr>
          <w:spacing w:val="-12"/>
        </w:rPr>
        <w:t xml:space="preserve"> </w:t>
      </w:r>
      <w:r>
        <w:t>Development.</w:t>
      </w:r>
    </w:p>
    <w:p w14:paraId="7326BB1C" w14:textId="77777777" w:rsidR="00EF3DFB" w:rsidRDefault="00EF3DFB">
      <w:pPr>
        <w:pStyle w:val="BodyText"/>
        <w:spacing w:before="3"/>
        <w:rPr>
          <w:sz w:val="21"/>
        </w:rPr>
      </w:pPr>
    </w:p>
    <w:p w14:paraId="7326BB1D" w14:textId="77777777" w:rsidR="00EF3DFB" w:rsidRDefault="00D27C17">
      <w:pPr>
        <w:pStyle w:val="BodyText"/>
        <w:spacing w:line="249" w:lineRule="auto"/>
        <w:ind w:left="190" w:right="167"/>
        <w:jc w:val="both"/>
      </w:pPr>
      <w:r>
        <w:t>Christine M. Robins has served as Business Unit CEO, Applianc</w:t>
      </w:r>
      <w:r>
        <w:t>es and Cookware of the Company since June 2020. Prior to joining the Company, from June 2014 to August 2019, Ms. Robins served as President and Chief Executive Officer at Char-Broil, LLC, a manufacturer of gas, charcoal and electric grills, smokers, fryers</w:t>
      </w:r>
      <w:r>
        <w:t>, and grilling accessories. Prior to joining Char-Broil, LLC, from 2009 to 2014, Ms. Robins was President, CEO and Board Member at BodyMedia, Inc., a medical and consumer technology company. From 2006 to 2009, she was President and CEO of Philips Oral Heal</w:t>
      </w:r>
      <w:r>
        <w:t>thcare, a global division of Philips Electronics. Prior thereto, from 2005 to 2006, Ms. Robins served as Vice President of Global Innovation and Marketing for Philips Oral Healthcare. Ms. Robins began her career in finance and brand management and served i</w:t>
      </w:r>
      <w:r>
        <w:t>n various roles at S.C. Johnson &amp; Son, Inc., a consumer products company. Ms. Robins currently serves on the board of Husqvarna Group, a Swedish manufacturer of outdoor power equipment.</w:t>
      </w:r>
    </w:p>
    <w:p w14:paraId="7326BB1E" w14:textId="77777777" w:rsidR="00EF3DFB" w:rsidRDefault="00EF3DFB">
      <w:pPr>
        <w:spacing w:line="249" w:lineRule="auto"/>
        <w:jc w:val="both"/>
        <w:sectPr w:rsidR="00EF3DFB">
          <w:pgSz w:w="12240" w:h="15840"/>
          <w:pgMar w:top="600" w:right="640" w:bottom="480" w:left="620" w:header="0" w:footer="291" w:gutter="0"/>
          <w:cols w:space="720"/>
        </w:sectPr>
      </w:pPr>
    </w:p>
    <w:p w14:paraId="7326BB1F" w14:textId="77777777" w:rsidR="00EF3DFB" w:rsidRDefault="00D27C17">
      <w:pPr>
        <w:pStyle w:val="Heading2"/>
        <w:spacing w:before="68"/>
        <w:jc w:val="left"/>
      </w:pPr>
      <w:bookmarkStart w:id="19" w:name="Part_II"/>
      <w:bookmarkStart w:id="20" w:name="_bookmark8"/>
      <w:bookmarkEnd w:id="19"/>
      <w:bookmarkEnd w:id="20"/>
      <w:r>
        <w:lastRenderedPageBreak/>
        <w:t>PART II</w:t>
      </w:r>
    </w:p>
    <w:p w14:paraId="7326BB20" w14:textId="77777777" w:rsidR="00EF3DFB" w:rsidRDefault="00D27C17">
      <w:pPr>
        <w:spacing w:before="130" w:line="249" w:lineRule="auto"/>
        <w:ind w:left="190" w:right="169"/>
        <w:jc w:val="both"/>
        <w:rPr>
          <w:b/>
          <w:sz w:val="20"/>
        </w:rPr>
      </w:pPr>
      <w:bookmarkStart w:id="21" w:name="Item_5._Market_for_Registrant’s_Common_E"/>
      <w:bookmarkStart w:id="22" w:name="_bookmark9"/>
      <w:bookmarkEnd w:id="21"/>
      <w:bookmarkEnd w:id="22"/>
      <w:r>
        <w:rPr>
          <w:b/>
          <w:sz w:val="20"/>
        </w:rPr>
        <w:t>ITEM 5. MARKET FOR REGISTRANT’S COMMON EQUITY, RELATED STOCKHOLDER MATTERS AND ISSUER PURCHASES OF EQUITY SECURITIES</w:t>
      </w:r>
    </w:p>
    <w:p w14:paraId="7326BB21" w14:textId="77777777" w:rsidR="00EF3DFB" w:rsidRDefault="00EF3DFB">
      <w:pPr>
        <w:pStyle w:val="BodyText"/>
        <w:spacing w:before="4"/>
        <w:rPr>
          <w:b/>
          <w:sz w:val="21"/>
        </w:rPr>
      </w:pPr>
    </w:p>
    <w:p w14:paraId="7326BB22" w14:textId="77777777" w:rsidR="00EF3DFB" w:rsidRDefault="00D27C17">
      <w:pPr>
        <w:pStyle w:val="BodyText"/>
        <w:spacing w:line="249" w:lineRule="auto"/>
        <w:ind w:left="190" w:right="170"/>
        <w:jc w:val="both"/>
      </w:pPr>
      <w:r>
        <w:t>The Company’s common stock is listed on the Nasdaq Stock Market (symbol: NWL). At February 12, 2021 there were 9,439 stockholders of recor</w:t>
      </w:r>
      <w:r>
        <w:t>d.</w:t>
      </w:r>
    </w:p>
    <w:p w14:paraId="7326BB23" w14:textId="77777777" w:rsidR="00EF3DFB" w:rsidRDefault="00EF3DFB">
      <w:pPr>
        <w:pStyle w:val="BodyText"/>
        <w:spacing w:before="8"/>
      </w:pPr>
    </w:p>
    <w:p w14:paraId="7326BB24" w14:textId="77777777" w:rsidR="00EF3DFB" w:rsidRDefault="00D27C17">
      <w:pPr>
        <w:pStyle w:val="Heading2"/>
        <w:jc w:val="left"/>
      </w:pPr>
      <w:r>
        <w:t>Performance Graph</w:t>
      </w:r>
    </w:p>
    <w:p w14:paraId="7326BB25" w14:textId="77777777" w:rsidR="00EF3DFB" w:rsidRDefault="00D27C17">
      <w:pPr>
        <w:pStyle w:val="BodyText"/>
        <w:spacing w:before="133" w:line="249" w:lineRule="auto"/>
        <w:ind w:left="190" w:right="168"/>
        <w:jc w:val="both"/>
      </w:pPr>
      <w:r>
        <w:t>The following Performance Graph and related information shall not be deemed “soliciting material” or to be “filed” with the Securities and Exchange Commission, nor shall such information be incorporated by reference into any future fi</w:t>
      </w:r>
      <w:r>
        <w:t>ling under the Securities Act of 1933 or Securities Exchange Act of 1934, each as amended, except to the extent that the Company specifically incorporates it by reference into such filing.</w:t>
      </w:r>
    </w:p>
    <w:p w14:paraId="7326BB26" w14:textId="77777777" w:rsidR="00EF3DFB" w:rsidRDefault="00EF3DFB">
      <w:pPr>
        <w:pStyle w:val="BodyText"/>
        <w:spacing w:before="2"/>
        <w:rPr>
          <w:sz w:val="21"/>
        </w:rPr>
      </w:pPr>
    </w:p>
    <w:p w14:paraId="7326BB27" w14:textId="77777777" w:rsidR="00EF3DFB" w:rsidRDefault="00D27C17">
      <w:pPr>
        <w:pStyle w:val="BodyText"/>
        <w:spacing w:line="249" w:lineRule="auto"/>
        <w:ind w:left="190" w:right="168"/>
        <w:jc w:val="both"/>
      </w:pPr>
      <w:r>
        <w:t>The graph below compares total stockholder return on the Company’s</w:t>
      </w:r>
      <w:r>
        <w:t xml:space="preserve"> common stock from December  31,  2015  through  December 31, 2020 with the cumulative total return of (a) the Standard and Poor’s (“S&amp;P”) 500 Index, and (b) the Dow Jones ("DJ") Consumer Goods Index, assuming a $100 investment made on December 31, 2015. E</w:t>
      </w:r>
      <w:r>
        <w:t>ach of the three measures of cumulative total return assumes reinvestment of dividends, if applicable. The stock performance shown on the graph below is based on historical data and is not indicative of, or intended to forecast, possible future performance</w:t>
      </w:r>
      <w:r>
        <w:t xml:space="preserve"> of the Company’s</w:t>
      </w:r>
      <w:r>
        <w:rPr>
          <w:spacing w:val="-36"/>
        </w:rPr>
        <w:t xml:space="preserve"> </w:t>
      </w:r>
      <w:r>
        <w:t>common stock.</w:t>
      </w:r>
    </w:p>
    <w:p w14:paraId="7326BB28" w14:textId="77777777" w:rsidR="00EF3DFB" w:rsidRDefault="00EF3DFB">
      <w:pPr>
        <w:pStyle w:val="BodyText"/>
      </w:pPr>
    </w:p>
    <w:p w14:paraId="7326BB29" w14:textId="77777777" w:rsidR="00EF3DFB" w:rsidRDefault="00EF3DFB">
      <w:pPr>
        <w:pStyle w:val="BodyText"/>
      </w:pPr>
    </w:p>
    <w:p w14:paraId="7326BB2A" w14:textId="77777777" w:rsidR="00EF3DFB" w:rsidRDefault="00EF3DFB">
      <w:pPr>
        <w:pStyle w:val="BodyText"/>
        <w:spacing w:before="5"/>
        <w:rPr>
          <w:sz w:val="16"/>
        </w:rPr>
      </w:pPr>
    </w:p>
    <w:p w14:paraId="7326BB2B" w14:textId="77777777" w:rsidR="00EF3DFB" w:rsidRDefault="00D27C17">
      <w:pPr>
        <w:spacing w:before="96"/>
        <w:ind w:left="3360"/>
        <w:rPr>
          <w:b/>
          <w:sz w:val="19"/>
        </w:rPr>
      </w:pPr>
      <w:r>
        <w:rPr>
          <w:b/>
          <w:w w:val="105"/>
          <w:sz w:val="19"/>
        </w:rPr>
        <w:t>Comparison of Cumulative Five Year Total Return</w:t>
      </w:r>
    </w:p>
    <w:p w14:paraId="7326BB2C" w14:textId="464EE309" w:rsidR="00EF3DFB" w:rsidRDefault="00D27C17">
      <w:pPr>
        <w:spacing w:before="172"/>
        <w:ind w:left="1380"/>
        <w:rPr>
          <w:sz w:val="19"/>
        </w:rPr>
      </w:pPr>
      <w:r>
        <w:rPr>
          <w:noProof/>
        </w:rPr>
        <mc:AlternateContent>
          <mc:Choice Requires="wpg">
            <w:drawing>
              <wp:anchor distT="0" distB="0" distL="114300" distR="114300" simplePos="0" relativeHeight="1240" behindDoc="0" locked="0" layoutInCell="1" allowOverlap="1" wp14:anchorId="7326D6CD" wp14:editId="4117BA32">
                <wp:simplePos x="0" y="0"/>
                <wp:positionH relativeFrom="page">
                  <wp:posOffset>1651000</wp:posOffset>
                </wp:positionH>
                <wp:positionV relativeFrom="paragraph">
                  <wp:posOffset>154940</wp:posOffset>
                </wp:positionV>
                <wp:extent cx="4848225" cy="3171825"/>
                <wp:effectExtent l="3175" t="4445" r="6350" b="5080"/>
                <wp:wrapNone/>
                <wp:docPr id="560"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3171825"/>
                          <a:chOff x="2600" y="244"/>
                          <a:chExt cx="7635" cy="4995"/>
                        </a:xfrm>
                      </wpg:grpSpPr>
                      <wps:wsp>
                        <wps:cNvPr id="561" name="Line 560"/>
                        <wps:cNvCnPr>
                          <a:cxnSpLocks noChangeShapeType="1"/>
                        </wps:cNvCnPr>
                        <wps:spPr bwMode="auto">
                          <a:xfrm>
                            <a:off x="2615" y="5157"/>
                            <a:ext cx="7620" cy="0"/>
                          </a:xfrm>
                          <a:prstGeom prst="line">
                            <a:avLst/>
                          </a:prstGeom>
                          <a:noFill/>
                          <a:ln w="9525">
                            <a:solidFill>
                              <a:srgbClr val="E6E6E6"/>
                            </a:solidFill>
                            <a:prstDash val="solid"/>
                            <a:round/>
                            <a:headEnd/>
                            <a:tailEnd/>
                          </a:ln>
                          <a:extLst>
                            <a:ext uri="{909E8E84-426E-40DD-AFC4-6F175D3DCCD1}">
                              <a14:hiddenFill xmlns:a14="http://schemas.microsoft.com/office/drawing/2010/main">
                                <a:noFill/>
                              </a14:hiddenFill>
                            </a:ext>
                          </a:extLst>
                        </wps:spPr>
                        <wps:bodyPr/>
                      </wps:wsp>
                      <wps:wsp>
                        <wps:cNvPr id="562" name="AutoShape 559"/>
                        <wps:cNvSpPr>
                          <a:spLocks/>
                        </wps:cNvSpPr>
                        <wps:spPr bwMode="auto">
                          <a:xfrm>
                            <a:off x="1095" y="8269"/>
                            <a:ext cx="7620" cy="90"/>
                          </a:xfrm>
                          <a:custGeom>
                            <a:avLst/>
                            <a:gdLst>
                              <a:gd name="T0" fmla="+- 0 3238 1095"/>
                              <a:gd name="T1" fmla="*/ T0 w 7620"/>
                              <a:gd name="T2" fmla="+- 0 5149 8269"/>
                              <a:gd name="T3" fmla="*/ 5149 h 90"/>
                              <a:gd name="T4" fmla="+- 0 3238 1095"/>
                              <a:gd name="T5" fmla="*/ T4 w 7620"/>
                              <a:gd name="T6" fmla="+- 0 5239 8269"/>
                              <a:gd name="T7" fmla="*/ 5239 h 90"/>
                              <a:gd name="T8" fmla="+- 0 4513 1095"/>
                              <a:gd name="T9" fmla="*/ T8 w 7620"/>
                              <a:gd name="T10" fmla="+- 0 5149 8269"/>
                              <a:gd name="T11" fmla="*/ 5149 h 90"/>
                              <a:gd name="T12" fmla="+- 0 4513 1095"/>
                              <a:gd name="T13" fmla="*/ T12 w 7620"/>
                              <a:gd name="T14" fmla="+- 0 5239 8269"/>
                              <a:gd name="T15" fmla="*/ 5239 h 90"/>
                              <a:gd name="T16" fmla="+- 0 5788 1095"/>
                              <a:gd name="T17" fmla="*/ T16 w 7620"/>
                              <a:gd name="T18" fmla="+- 0 5149 8269"/>
                              <a:gd name="T19" fmla="*/ 5149 h 90"/>
                              <a:gd name="T20" fmla="+- 0 5788 1095"/>
                              <a:gd name="T21" fmla="*/ T20 w 7620"/>
                              <a:gd name="T22" fmla="+- 0 5239 8269"/>
                              <a:gd name="T23" fmla="*/ 5239 h 90"/>
                              <a:gd name="T24" fmla="+- 0 7048 1095"/>
                              <a:gd name="T25" fmla="*/ T24 w 7620"/>
                              <a:gd name="T26" fmla="+- 0 5149 8269"/>
                              <a:gd name="T27" fmla="*/ 5149 h 90"/>
                              <a:gd name="T28" fmla="+- 0 7048 1095"/>
                              <a:gd name="T29" fmla="*/ T28 w 7620"/>
                              <a:gd name="T30" fmla="+- 0 5239 8269"/>
                              <a:gd name="T31" fmla="*/ 5239 h 90"/>
                              <a:gd name="T32" fmla="+- 0 8323 1095"/>
                              <a:gd name="T33" fmla="*/ T32 w 7620"/>
                              <a:gd name="T34" fmla="+- 0 5149 8269"/>
                              <a:gd name="T35" fmla="*/ 5149 h 90"/>
                              <a:gd name="T36" fmla="+- 0 8323 1095"/>
                              <a:gd name="T37" fmla="*/ T36 w 7620"/>
                              <a:gd name="T38" fmla="+- 0 5239 8269"/>
                              <a:gd name="T39" fmla="*/ 5239 h 90"/>
                              <a:gd name="T40" fmla="+- 0 9598 1095"/>
                              <a:gd name="T41" fmla="*/ T40 w 7620"/>
                              <a:gd name="T42" fmla="+- 0 5149 8269"/>
                              <a:gd name="T43" fmla="*/ 5149 h 90"/>
                              <a:gd name="T44" fmla="+- 0 9598 1095"/>
                              <a:gd name="T45" fmla="*/ T44 w 7620"/>
                              <a:gd name="T46" fmla="+- 0 5239 8269"/>
                              <a:gd name="T47" fmla="*/ 5239 h 90"/>
                              <a:gd name="T48" fmla="+- 0 2615 1095"/>
                              <a:gd name="T49" fmla="*/ T48 w 7620"/>
                              <a:gd name="T50" fmla="+- 0 5157 8269"/>
                              <a:gd name="T51" fmla="*/ 5157 h 90"/>
                              <a:gd name="T52" fmla="+- 0 10235 1095"/>
                              <a:gd name="T53" fmla="*/ T52 w 7620"/>
                              <a:gd name="T54" fmla="+- 0 5157 8269"/>
                              <a:gd name="T55" fmla="*/ 515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20" h="90">
                                <a:moveTo>
                                  <a:pt x="2143" y="-3120"/>
                                </a:moveTo>
                                <a:lnTo>
                                  <a:pt x="2143" y="-3030"/>
                                </a:lnTo>
                                <a:moveTo>
                                  <a:pt x="3418" y="-3120"/>
                                </a:moveTo>
                                <a:lnTo>
                                  <a:pt x="3418" y="-3030"/>
                                </a:lnTo>
                                <a:moveTo>
                                  <a:pt x="4693" y="-3120"/>
                                </a:moveTo>
                                <a:lnTo>
                                  <a:pt x="4693" y="-3030"/>
                                </a:lnTo>
                                <a:moveTo>
                                  <a:pt x="5953" y="-3120"/>
                                </a:moveTo>
                                <a:lnTo>
                                  <a:pt x="5953" y="-3030"/>
                                </a:lnTo>
                                <a:moveTo>
                                  <a:pt x="7228" y="-3120"/>
                                </a:moveTo>
                                <a:lnTo>
                                  <a:pt x="7228" y="-3030"/>
                                </a:lnTo>
                                <a:moveTo>
                                  <a:pt x="8503" y="-3120"/>
                                </a:moveTo>
                                <a:lnTo>
                                  <a:pt x="8503" y="-3030"/>
                                </a:lnTo>
                                <a:moveTo>
                                  <a:pt x="1520" y="-3112"/>
                                </a:moveTo>
                                <a:lnTo>
                                  <a:pt x="9140" y="-3112"/>
                                </a:lnTo>
                              </a:path>
                            </a:pathLst>
                          </a:custGeom>
                          <a:noFill/>
                          <a:ln w="9525">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AutoShape 558"/>
                        <wps:cNvSpPr>
                          <a:spLocks/>
                        </wps:cNvSpPr>
                        <wps:spPr bwMode="auto">
                          <a:xfrm>
                            <a:off x="2615" y="3206"/>
                            <a:ext cx="5655" cy="975"/>
                          </a:xfrm>
                          <a:custGeom>
                            <a:avLst/>
                            <a:gdLst>
                              <a:gd name="T0" fmla="+- 0 2615 2615"/>
                              <a:gd name="T1" fmla="*/ T0 w 5655"/>
                              <a:gd name="T2" fmla="+- 0 4182 3207"/>
                              <a:gd name="T3" fmla="*/ 4182 h 975"/>
                              <a:gd name="T4" fmla="+- 0 8270 2615"/>
                              <a:gd name="T5" fmla="*/ T4 w 5655"/>
                              <a:gd name="T6" fmla="+- 0 4182 3207"/>
                              <a:gd name="T7" fmla="*/ 4182 h 975"/>
                              <a:gd name="T8" fmla="+- 0 2615 2615"/>
                              <a:gd name="T9" fmla="*/ T8 w 5655"/>
                              <a:gd name="T10" fmla="+- 0 3207 3207"/>
                              <a:gd name="T11" fmla="*/ 3207 h 975"/>
                              <a:gd name="T12" fmla="+- 0 3185 2615"/>
                              <a:gd name="T13" fmla="*/ T12 w 5655"/>
                              <a:gd name="T14" fmla="+- 0 3207 3207"/>
                              <a:gd name="T15" fmla="*/ 3207 h 975"/>
                            </a:gdLst>
                            <a:ahLst/>
                            <a:cxnLst>
                              <a:cxn ang="0">
                                <a:pos x="T1" y="T3"/>
                              </a:cxn>
                              <a:cxn ang="0">
                                <a:pos x="T5" y="T7"/>
                              </a:cxn>
                              <a:cxn ang="0">
                                <a:pos x="T9" y="T11"/>
                              </a:cxn>
                              <a:cxn ang="0">
                                <a:pos x="T13" y="T15"/>
                              </a:cxn>
                            </a:cxnLst>
                            <a:rect l="0" t="0" r="r" b="b"/>
                            <a:pathLst>
                              <a:path w="5655" h="975">
                                <a:moveTo>
                                  <a:pt x="0" y="975"/>
                                </a:moveTo>
                                <a:lnTo>
                                  <a:pt x="5655" y="975"/>
                                </a:lnTo>
                                <a:moveTo>
                                  <a:pt x="0" y="0"/>
                                </a:moveTo>
                                <a:lnTo>
                                  <a:pt x="570" y="0"/>
                                </a:lnTo>
                              </a:path>
                            </a:pathLst>
                          </a:custGeom>
                          <a:noFill/>
                          <a:ln w="9525">
                            <a:solidFill>
                              <a:srgbClr val="E6E6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AutoShape 557"/>
                        <wps:cNvSpPr>
                          <a:spLocks/>
                        </wps:cNvSpPr>
                        <wps:spPr bwMode="auto">
                          <a:xfrm>
                            <a:off x="1095" y="3371"/>
                            <a:ext cx="7620" cy="1965"/>
                          </a:xfrm>
                          <a:custGeom>
                            <a:avLst/>
                            <a:gdLst>
                              <a:gd name="T0" fmla="+- 0 2615 1095"/>
                              <a:gd name="T1" fmla="*/ T0 w 7620"/>
                              <a:gd name="T2" fmla="+- 0 2217 3372"/>
                              <a:gd name="T3" fmla="*/ 2217 h 1965"/>
                              <a:gd name="T4" fmla="+- 0 10235 1095"/>
                              <a:gd name="T5" fmla="*/ T4 w 7620"/>
                              <a:gd name="T6" fmla="+- 0 2217 3372"/>
                              <a:gd name="T7" fmla="*/ 2217 h 1965"/>
                              <a:gd name="T8" fmla="+- 0 2615 1095"/>
                              <a:gd name="T9" fmla="*/ T8 w 7620"/>
                              <a:gd name="T10" fmla="+- 0 1242 3372"/>
                              <a:gd name="T11" fmla="*/ 1242 h 1965"/>
                              <a:gd name="T12" fmla="+- 0 10235 1095"/>
                              <a:gd name="T13" fmla="*/ T12 w 7620"/>
                              <a:gd name="T14" fmla="+- 0 1242 3372"/>
                              <a:gd name="T15" fmla="*/ 1242 h 1965"/>
                              <a:gd name="T16" fmla="+- 0 2615 1095"/>
                              <a:gd name="T17" fmla="*/ T16 w 7620"/>
                              <a:gd name="T18" fmla="+- 0 252 3372"/>
                              <a:gd name="T19" fmla="*/ 252 h 1965"/>
                              <a:gd name="T20" fmla="+- 0 10235 1095"/>
                              <a:gd name="T21" fmla="*/ T20 w 7620"/>
                              <a:gd name="T22" fmla="+- 0 252 3372"/>
                              <a:gd name="T23" fmla="*/ 252 h 1965"/>
                            </a:gdLst>
                            <a:ahLst/>
                            <a:cxnLst>
                              <a:cxn ang="0">
                                <a:pos x="T1" y="T3"/>
                              </a:cxn>
                              <a:cxn ang="0">
                                <a:pos x="T5" y="T7"/>
                              </a:cxn>
                              <a:cxn ang="0">
                                <a:pos x="T9" y="T11"/>
                              </a:cxn>
                              <a:cxn ang="0">
                                <a:pos x="T13" y="T15"/>
                              </a:cxn>
                              <a:cxn ang="0">
                                <a:pos x="T17" y="T19"/>
                              </a:cxn>
                              <a:cxn ang="0">
                                <a:pos x="T21" y="T23"/>
                              </a:cxn>
                            </a:cxnLst>
                            <a:rect l="0" t="0" r="r" b="b"/>
                            <a:pathLst>
                              <a:path w="7620" h="1965">
                                <a:moveTo>
                                  <a:pt x="1520" y="-1155"/>
                                </a:moveTo>
                                <a:lnTo>
                                  <a:pt x="9140" y="-1155"/>
                                </a:lnTo>
                                <a:moveTo>
                                  <a:pt x="1520" y="-2130"/>
                                </a:moveTo>
                                <a:lnTo>
                                  <a:pt x="9140" y="-2130"/>
                                </a:lnTo>
                                <a:moveTo>
                                  <a:pt x="1520" y="-3120"/>
                                </a:moveTo>
                                <a:lnTo>
                                  <a:pt x="9140" y="-3120"/>
                                </a:lnTo>
                              </a:path>
                            </a:pathLst>
                          </a:custGeom>
                          <a:noFill/>
                          <a:ln w="9525">
                            <a:solidFill>
                              <a:srgbClr val="E6E6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Line 556"/>
                        <wps:cNvCnPr>
                          <a:cxnSpLocks noChangeShapeType="1"/>
                        </wps:cNvCnPr>
                        <wps:spPr bwMode="auto">
                          <a:xfrm>
                            <a:off x="2608" y="259"/>
                            <a:ext cx="0" cy="4890"/>
                          </a:xfrm>
                          <a:prstGeom prst="line">
                            <a:avLst/>
                          </a:prstGeom>
                          <a:noFill/>
                          <a:ln w="9525">
                            <a:solidFill>
                              <a:srgbClr val="8A8A8A"/>
                            </a:solidFill>
                            <a:prstDash val="solid"/>
                            <a:round/>
                            <a:headEnd/>
                            <a:tailEnd/>
                          </a:ln>
                          <a:extLst>
                            <a:ext uri="{909E8E84-426E-40DD-AFC4-6F175D3DCCD1}">
                              <a14:hiddenFill xmlns:a14="http://schemas.microsoft.com/office/drawing/2010/main">
                                <a:noFill/>
                              </a14:hiddenFill>
                            </a:ext>
                          </a:extLst>
                        </wps:spPr>
                        <wps:bodyPr/>
                      </wps:wsp>
                      <wps:wsp>
                        <wps:cNvPr id="566" name="AutoShape 555"/>
                        <wps:cNvSpPr>
                          <a:spLocks/>
                        </wps:cNvSpPr>
                        <wps:spPr bwMode="auto">
                          <a:xfrm>
                            <a:off x="3305" y="3206"/>
                            <a:ext cx="6930" cy="975"/>
                          </a:xfrm>
                          <a:custGeom>
                            <a:avLst/>
                            <a:gdLst>
                              <a:gd name="T0" fmla="+- 0 8390 3305"/>
                              <a:gd name="T1" fmla="*/ T0 w 6930"/>
                              <a:gd name="T2" fmla="+- 0 4182 3207"/>
                              <a:gd name="T3" fmla="*/ 4182 h 975"/>
                              <a:gd name="T4" fmla="+- 0 10235 3305"/>
                              <a:gd name="T5" fmla="*/ T4 w 6930"/>
                              <a:gd name="T6" fmla="+- 0 4182 3207"/>
                              <a:gd name="T7" fmla="*/ 4182 h 975"/>
                              <a:gd name="T8" fmla="+- 0 3305 3305"/>
                              <a:gd name="T9" fmla="*/ T8 w 6930"/>
                              <a:gd name="T10" fmla="+- 0 3207 3207"/>
                              <a:gd name="T11" fmla="*/ 3207 h 975"/>
                              <a:gd name="T12" fmla="+- 0 10235 3305"/>
                              <a:gd name="T13" fmla="*/ T12 w 6930"/>
                              <a:gd name="T14" fmla="+- 0 3207 3207"/>
                              <a:gd name="T15" fmla="*/ 3207 h 975"/>
                            </a:gdLst>
                            <a:ahLst/>
                            <a:cxnLst>
                              <a:cxn ang="0">
                                <a:pos x="T1" y="T3"/>
                              </a:cxn>
                              <a:cxn ang="0">
                                <a:pos x="T5" y="T7"/>
                              </a:cxn>
                              <a:cxn ang="0">
                                <a:pos x="T9" y="T11"/>
                              </a:cxn>
                              <a:cxn ang="0">
                                <a:pos x="T13" y="T15"/>
                              </a:cxn>
                            </a:cxnLst>
                            <a:rect l="0" t="0" r="r" b="b"/>
                            <a:pathLst>
                              <a:path w="6930" h="975">
                                <a:moveTo>
                                  <a:pt x="5085" y="975"/>
                                </a:moveTo>
                                <a:lnTo>
                                  <a:pt x="6930" y="975"/>
                                </a:lnTo>
                                <a:moveTo>
                                  <a:pt x="0" y="0"/>
                                </a:moveTo>
                                <a:lnTo>
                                  <a:pt x="6930" y="0"/>
                                </a:lnTo>
                              </a:path>
                            </a:pathLst>
                          </a:custGeom>
                          <a:noFill/>
                          <a:ln w="9525">
                            <a:solidFill>
                              <a:srgbClr val="E6E6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554"/>
                        <wps:cNvSpPr>
                          <a:spLocks/>
                        </wps:cNvSpPr>
                        <wps:spPr bwMode="auto">
                          <a:xfrm>
                            <a:off x="3250" y="3135"/>
                            <a:ext cx="6350" cy="1126"/>
                          </a:xfrm>
                          <a:custGeom>
                            <a:avLst/>
                            <a:gdLst>
                              <a:gd name="T0" fmla="+- 0 3250 3250"/>
                              <a:gd name="T1" fmla="*/ T0 w 6350"/>
                              <a:gd name="T2" fmla="+- 0 3193 3135"/>
                              <a:gd name="T3" fmla="*/ 3193 h 1126"/>
                              <a:gd name="T4" fmla="+- 0 4520 3250"/>
                              <a:gd name="T5" fmla="*/ T4 w 6350"/>
                              <a:gd name="T6" fmla="+- 0 3135 3135"/>
                              <a:gd name="T7" fmla="*/ 3135 h 1126"/>
                              <a:gd name="T8" fmla="+- 0 5790 3250"/>
                              <a:gd name="T9" fmla="*/ T8 w 6350"/>
                              <a:gd name="T10" fmla="+- 0 3726 3135"/>
                              <a:gd name="T11" fmla="*/ 3726 h 1126"/>
                              <a:gd name="T12" fmla="+- 0 7060 3250"/>
                              <a:gd name="T13" fmla="*/ T12 w 6350"/>
                              <a:gd name="T14" fmla="+- 0 4260 3135"/>
                              <a:gd name="T15" fmla="*/ 4260 h 1126"/>
                              <a:gd name="T16" fmla="+- 0 8330 3250"/>
                              <a:gd name="T17" fmla="*/ T16 w 6350"/>
                              <a:gd name="T18" fmla="+- 0 4176 3135"/>
                              <a:gd name="T19" fmla="*/ 4176 h 1126"/>
                              <a:gd name="T20" fmla="+- 0 9600 3250"/>
                              <a:gd name="T21" fmla="*/ T20 w 6350"/>
                              <a:gd name="T22" fmla="+- 0 4014 3135"/>
                              <a:gd name="T23" fmla="*/ 4014 h 1126"/>
                            </a:gdLst>
                            <a:ahLst/>
                            <a:cxnLst>
                              <a:cxn ang="0">
                                <a:pos x="T1" y="T3"/>
                              </a:cxn>
                              <a:cxn ang="0">
                                <a:pos x="T5" y="T7"/>
                              </a:cxn>
                              <a:cxn ang="0">
                                <a:pos x="T9" y="T11"/>
                              </a:cxn>
                              <a:cxn ang="0">
                                <a:pos x="T13" y="T15"/>
                              </a:cxn>
                              <a:cxn ang="0">
                                <a:pos x="T17" y="T19"/>
                              </a:cxn>
                              <a:cxn ang="0">
                                <a:pos x="T21" y="T23"/>
                              </a:cxn>
                            </a:cxnLst>
                            <a:rect l="0" t="0" r="r" b="b"/>
                            <a:pathLst>
                              <a:path w="6350" h="1126">
                                <a:moveTo>
                                  <a:pt x="0" y="58"/>
                                </a:moveTo>
                                <a:lnTo>
                                  <a:pt x="1270" y="0"/>
                                </a:lnTo>
                                <a:lnTo>
                                  <a:pt x="2540" y="591"/>
                                </a:lnTo>
                                <a:lnTo>
                                  <a:pt x="3810" y="1125"/>
                                </a:lnTo>
                                <a:lnTo>
                                  <a:pt x="5080" y="1041"/>
                                </a:lnTo>
                                <a:lnTo>
                                  <a:pt x="6350" y="87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AutoShape 553"/>
                        <wps:cNvSpPr>
                          <a:spLocks/>
                        </wps:cNvSpPr>
                        <wps:spPr bwMode="auto">
                          <a:xfrm>
                            <a:off x="3185" y="3079"/>
                            <a:ext cx="6465" cy="1245"/>
                          </a:xfrm>
                          <a:custGeom>
                            <a:avLst/>
                            <a:gdLst>
                              <a:gd name="T0" fmla="+- 0 3305 3185"/>
                              <a:gd name="T1" fmla="*/ T0 w 6465"/>
                              <a:gd name="T2" fmla="+- 0 3139 3079"/>
                              <a:gd name="T3" fmla="*/ 3139 h 1245"/>
                              <a:gd name="T4" fmla="+- 0 3185 3185"/>
                              <a:gd name="T5" fmla="*/ T4 w 6465"/>
                              <a:gd name="T6" fmla="+- 0 3139 3079"/>
                              <a:gd name="T7" fmla="*/ 3139 h 1245"/>
                              <a:gd name="T8" fmla="+- 0 3185 3185"/>
                              <a:gd name="T9" fmla="*/ T8 w 6465"/>
                              <a:gd name="T10" fmla="+- 0 3259 3079"/>
                              <a:gd name="T11" fmla="*/ 3259 h 1245"/>
                              <a:gd name="T12" fmla="+- 0 3305 3185"/>
                              <a:gd name="T13" fmla="*/ T12 w 6465"/>
                              <a:gd name="T14" fmla="+- 0 3259 3079"/>
                              <a:gd name="T15" fmla="*/ 3259 h 1245"/>
                              <a:gd name="T16" fmla="+- 0 3305 3185"/>
                              <a:gd name="T17" fmla="*/ T16 w 6465"/>
                              <a:gd name="T18" fmla="+- 0 3139 3079"/>
                              <a:gd name="T19" fmla="*/ 3139 h 1245"/>
                              <a:gd name="T20" fmla="+- 0 4580 3185"/>
                              <a:gd name="T21" fmla="*/ T20 w 6465"/>
                              <a:gd name="T22" fmla="+- 0 3079 3079"/>
                              <a:gd name="T23" fmla="*/ 3079 h 1245"/>
                              <a:gd name="T24" fmla="+- 0 4460 3185"/>
                              <a:gd name="T25" fmla="*/ T24 w 6465"/>
                              <a:gd name="T26" fmla="+- 0 3079 3079"/>
                              <a:gd name="T27" fmla="*/ 3079 h 1245"/>
                              <a:gd name="T28" fmla="+- 0 4460 3185"/>
                              <a:gd name="T29" fmla="*/ T28 w 6465"/>
                              <a:gd name="T30" fmla="+- 0 3199 3079"/>
                              <a:gd name="T31" fmla="*/ 3199 h 1245"/>
                              <a:gd name="T32" fmla="+- 0 4580 3185"/>
                              <a:gd name="T33" fmla="*/ T32 w 6465"/>
                              <a:gd name="T34" fmla="+- 0 3199 3079"/>
                              <a:gd name="T35" fmla="*/ 3199 h 1245"/>
                              <a:gd name="T36" fmla="+- 0 4580 3185"/>
                              <a:gd name="T37" fmla="*/ T36 w 6465"/>
                              <a:gd name="T38" fmla="+- 0 3079 3079"/>
                              <a:gd name="T39" fmla="*/ 3079 h 1245"/>
                              <a:gd name="T40" fmla="+- 0 5840 3185"/>
                              <a:gd name="T41" fmla="*/ T40 w 6465"/>
                              <a:gd name="T42" fmla="+- 0 3664 3079"/>
                              <a:gd name="T43" fmla="*/ 3664 h 1245"/>
                              <a:gd name="T44" fmla="+- 0 5720 3185"/>
                              <a:gd name="T45" fmla="*/ T44 w 6465"/>
                              <a:gd name="T46" fmla="+- 0 3664 3079"/>
                              <a:gd name="T47" fmla="*/ 3664 h 1245"/>
                              <a:gd name="T48" fmla="+- 0 5720 3185"/>
                              <a:gd name="T49" fmla="*/ T48 w 6465"/>
                              <a:gd name="T50" fmla="+- 0 3784 3079"/>
                              <a:gd name="T51" fmla="*/ 3784 h 1245"/>
                              <a:gd name="T52" fmla="+- 0 5840 3185"/>
                              <a:gd name="T53" fmla="*/ T52 w 6465"/>
                              <a:gd name="T54" fmla="+- 0 3784 3079"/>
                              <a:gd name="T55" fmla="*/ 3784 h 1245"/>
                              <a:gd name="T56" fmla="+- 0 5840 3185"/>
                              <a:gd name="T57" fmla="*/ T56 w 6465"/>
                              <a:gd name="T58" fmla="+- 0 3664 3079"/>
                              <a:gd name="T59" fmla="*/ 3664 h 1245"/>
                              <a:gd name="T60" fmla="+- 0 7115 3185"/>
                              <a:gd name="T61" fmla="*/ T60 w 6465"/>
                              <a:gd name="T62" fmla="+- 0 4204 3079"/>
                              <a:gd name="T63" fmla="*/ 4204 h 1245"/>
                              <a:gd name="T64" fmla="+- 0 6995 3185"/>
                              <a:gd name="T65" fmla="*/ T64 w 6465"/>
                              <a:gd name="T66" fmla="+- 0 4204 3079"/>
                              <a:gd name="T67" fmla="*/ 4204 h 1245"/>
                              <a:gd name="T68" fmla="+- 0 6995 3185"/>
                              <a:gd name="T69" fmla="*/ T68 w 6465"/>
                              <a:gd name="T70" fmla="+- 0 4324 3079"/>
                              <a:gd name="T71" fmla="*/ 4324 h 1245"/>
                              <a:gd name="T72" fmla="+- 0 7115 3185"/>
                              <a:gd name="T73" fmla="*/ T72 w 6465"/>
                              <a:gd name="T74" fmla="+- 0 4324 3079"/>
                              <a:gd name="T75" fmla="*/ 4324 h 1245"/>
                              <a:gd name="T76" fmla="+- 0 7115 3185"/>
                              <a:gd name="T77" fmla="*/ T76 w 6465"/>
                              <a:gd name="T78" fmla="+- 0 4204 3079"/>
                              <a:gd name="T79" fmla="*/ 4204 h 1245"/>
                              <a:gd name="T80" fmla="+- 0 8390 3185"/>
                              <a:gd name="T81" fmla="*/ T80 w 6465"/>
                              <a:gd name="T82" fmla="+- 0 4114 3079"/>
                              <a:gd name="T83" fmla="*/ 4114 h 1245"/>
                              <a:gd name="T84" fmla="+- 0 8270 3185"/>
                              <a:gd name="T85" fmla="*/ T84 w 6465"/>
                              <a:gd name="T86" fmla="+- 0 4114 3079"/>
                              <a:gd name="T87" fmla="*/ 4114 h 1245"/>
                              <a:gd name="T88" fmla="+- 0 8270 3185"/>
                              <a:gd name="T89" fmla="*/ T88 w 6465"/>
                              <a:gd name="T90" fmla="+- 0 4234 3079"/>
                              <a:gd name="T91" fmla="*/ 4234 h 1245"/>
                              <a:gd name="T92" fmla="+- 0 8390 3185"/>
                              <a:gd name="T93" fmla="*/ T92 w 6465"/>
                              <a:gd name="T94" fmla="+- 0 4234 3079"/>
                              <a:gd name="T95" fmla="*/ 4234 h 1245"/>
                              <a:gd name="T96" fmla="+- 0 8390 3185"/>
                              <a:gd name="T97" fmla="*/ T96 w 6465"/>
                              <a:gd name="T98" fmla="+- 0 4114 3079"/>
                              <a:gd name="T99" fmla="*/ 4114 h 1245"/>
                              <a:gd name="T100" fmla="+- 0 9650 3185"/>
                              <a:gd name="T101" fmla="*/ T100 w 6465"/>
                              <a:gd name="T102" fmla="+- 0 3949 3079"/>
                              <a:gd name="T103" fmla="*/ 3949 h 1245"/>
                              <a:gd name="T104" fmla="+- 0 9530 3185"/>
                              <a:gd name="T105" fmla="*/ T104 w 6465"/>
                              <a:gd name="T106" fmla="+- 0 3949 3079"/>
                              <a:gd name="T107" fmla="*/ 3949 h 1245"/>
                              <a:gd name="T108" fmla="+- 0 9530 3185"/>
                              <a:gd name="T109" fmla="*/ T108 w 6465"/>
                              <a:gd name="T110" fmla="+- 0 4069 3079"/>
                              <a:gd name="T111" fmla="*/ 4069 h 1245"/>
                              <a:gd name="T112" fmla="+- 0 9650 3185"/>
                              <a:gd name="T113" fmla="*/ T112 w 6465"/>
                              <a:gd name="T114" fmla="+- 0 4069 3079"/>
                              <a:gd name="T115" fmla="*/ 4069 h 1245"/>
                              <a:gd name="T116" fmla="+- 0 9650 3185"/>
                              <a:gd name="T117" fmla="*/ T116 w 6465"/>
                              <a:gd name="T118" fmla="+- 0 3949 3079"/>
                              <a:gd name="T119" fmla="*/ 3949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465" h="1245">
                                <a:moveTo>
                                  <a:pt x="120" y="60"/>
                                </a:moveTo>
                                <a:lnTo>
                                  <a:pt x="0" y="60"/>
                                </a:lnTo>
                                <a:lnTo>
                                  <a:pt x="0" y="180"/>
                                </a:lnTo>
                                <a:lnTo>
                                  <a:pt x="120" y="180"/>
                                </a:lnTo>
                                <a:lnTo>
                                  <a:pt x="120" y="60"/>
                                </a:lnTo>
                                <a:moveTo>
                                  <a:pt x="1395" y="0"/>
                                </a:moveTo>
                                <a:lnTo>
                                  <a:pt x="1275" y="0"/>
                                </a:lnTo>
                                <a:lnTo>
                                  <a:pt x="1275" y="120"/>
                                </a:lnTo>
                                <a:lnTo>
                                  <a:pt x="1395" y="120"/>
                                </a:lnTo>
                                <a:lnTo>
                                  <a:pt x="1395" y="0"/>
                                </a:lnTo>
                                <a:moveTo>
                                  <a:pt x="2655" y="585"/>
                                </a:moveTo>
                                <a:lnTo>
                                  <a:pt x="2535" y="585"/>
                                </a:lnTo>
                                <a:lnTo>
                                  <a:pt x="2535" y="705"/>
                                </a:lnTo>
                                <a:lnTo>
                                  <a:pt x="2655" y="705"/>
                                </a:lnTo>
                                <a:lnTo>
                                  <a:pt x="2655" y="585"/>
                                </a:lnTo>
                                <a:moveTo>
                                  <a:pt x="3930" y="1125"/>
                                </a:moveTo>
                                <a:lnTo>
                                  <a:pt x="3810" y="1125"/>
                                </a:lnTo>
                                <a:lnTo>
                                  <a:pt x="3810" y="1245"/>
                                </a:lnTo>
                                <a:lnTo>
                                  <a:pt x="3930" y="1245"/>
                                </a:lnTo>
                                <a:lnTo>
                                  <a:pt x="3930" y="1125"/>
                                </a:lnTo>
                                <a:moveTo>
                                  <a:pt x="5205" y="1035"/>
                                </a:moveTo>
                                <a:lnTo>
                                  <a:pt x="5085" y="1035"/>
                                </a:lnTo>
                                <a:lnTo>
                                  <a:pt x="5085" y="1155"/>
                                </a:lnTo>
                                <a:lnTo>
                                  <a:pt x="5205" y="1155"/>
                                </a:lnTo>
                                <a:lnTo>
                                  <a:pt x="5205" y="1035"/>
                                </a:lnTo>
                                <a:moveTo>
                                  <a:pt x="6465" y="870"/>
                                </a:moveTo>
                                <a:lnTo>
                                  <a:pt x="6345" y="870"/>
                                </a:lnTo>
                                <a:lnTo>
                                  <a:pt x="6345" y="990"/>
                                </a:lnTo>
                                <a:lnTo>
                                  <a:pt x="6465" y="990"/>
                                </a:lnTo>
                                <a:lnTo>
                                  <a:pt x="6465" y="8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552"/>
                        <wps:cNvSpPr>
                          <a:spLocks/>
                        </wps:cNvSpPr>
                        <wps:spPr bwMode="auto">
                          <a:xfrm>
                            <a:off x="3250" y="1177"/>
                            <a:ext cx="6350" cy="2016"/>
                          </a:xfrm>
                          <a:custGeom>
                            <a:avLst/>
                            <a:gdLst>
                              <a:gd name="T0" fmla="+- 0 3250 3250"/>
                              <a:gd name="T1" fmla="*/ T0 w 6350"/>
                              <a:gd name="T2" fmla="+- 0 3193 1178"/>
                              <a:gd name="T3" fmla="*/ 3193 h 2016"/>
                              <a:gd name="T4" fmla="+- 0 4520 3250"/>
                              <a:gd name="T5" fmla="*/ T4 w 6350"/>
                              <a:gd name="T6" fmla="+- 0 2959 1178"/>
                              <a:gd name="T7" fmla="*/ 2959 h 2016"/>
                              <a:gd name="T8" fmla="+- 0 5790 3250"/>
                              <a:gd name="T9" fmla="*/ T8 w 6350"/>
                              <a:gd name="T10" fmla="+- 0 2481 1178"/>
                              <a:gd name="T11" fmla="*/ 2481 h 2016"/>
                              <a:gd name="T12" fmla="+- 0 7060 3250"/>
                              <a:gd name="T13" fmla="*/ T12 w 6350"/>
                              <a:gd name="T14" fmla="+- 0 2598 1178"/>
                              <a:gd name="T15" fmla="*/ 2598 h 2016"/>
                              <a:gd name="T16" fmla="+- 0 8330 3250"/>
                              <a:gd name="T17" fmla="*/ T16 w 6350"/>
                              <a:gd name="T18" fmla="+- 0 1795 1178"/>
                              <a:gd name="T19" fmla="*/ 1795 h 2016"/>
                              <a:gd name="T20" fmla="+- 0 9600 3250"/>
                              <a:gd name="T21" fmla="*/ T20 w 6350"/>
                              <a:gd name="T22" fmla="+- 0 1178 1178"/>
                              <a:gd name="T23" fmla="*/ 1178 h 2016"/>
                            </a:gdLst>
                            <a:ahLst/>
                            <a:cxnLst>
                              <a:cxn ang="0">
                                <a:pos x="T1" y="T3"/>
                              </a:cxn>
                              <a:cxn ang="0">
                                <a:pos x="T5" y="T7"/>
                              </a:cxn>
                              <a:cxn ang="0">
                                <a:pos x="T9" y="T11"/>
                              </a:cxn>
                              <a:cxn ang="0">
                                <a:pos x="T13" y="T15"/>
                              </a:cxn>
                              <a:cxn ang="0">
                                <a:pos x="T17" y="T19"/>
                              </a:cxn>
                              <a:cxn ang="0">
                                <a:pos x="T21" y="T23"/>
                              </a:cxn>
                            </a:cxnLst>
                            <a:rect l="0" t="0" r="r" b="b"/>
                            <a:pathLst>
                              <a:path w="6350" h="2016">
                                <a:moveTo>
                                  <a:pt x="0" y="2015"/>
                                </a:moveTo>
                                <a:lnTo>
                                  <a:pt x="1270" y="1781"/>
                                </a:lnTo>
                                <a:lnTo>
                                  <a:pt x="2540" y="1303"/>
                                </a:lnTo>
                                <a:lnTo>
                                  <a:pt x="3810" y="1420"/>
                                </a:lnTo>
                                <a:lnTo>
                                  <a:pt x="5080" y="617"/>
                                </a:lnTo>
                                <a:lnTo>
                                  <a:pt x="635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0" name="Picture 5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85" y="313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1" name="Picture 5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60" y="289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2" name="Picture 5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20" y="241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3" name="Picture 5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95" y="253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4" name="Picture 5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70" y="172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5" name="Picture 5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30" y="1114"/>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6" name="Freeform 545"/>
                        <wps:cNvSpPr>
                          <a:spLocks/>
                        </wps:cNvSpPr>
                        <wps:spPr bwMode="auto">
                          <a:xfrm>
                            <a:off x="3250" y="1572"/>
                            <a:ext cx="6350" cy="1621"/>
                          </a:xfrm>
                          <a:custGeom>
                            <a:avLst/>
                            <a:gdLst>
                              <a:gd name="T0" fmla="+- 0 3250 3250"/>
                              <a:gd name="T1" fmla="*/ T0 w 6350"/>
                              <a:gd name="T2" fmla="+- 0 3193 1573"/>
                              <a:gd name="T3" fmla="*/ 3193 h 1621"/>
                              <a:gd name="T4" fmla="+- 0 4520 3250"/>
                              <a:gd name="T5" fmla="*/ T4 w 6350"/>
                              <a:gd name="T6" fmla="+- 0 3090 1573"/>
                              <a:gd name="T7" fmla="*/ 3090 h 1621"/>
                              <a:gd name="T8" fmla="+- 0 5790 3250"/>
                              <a:gd name="T9" fmla="*/ T8 w 6350"/>
                              <a:gd name="T10" fmla="+- 0 2739 1573"/>
                              <a:gd name="T11" fmla="*/ 2739 h 1621"/>
                              <a:gd name="T12" fmla="+- 0 7060 3250"/>
                              <a:gd name="T13" fmla="*/ T12 w 6350"/>
                              <a:gd name="T14" fmla="+- 0 3062 1573"/>
                              <a:gd name="T15" fmla="*/ 3062 h 1621"/>
                              <a:gd name="T16" fmla="+- 0 8330 3250"/>
                              <a:gd name="T17" fmla="*/ T16 w 6350"/>
                              <a:gd name="T18" fmla="+- 0 2464 1573"/>
                              <a:gd name="T19" fmla="*/ 2464 h 1621"/>
                              <a:gd name="T20" fmla="+- 0 9600 3250"/>
                              <a:gd name="T21" fmla="*/ T20 w 6350"/>
                              <a:gd name="T22" fmla="+- 0 1573 1573"/>
                              <a:gd name="T23" fmla="*/ 1573 h 1621"/>
                            </a:gdLst>
                            <a:ahLst/>
                            <a:cxnLst>
                              <a:cxn ang="0">
                                <a:pos x="T1" y="T3"/>
                              </a:cxn>
                              <a:cxn ang="0">
                                <a:pos x="T5" y="T7"/>
                              </a:cxn>
                              <a:cxn ang="0">
                                <a:pos x="T9" y="T11"/>
                              </a:cxn>
                              <a:cxn ang="0">
                                <a:pos x="T13" y="T15"/>
                              </a:cxn>
                              <a:cxn ang="0">
                                <a:pos x="T17" y="T19"/>
                              </a:cxn>
                              <a:cxn ang="0">
                                <a:pos x="T21" y="T23"/>
                              </a:cxn>
                            </a:cxnLst>
                            <a:rect l="0" t="0" r="r" b="b"/>
                            <a:pathLst>
                              <a:path w="6350" h="1621">
                                <a:moveTo>
                                  <a:pt x="0" y="1620"/>
                                </a:moveTo>
                                <a:lnTo>
                                  <a:pt x="1270" y="1517"/>
                                </a:lnTo>
                                <a:lnTo>
                                  <a:pt x="2540" y="1166"/>
                                </a:lnTo>
                                <a:lnTo>
                                  <a:pt x="3810" y="1489"/>
                                </a:lnTo>
                                <a:lnTo>
                                  <a:pt x="5080" y="891"/>
                                </a:lnTo>
                                <a:lnTo>
                                  <a:pt x="6350" y="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AutoShape 544"/>
                        <wps:cNvSpPr>
                          <a:spLocks/>
                        </wps:cNvSpPr>
                        <wps:spPr bwMode="auto">
                          <a:xfrm>
                            <a:off x="3185" y="1519"/>
                            <a:ext cx="6465" cy="1740"/>
                          </a:xfrm>
                          <a:custGeom>
                            <a:avLst/>
                            <a:gdLst>
                              <a:gd name="T0" fmla="+- 0 3305 3185"/>
                              <a:gd name="T1" fmla="*/ T0 w 6465"/>
                              <a:gd name="T2" fmla="+- 0 3259 1519"/>
                              <a:gd name="T3" fmla="*/ 3259 h 1740"/>
                              <a:gd name="T4" fmla="+- 0 3245 3185"/>
                              <a:gd name="T5" fmla="*/ T4 w 6465"/>
                              <a:gd name="T6" fmla="+- 0 3139 1519"/>
                              <a:gd name="T7" fmla="*/ 3139 h 1740"/>
                              <a:gd name="T8" fmla="+- 0 3185 3185"/>
                              <a:gd name="T9" fmla="*/ T8 w 6465"/>
                              <a:gd name="T10" fmla="+- 0 3259 1519"/>
                              <a:gd name="T11" fmla="*/ 3259 h 1740"/>
                              <a:gd name="T12" fmla="+- 0 3305 3185"/>
                              <a:gd name="T13" fmla="*/ T12 w 6465"/>
                              <a:gd name="T14" fmla="+- 0 3259 1519"/>
                              <a:gd name="T15" fmla="*/ 3259 h 1740"/>
                              <a:gd name="T16" fmla="+- 0 4580 3185"/>
                              <a:gd name="T17" fmla="*/ T16 w 6465"/>
                              <a:gd name="T18" fmla="+- 0 3154 1519"/>
                              <a:gd name="T19" fmla="*/ 3154 h 1740"/>
                              <a:gd name="T20" fmla="+- 0 4520 3185"/>
                              <a:gd name="T21" fmla="*/ T20 w 6465"/>
                              <a:gd name="T22" fmla="+- 0 3034 1519"/>
                              <a:gd name="T23" fmla="*/ 3034 h 1740"/>
                              <a:gd name="T24" fmla="+- 0 4460 3185"/>
                              <a:gd name="T25" fmla="*/ T24 w 6465"/>
                              <a:gd name="T26" fmla="+- 0 3154 1519"/>
                              <a:gd name="T27" fmla="*/ 3154 h 1740"/>
                              <a:gd name="T28" fmla="+- 0 4580 3185"/>
                              <a:gd name="T29" fmla="*/ T28 w 6465"/>
                              <a:gd name="T30" fmla="+- 0 3154 1519"/>
                              <a:gd name="T31" fmla="*/ 3154 h 1740"/>
                              <a:gd name="T32" fmla="+- 0 5840 3185"/>
                              <a:gd name="T33" fmla="*/ T32 w 6465"/>
                              <a:gd name="T34" fmla="+- 0 2794 1519"/>
                              <a:gd name="T35" fmla="*/ 2794 h 1740"/>
                              <a:gd name="T36" fmla="+- 0 5780 3185"/>
                              <a:gd name="T37" fmla="*/ T36 w 6465"/>
                              <a:gd name="T38" fmla="+- 0 2674 1519"/>
                              <a:gd name="T39" fmla="*/ 2674 h 1740"/>
                              <a:gd name="T40" fmla="+- 0 5720 3185"/>
                              <a:gd name="T41" fmla="*/ T40 w 6465"/>
                              <a:gd name="T42" fmla="+- 0 2794 1519"/>
                              <a:gd name="T43" fmla="*/ 2794 h 1740"/>
                              <a:gd name="T44" fmla="+- 0 5840 3185"/>
                              <a:gd name="T45" fmla="*/ T44 w 6465"/>
                              <a:gd name="T46" fmla="+- 0 2794 1519"/>
                              <a:gd name="T47" fmla="*/ 2794 h 1740"/>
                              <a:gd name="T48" fmla="+- 0 7115 3185"/>
                              <a:gd name="T49" fmla="*/ T48 w 6465"/>
                              <a:gd name="T50" fmla="+- 0 3124 1519"/>
                              <a:gd name="T51" fmla="*/ 3124 h 1740"/>
                              <a:gd name="T52" fmla="+- 0 7055 3185"/>
                              <a:gd name="T53" fmla="*/ T52 w 6465"/>
                              <a:gd name="T54" fmla="+- 0 3004 1519"/>
                              <a:gd name="T55" fmla="*/ 3004 h 1740"/>
                              <a:gd name="T56" fmla="+- 0 6995 3185"/>
                              <a:gd name="T57" fmla="*/ T56 w 6465"/>
                              <a:gd name="T58" fmla="+- 0 3124 1519"/>
                              <a:gd name="T59" fmla="*/ 3124 h 1740"/>
                              <a:gd name="T60" fmla="+- 0 7115 3185"/>
                              <a:gd name="T61" fmla="*/ T60 w 6465"/>
                              <a:gd name="T62" fmla="+- 0 3124 1519"/>
                              <a:gd name="T63" fmla="*/ 3124 h 1740"/>
                              <a:gd name="T64" fmla="+- 0 8390 3185"/>
                              <a:gd name="T65" fmla="*/ T64 w 6465"/>
                              <a:gd name="T66" fmla="+- 0 2524 1519"/>
                              <a:gd name="T67" fmla="*/ 2524 h 1740"/>
                              <a:gd name="T68" fmla="+- 0 8330 3185"/>
                              <a:gd name="T69" fmla="*/ T68 w 6465"/>
                              <a:gd name="T70" fmla="+- 0 2404 1519"/>
                              <a:gd name="T71" fmla="*/ 2404 h 1740"/>
                              <a:gd name="T72" fmla="+- 0 8270 3185"/>
                              <a:gd name="T73" fmla="*/ T72 w 6465"/>
                              <a:gd name="T74" fmla="+- 0 2524 1519"/>
                              <a:gd name="T75" fmla="*/ 2524 h 1740"/>
                              <a:gd name="T76" fmla="+- 0 8390 3185"/>
                              <a:gd name="T77" fmla="*/ T76 w 6465"/>
                              <a:gd name="T78" fmla="+- 0 2524 1519"/>
                              <a:gd name="T79" fmla="*/ 2524 h 1740"/>
                              <a:gd name="T80" fmla="+- 0 9650 3185"/>
                              <a:gd name="T81" fmla="*/ T80 w 6465"/>
                              <a:gd name="T82" fmla="+- 0 1639 1519"/>
                              <a:gd name="T83" fmla="*/ 1639 h 1740"/>
                              <a:gd name="T84" fmla="+- 0 9590 3185"/>
                              <a:gd name="T85" fmla="*/ T84 w 6465"/>
                              <a:gd name="T86" fmla="+- 0 1519 1519"/>
                              <a:gd name="T87" fmla="*/ 1519 h 1740"/>
                              <a:gd name="T88" fmla="+- 0 9530 3185"/>
                              <a:gd name="T89" fmla="*/ T88 w 6465"/>
                              <a:gd name="T90" fmla="+- 0 1639 1519"/>
                              <a:gd name="T91" fmla="*/ 1639 h 1740"/>
                              <a:gd name="T92" fmla="+- 0 9650 3185"/>
                              <a:gd name="T93" fmla="*/ T92 w 6465"/>
                              <a:gd name="T94" fmla="+- 0 1639 1519"/>
                              <a:gd name="T95" fmla="*/ 1639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65" h="1740">
                                <a:moveTo>
                                  <a:pt x="120" y="1740"/>
                                </a:moveTo>
                                <a:lnTo>
                                  <a:pt x="60" y="1620"/>
                                </a:lnTo>
                                <a:lnTo>
                                  <a:pt x="0" y="1740"/>
                                </a:lnTo>
                                <a:lnTo>
                                  <a:pt x="120" y="1740"/>
                                </a:lnTo>
                                <a:moveTo>
                                  <a:pt x="1395" y="1635"/>
                                </a:moveTo>
                                <a:lnTo>
                                  <a:pt x="1335" y="1515"/>
                                </a:lnTo>
                                <a:lnTo>
                                  <a:pt x="1275" y="1635"/>
                                </a:lnTo>
                                <a:lnTo>
                                  <a:pt x="1395" y="1635"/>
                                </a:lnTo>
                                <a:moveTo>
                                  <a:pt x="2655" y="1275"/>
                                </a:moveTo>
                                <a:lnTo>
                                  <a:pt x="2595" y="1155"/>
                                </a:lnTo>
                                <a:lnTo>
                                  <a:pt x="2535" y="1275"/>
                                </a:lnTo>
                                <a:lnTo>
                                  <a:pt x="2655" y="1275"/>
                                </a:lnTo>
                                <a:moveTo>
                                  <a:pt x="3930" y="1605"/>
                                </a:moveTo>
                                <a:lnTo>
                                  <a:pt x="3870" y="1485"/>
                                </a:lnTo>
                                <a:lnTo>
                                  <a:pt x="3810" y="1605"/>
                                </a:lnTo>
                                <a:lnTo>
                                  <a:pt x="3930" y="1605"/>
                                </a:lnTo>
                                <a:moveTo>
                                  <a:pt x="5205" y="1005"/>
                                </a:moveTo>
                                <a:lnTo>
                                  <a:pt x="5145" y="885"/>
                                </a:lnTo>
                                <a:lnTo>
                                  <a:pt x="5085" y="1005"/>
                                </a:lnTo>
                                <a:lnTo>
                                  <a:pt x="5205" y="1005"/>
                                </a:lnTo>
                                <a:moveTo>
                                  <a:pt x="6465" y="120"/>
                                </a:moveTo>
                                <a:lnTo>
                                  <a:pt x="6405" y="0"/>
                                </a:lnTo>
                                <a:lnTo>
                                  <a:pt x="6345" y="120"/>
                                </a:lnTo>
                                <a:lnTo>
                                  <a:pt x="6465"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BFA71" id="Group 543" o:spid="_x0000_s1026" style="position:absolute;margin-left:130pt;margin-top:12.2pt;width:381.75pt;height:249.75pt;z-index:1240;mso-position-horizontal-relative:page" coordorigin="2600,244" coordsize="7635,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">
                <v:line id="Line 560" o:spid="_x0000_s1027" style="position:absolute;visibility:visible;mso-wrap-style:square" from="2615,5157" to="10235,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" strokecolor="#e6e6e6"/>
                <v:shape id="AutoShape 559" o:spid="_x0000_s1028" style="position:absolute;left:1095;top:8269;width:7620;height:90;visibility:visible;mso-wrap-style:square;v-text-anchor:top" coordsize="7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" path="m2143,-3120r,90m3418,-3120r,90m4693,-3120r,90m5953,-3120r,90m7228,-3120r,90m8503,-3120r,90m1520,-3112r7620,e" filled="f" strokecolor="#8a8a8a">
                  <v:path arrowok="t" o:connecttype="custom" o:connectlocs="2143,5149;2143,5239;3418,5149;3418,5239;4693,5149;4693,5239;5953,5149;5953,5239;7228,5149;7228,5239;8503,5149;8503,5239;1520,5157;9140,5157" o:connectangles="0,0,0,0,0,0,0,0,0,0,0,0,0,0"/>
                </v:shape>
                <v:shape id="AutoShape 558" o:spid="_x0000_s1029" style="position:absolute;left:2615;top:3206;width:5655;height:975;visibility:visible;mso-wrap-style:square;v-text-anchor:top" coordsize="565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" path="m,975r5655,m,l570,e" filled="f" strokecolor="#e6e6e6">
                  <v:path arrowok="t" o:connecttype="custom" o:connectlocs="0,4182;5655,4182;0,3207;570,3207" o:connectangles="0,0,0,0"/>
                </v:shape>
                <v:shape id="AutoShape 557" o:spid="_x0000_s1030" style="position:absolute;left:1095;top:3371;width:7620;height:1965;visibility:visible;mso-wrap-style:square;v-text-anchor:top" coordsize="7620,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" path="m1520,-1155r7620,m1520,-2130r7620,m1520,-3120r7620,e" filled="f" strokecolor="#e6e6e6">
                  <v:path arrowok="t" o:connecttype="custom" o:connectlocs="1520,2217;9140,2217;1520,1242;9140,1242;1520,252;9140,252" o:connectangles="0,0,0,0,0,0"/>
                </v:shape>
                <v:line id="Line 556" o:spid="_x0000_s1031" style="position:absolute;visibility:visible;mso-wrap-style:square" from="2608,259" to="2608,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" strokecolor="#8a8a8a"/>
                <v:shape id="AutoShape 555" o:spid="_x0000_s1032" style="position:absolute;left:3305;top:3206;width:6930;height:975;visibility:visible;mso-wrap-style:square;v-text-anchor:top" coordsize="693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" path="m5085,975r1845,m,l6930,e" filled="f" strokecolor="#e6e6e6">
                  <v:path arrowok="t" o:connecttype="custom" o:connectlocs="5085,4182;6930,4182;0,3207;6930,3207" o:connectangles="0,0,0,0"/>
                </v:shape>
                <v:shape id="Freeform 554" o:spid="_x0000_s1033" style="position:absolute;left:3250;top:3135;width:6350;height:1126;visibility:visible;mso-wrap-style:square;v-text-anchor:top" coordsize="6350,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" path="m,58l1270,,2540,591r1270,534l5080,1041,6350,879e" filled="f">
                  <v:path arrowok="t" o:connecttype="custom" o:connectlocs="0,3193;1270,3135;2540,3726;3810,4260;5080,4176;6350,4014" o:connectangles="0,0,0,0,0,0"/>
                </v:shape>
                <v:shape id="AutoShape 553" o:spid="_x0000_s1034" style="position:absolute;left:3185;top:3079;width:6465;height:1245;visibility:visible;mso-wrap-style:square;v-text-anchor:top" coordsize="646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" path="m120,60l,60,,180r120,l120,60m1395,l1275,r,120l1395,120,1395,m2655,585r-120,l2535,705r120,l2655,585t1275,540l3810,1125r,120l3930,1245r,-120m5205,1035r-120,l5085,1155r120,l5205,1035m6465,870r-120,l6345,990r120,l6465,870e" fillcolor="black" stroked="f">
                  <v:path arrowok="t" o:connecttype="custom" o:connectlocs="120,3139;0,3139;0,3259;120,3259;120,3139;1395,3079;1275,3079;1275,3199;1395,3199;1395,3079;2655,3664;2535,3664;2535,3784;2655,3784;2655,3664;3930,4204;3810,4204;3810,4324;3930,4324;3930,4204;5205,4114;5085,4114;5085,4234;5205,4234;5205,4114;6465,3949;6345,3949;6345,4069;6465,4069;6465,3949" o:connectangles="0,0,0,0,0,0,0,0,0,0,0,0,0,0,0,0,0,0,0,0,0,0,0,0,0,0,0,0,0,0"/>
                </v:shape>
                <v:shape id="Freeform 552" o:spid="_x0000_s1035" style="position:absolute;left:3250;top:1177;width:6350;height:2016;visibility:visible;mso-wrap-style:square;v-text-anchor:top" coordsize="635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" path="m,2015l1270,1781,2540,1303r1270,117l5080,617,6350,e" filled="f">
                  <v:stroke dashstyle="dot"/>
                  <v:path arrowok="t" o:connecttype="custom" o:connectlocs="0,3193;1270,2959;2540,2481;3810,2598;5080,1795;6350,1178"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1" o:spid="_x0000_s1036" type="#_x0000_t75" style="position:absolute;left:3185;top:313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">
                  <v:imagedata r:id="rId13" o:title=""/>
                </v:shape>
                <v:shape id="Picture 550" o:spid="_x0000_s1037" type="#_x0000_t75" style="position:absolute;left:4460;top:289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">
                  <v:imagedata r:id="rId13" o:title=""/>
                </v:shape>
                <v:shape id="Picture 549" o:spid="_x0000_s1038" type="#_x0000_t75" style="position:absolute;left:5720;top:241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">
                  <v:imagedata r:id="rId13" o:title=""/>
                </v:shape>
                <v:shape id="Picture 548" o:spid="_x0000_s1039" type="#_x0000_t75" style="position:absolute;left:6995;top:253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">
                  <v:imagedata r:id="rId13" o:title=""/>
                </v:shape>
                <v:shape id="Picture 547" o:spid="_x0000_s1040" type="#_x0000_t75" style="position:absolute;left:8270;top:172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">
                  <v:imagedata r:id="rId13" o:title=""/>
                </v:shape>
                <v:shape id="Picture 546" o:spid="_x0000_s1041" type="#_x0000_t75" style="position:absolute;left:9530;top:1114;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">
                  <v:imagedata r:id="rId13" o:title=""/>
                </v:shape>
                <v:shape id="Freeform 545" o:spid="_x0000_s1042" style="position:absolute;left:3250;top:1572;width:6350;height:1621;visibility:visible;mso-wrap-style:square;v-text-anchor:top" coordsize="635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" path="m,1620l1270,1517,2540,1166r1270,323l5080,891,6350,e" filled="f">
                  <v:stroke dashstyle="3 1"/>
                  <v:path arrowok="t" o:connecttype="custom" o:connectlocs="0,3193;1270,3090;2540,2739;3810,3062;5080,2464;6350,1573" o:connectangles="0,0,0,0,0,0"/>
                </v:shape>
                <v:shape id="AutoShape 544" o:spid="_x0000_s1043" style="position:absolute;left:3185;top:1519;width:6465;height:1740;visibility:visible;mso-wrap-style:square;v-text-anchor:top" coordsize="64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" path="m120,1740l60,1620,,1740r120,m1395,1635r-60,-120l1275,1635r120,m2655,1275r-60,-120l2535,1275r120,m3930,1605r-60,-120l3810,1605r120,m5205,1005l5145,885r-60,120l5205,1005m6465,120l6405,r-60,120l6465,120e" fillcolor="black" stroked="f">
                  <v:path arrowok="t" o:connecttype="custom" o:connectlocs="120,3259;60,3139;0,3259;120,3259;1395,3154;1335,3034;1275,3154;1395,3154;2655,2794;2595,2674;2535,2794;2655,2794;3930,3124;3870,3004;3810,3124;3930,3124;5205,2524;5145,2404;5085,2524;5205,2524;6465,1639;6405,1519;6345,1639;6465,1639" o:connectangles="0,0,0,0,0,0,0,0,0,0,0,0,0,0,0,0,0,0,0,0,0,0,0,0"/>
                </v:shape>
                <w10:wrap anchorx="page"/>
              </v:group>
            </w:pict>
          </mc:Fallback>
        </mc:AlternateContent>
      </w:r>
      <w:r>
        <w:rPr>
          <w:w w:val="105"/>
          <w:sz w:val="19"/>
        </w:rPr>
        <w:t>$250</w:t>
      </w:r>
    </w:p>
    <w:p w14:paraId="7326BB2D" w14:textId="77777777" w:rsidR="00EF3DFB" w:rsidRDefault="00EF3DFB">
      <w:pPr>
        <w:pStyle w:val="BodyText"/>
      </w:pPr>
    </w:p>
    <w:p w14:paraId="7326BB2E" w14:textId="77777777" w:rsidR="00EF3DFB" w:rsidRDefault="00EF3DFB">
      <w:pPr>
        <w:pStyle w:val="BodyText"/>
      </w:pPr>
    </w:p>
    <w:p w14:paraId="7326BB2F" w14:textId="77777777" w:rsidR="00EF3DFB" w:rsidRDefault="00EF3DFB">
      <w:pPr>
        <w:pStyle w:val="BodyText"/>
        <w:spacing w:before="4"/>
        <w:rPr>
          <w:sz w:val="17"/>
        </w:rPr>
      </w:pPr>
    </w:p>
    <w:p w14:paraId="7326BB30" w14:textId="77777777" w:rsidR="00EF3DFB" w:rsidRDefault="00D27C17">
      <w:pPr>
        <w:spacing w:before="97"/>
        <w:ind w:left="1380"/>
        <w:rPr>
          <w:sz w:val="19"/>
        </w:rPr>
      </w:pPr>
      <w:r>
        <w:rPr>
          <w:w w:val="105"/>
          <w:sz w:val="19"/>
        </w:rPr>
        <w:t>$200</w:t>
      </w:r>
    </w:p>
    <w:p w14:paraId="7326BB31" w14:textId="77777777" w:rsidR="00EF3DFB" w:rsidRDefault="00EF3DFB">
      <w:pPr>
        <w:pStyle w:val="BodyText"/>
      </w:pPr>
    </w:p>
    <w:p w14:paraId="7326BB32" w14:textId="77777777" w:rsidR="00EF3DFB" w:rsidRDefault="00EF3DFB">
      <w:pPr>
        <w:pStyle w:val="BodyText"/>
      </w:pPr>
    </w:p>
    <w:p w14:paraId="7326BB33" w14:textId="77777777" w:rsidR="00EF3DFB" w:rsidRDefault="00EF3DFB">
      <w:pPr>
        <w:pStyle w:val="BodyText"/>
        <w:spacing w:before="4"/>
        <w:rPr>
          <w:sz w:val="17"/>
        </w:rPr>
      </w:pPr>
    </w:p>
    <w:p w14:paraId="7326BB34" w14:textId="77777777" w:rsidR="00EF3DFB" w:rsidRDefault="00D27C17">
      <w:pPr>
        <w:spacing w:before="97"/>
        <w:ind w:left="1380"/>
        <w:rPr>
          <w:sz w:val="19"/>
        </w:rPr>
      </w:pPr>
      <w:r>
        <w:rPr>
          <w:w w:val="105"/>
          <w:sz w:val="19"/>
        </w:rPr>
        <w:t>$150</w:t>
      </w:r>
    </w:p>
    <w:p w14:paraId="7326BB35" w14:textId="77777777" w:rsidR="00EF3DFB" w:rsidRDefault="00EF3DFB">
      <w:pPr>
        <w:pStyle w:val="BodyText"/>
      </w:pPr>
    </w:p>
    <w:p w14:paraId="7326BB36" w14:textId="77777777" w:rsidR="00EF3DFB" w:rsidRDefault="00EF3DFB">
      <w:pPr>
        <w:pStyle w:val="BodyText"/>
      </w:pPr>
    </w:p>
    <w:p w14:paraId="7326BB37" w14:textId="77777777" w:rsidR="00EF3DFB" w:rsidRDefault="00EF3DFB">
      <w:pPr>
        <w:pStyle w:val="BodyText"/>
        <w:spacing w:before="4"/>
        <w:rPr>
          <w:sz w:val="17"/>
        </w:rPr>
      </w:pPr>
    </w:p>
    <w:p w14:paraId="7326BB38" w14:textId="77777777" w:rsidR="00EF3DFB" w:rsidRDefault="00D27C17">
      <w:pPr>
        <w:spacing w:before="97"/>
        <w:ind w:left="1380"/>
        <w:rPr>
          <w:sz w:val="19"/>
        </w:rPr>
      </w:pPr>
      <w:r>
        <w:rPr>
          <w:w w:val="105"/>
          <w:sz w:val="19"/>
        </w:rPr>
        <w:t>$100</w:t>
      </w:r>
    </w:p>
    <w:p w14:paraId="7326BB39" w14:textId="77777777" w:rsidR="00EF3DFB" w:rsidRDefault="00EF3DFB">
      <w:pPr>
        <w:pStyle w:val="BodyText"/>
      </w:pPr>
    </w:p>
    <w:p w14:paraId="7326BB3A" w14:textId="77777777" w:rsidR="00EF3DFB" w:rsidRDefault="00EF3DFB">
      <w:pPr>
        <w:pStyle w:val="BodyText"/>
      </w:pPr>
    </w:p>
    <w:p w14:paraId="7326BB3B" w14:textId="77777777" w:rsidR="00EF3DFB" w:rsidRDefault="00EF3DFB">
      <w:pPr>
        <w:pStyle w:val="BodyText"/>
        <w:spacing w:before="4"/>
        <w:rPr>
          <w:sz w:val="17"/>
        </w:rPr>
      </w:pPr>
    </w:p>
    <w:p w14:paraId="7326BB3C" w14:textId="77777777" w:rsidR="00EF3DFB" w:rsidRDefault="00D27C17">
      <w:pPr>
        <w:spacing w:before="97"/>
        <w:ind w:left="1470"/>
        <w:rPr>
          <w:sz w:val="19"/>
        </w:rPr>
      </w:pPr>
      <w:r>
        <w:rPr>
          <w:w w:val="105"/>
          <w:sz w:val="19"/>
        </w:rPr>
        <w:t>$50</w:t>
      </w:r>
    </w:p>
    <w:p w14:paraId="7326BB3D" w14:textId="77777777" w:rsidR="00EF3DFB" w:rsidRDefault="00EF3DFB">
      <w:pPr>
        <w:pStyle w:val="BodyText"/>
      </w:pPr>
    </w:p>
    <w:p w14:paraId="7326BB3E" w14:textId="77777777" w:rsidR="00EF3DFB" w:rsidRDefault="00EF3DFB">
      <w:pPr>
        <w:pStyle w:val="BodyText"/>
      </w:pPr>
    </w:p>
    <w:p w14:paraId="7326BB3F" w14:textId="77777777" w:rsidR="00EF3DFB" w:rsidRDefault="00EF3DFB">
      <w:pPr>
        <w:pStyle w:val="BodyText"/>
        <w:spacing w:before="8"/>
        <w:rPr>
          <w:sz w:val="18"/>
        </w:rPr>
      </w:pPr>
    </w:p>
    <w:p w14:paraId="7326BB40" w14:textId="77777777" w:rsidR="00EF3DFB" w:rsidRDefault="00D27C17">
      <w:pPr>
        <w:spacing w:before="97"/>
        <w:ind w:left="1575"/>
        <w:rPr>
          <w:sz w:val="19"/>
        </w:rPr>
      </w:pPr>
      <w:r>
        <w:rPr>
          <w:w w:val="105"/>
          <w:sz w:val="19"/>
        </w:rPr>
        <w:t>$0</w:t>
      </w:r>
    </w:p>
    <w:p w14:paraId="7326BB41" w14:textId="5A165AE5" w:rsidR="00EF3DFB" w:rsidRDefault="00D27C17">
      <w:pPr>
        <w:tabs>
          <w:tab w:val="left" w:pos="3449"/>
          <w:tab w:val="left" w:pos="4724"/>
          <w:tab w:val="left" w:pos="5984"/>
          <w:tab w:val="left" w:pos="7259"/>
          <w:tab w:val="left" w:pos="8534"/>
        </w:tabs>
        <w:spacing w:before="6"/>
        <w:ind w:left="2175"/>
        <w:rPr>
          <w:sz w:val="19"/>
        </w:rPr>
      </w:pPr>
      <w:r>
        <w:rPr>
          <w:noProof/>
        </w:rPr>
        <mc:AlternateContent>
          <mc:Choice Requires="wpg">
            <w:drawing>
              <wp:anchor distT="0" distB="0" distL="114300" distR="114300" simplePos="0" relativeHeight="1264" behindDoc="0" locked="0" layoutInCell="1" allowOverlap="1" wp14:anchorId="7326D6CE" wp14:editId="174F5902">
                <wp:simplePos x="0" y="0"/>
                <wp:positionH relativeFrom="page">
                  <wp:posOffset>1765300</wp:posOffset>
                </wp:positionH>
                <wp:positionV relativeFrom="paragraph">
                  <wp:posOffset>354330</wp:posOffset>
                </wp:positionV>
                <wp:extent cx="381000" cy="76200"/>
                <wp:effectExtent l="12700" t="4445" r="6350" b="0"/>
                <wp:wrapNone/>
                <wp:docPr id="557"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6200"/>
                          <a:chOff x="2780" y="558"/>
                          <a:chExt cx="600" cy="120"/>
                        </a:xfrm>
                      </wpg:grpSpPr>
                      <wps:wsp>
                        <wps:cNvPr id="558" name="AutoShape 542"/>
                        <wps:cNvSpPr>
                          <a:spLocks/>
                        </wps:cNvSpPr>
                        <wps:spPr bwMode="auto">
                          <a:xfrm>
                            <a:off x="2780" y="618"/>
                            <a:ext cx="600" cy="2"/>
                          </a:xfrm>
                          <a:custGeom>
                            <a:avLst/>
                            <a:gdLst>
                              <a:gd name="T0" fmla="+- 0 3140 2780"/>
                              <a:gd name="T1" fmla="*/ T0 w 600"/>
                              <a:gd name="T2" fmla="+- 0 3380 2780"/>
                              <a:gd name="T3" fmla="*/ T2 w 600"/>
                              <a:gd name="T4" fmla="+- 0 2780 2780"/>
                              <a:gd name="T5" fmla="*/ T4 w 600"/>
                              <a:gd name="T6" fmla="+- 0 3020 2780"/>
                              <a:gd name="T7" fmla="*/ T6 w 600"/>
                            </a:gdLst>
                            <a:ahLst/>
                            <a:cxnLst>
                              <a:cxn ang="0">
                                <a:pos x="T1" y="0"/>
                              </a:cxn>
                              <a:cxn ang="0">
                                <a:pos x="T3" y="0"/>
                              </a:cxn>
                              <a:cxn ang="0">
                                <a:pos x="T5" y="0"/>
                              </a:cxn>
                              <a:cxn ang="0">
                                <a:pos x="T7" y="0"/>
                              </a:cxn>
                            </a:cxnLst>
                            <a:rect l="0" t="0" r="r" b="b"/>
                            <a:pathLst>
                              <a:path w="600">
                                <a:moveTo>
                                  <a:pt x="360" y="0"/>
                                </a:moveTo>
                                <a:lnTo>
                                  <a:pt x="600" y="0"/>
                                </a:lnTo>
                                <a:moveTo>
                                  <a:pt x="0" y="0"/>
                                </a:moveTo>
                                <a:lnTo>
                                  <a:pt x="2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Rectangle 541"/>
                        <wps:cNvSpPr>
                          <a:spLocks noChangeArrowheads="1"/>
                        </wps:cNvSpPr>
                        <wps:spPr bwMode="auto">
                          <a:xfrm>
                            <a:off x="3020" y="558"/>
                            <a:ext cx="120"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E5922" id="Group 540" o:spid="_x0000_s1026" style="position:absolute;margin-left:139pt;margin-top:27.9pt;width:30pt;height:6pt;z-index:1264;mso-position-horizontal-relative:page" coordorigin="2780,558" coordsize="6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">
                <v:shape id="AutoShape 542" o:spid="_x0000_s1027" style="position:absolute;left:2780;top:618;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" path="m360,l600,m,l240,e" filled="f">
                  <v:path arrowok="t" o:connecttype="custom" o:connectlocs="360,0;600,0;0,0;240,0" o:connectangles="0,0,0,0"/>
                </v:shape>
                <v:rect id="Rectangle 541" o:spid="_x0000_s1028" style="position:absolute;left:3020;top:55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w10:wrap anchorx="page"/>
              </v:group>
            </w:pict>
          </mc:Fallback>
        </mc:AlternateContent>
      </w:r>
      <w:r>
        <w:rPr>
          <w:noProof/>
        </w:rPr>
        <w:drawing>
          <wp:anchor distT="0" distB="0" distL="0" distR="0" simplePos="0" relativeHeight="268023839" behindDoc="1" locked="0" layoutInCell="1" allowOverlap="1" wp14:anchorId="7326D6CF" wp14:editId="7326D6D0">
            <wp:simplePos x="0" y="0"/>
            <wp:positionH relativeFrom="page">
              <wp:posOffset>3323530</wp:posOffset>
            </wp:positionH>
            <wp:positionV relativeFrom="paragraph">
              <wp:posOffset>354571</wp:posOffset>
            </wp:positionV>
            <wp:extent cx="76200" cy="762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76200" cy="76200"/>
                    </a:xfrm>
                    <a:prstGeom prst="rect">
                      <a:avLst/>
                    </a:prstGeom>
                  </pic:spPr>
                </pic:pic>
              </a:graphicData>
            </a:graphic>
          </wp:anchor>
        </w:drawing>
      </w:r>
      <w:r>
        <w:rPr>
          <w:noProof/>
        </w:rPr>
        <mc:AlternateContent>
          <mc:Choice Requires="wps">
            <w:drawing>
              <wp:anchor distT="0" distB="0" distL="114300" distR="114300" simplePos="0" relativeHeight="502904888" behindDoc="1" locked="0" layoutInCell="1" allowOverlap="1" wp14:anchorId="7326D6D1" wp14:editId="38774C77">
                <wp:simplePos x="0" y="0"/>
                <wp:positionH relativeFrom="page">
                  <wp:posOffset>4587875</wp:posOffset>
                </wp:positionH>
                <wp:positionV relativeFrom="paragraph">
                  <wp:posOffset>354330</wp:posOffset>
                </wp:positionV>
                <wp:extent cx="76200" cy="76200"/>
                <wp:effectExtent l="6350" t="4445" r="3175" b="5080"/>
                <wp:wrapNone/>
                <wp:docPr id="556"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7285 7225"/>
                            <a:gd name="T1" fmla="*/ T0 w 120"/>
                            <a:gd name="T2" fmla="+- 0 558 558"/>
                            <a:gd name="T3" fmla="*/ 558 h 120"/>
                            <a:gd name="T4" fmla="+- 0 7225 7225"/>
                            <a:gd name="T5" fmla="*/ T4 w 120"/>
                            <a:gd name="T6" fmla="+- 0 678 558"/>
                            <a:gd name="T7" fmla="*/ 678 h 120"/>
                            <a:gd name="T8" fmla="+- 0 7345 7225"/>
                            <a:gd name="T9" fmla="*/ T8 w 120"/>
                            <a:gd name="T10" fmla="+- 0 678 558"/>
                            <a:gd name="T11" fmla="*/ 678 h 120"/>
                            <a:gd name="T12" fmla="+- 0 7285 7225"/>
                            <a:gd name="T13" fmla="*/ T12 w 120"/>
                            <a:gd name="T14" fmla="+- 0 558 558"/>
                            <a:gd name="T15" fmla="*/ 558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5CA3" id="Freeform 539" o:spid="_x0000_s1026" style="position:absolute;margin-left:361.25pt;margin-top:27.9pt;width:6pt;height:6pt;z-index:-411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" path="m60,l,120r120,l60,xe" fillcolor="black" stroked="f">
                <v:path arrowok="t" o:connecttype="custom" o:connectlocs="38100,354330;0,430530;76200,430530;38100,354330" o:connectangles="0,0,0,0"/>
                <w10:wrap anchorx="page"/>
              </v:shape>
            </w:pict>
          </mc:Fallback>
        </mc:AlternateContent>
      </w:r>
      <w:r>
        <w:rPr>
          <w:w w:val="105"/>
          <w:sz w:val="19"/>
        </w:rPr>
        <w:t>12/31/2015</w:t>
      </w:r>
      <w:r>
        <w:rPr>
          <w:w w:val="105"/>
          <w:sz w:val="19"/>
        </w:rPr>
        <w:tab/>
        <w:t>12/31/2016</w:t>
      </w:r>
      <w:r>
        <w:rPr>
          <w:w w:val="105"/>
          <w:sz w:val="19"/>
        </w:rPr>
        <w:tab/>
        <w:t>12/31/2017</w:t>
      </w:r>
      <w:r>
        <w:rPr>
          <w:w w:val="105"/>
          <w:sz w:val="19"/>
        </w:rPr>
        <w:tab/>
        <w:t>12/31/2018</w:t>
      </w:r>
      <w:r>
        <w:rPr>
          <w:w w:val="105"/>
          <w:sz w:val="19"/>
        </w:rPr>
        <w:tab/>
        <w:t>12/31/2019</w:t>
      </w:r>
      <w:r>
        <w:rPr>
          <w:w w:val="105"/>
          <w:sz w:val="19"/>
        </w:rPr>
        <w:tab/>
        <w:t>12/31/2020</w:t>
      </w:r>
    </w:p>
    <w:p w14:paraId="7326BB42" w14:textId="11723ED3" w:rsidR="00EF3DFB" w:rsidRDefault="00D27C17">
      <w:pPr>
        <w:pStyle w:val="BodyText"/>
        <w:rPr>
          <w:sz w:val="10"/>
        </w:rPr>
      </w:pPr>
      <w:r>
        <w:rPr>
          <w:noProof/>
        </w:rPr>
        <mc:AlternateContent>
          <mc:Choice Requires="wps">
            <w:drawing>
              <wp:anchor distT="0" distB="0" distL="0" distR="0" simplePos="0" relativeHeight="1216" behindDoc="0" locked="0" layoutInCell="1" allowOverlap="1" wp14:anchorId="7326D6D3" wp14:editId="6EC833A5">
                <wp:simplePos x="0" y="0"/>
                <wp:positionH relativeFrom="page">
                  <wp:posOffset>1679575</wp:posOffset>
                </wp:positionH>
                <wp:positionV relativeFrom="paragraph">
                  <wp:posOffset>107315</wp:posOffset>
                </wp:positionV>
                <wp:extent cx="4410075" cy="238125"/>
                <wp:effectExtent l="12700" t="13970" r="15875" b="14605"/>
                <wp:wrapTopAndBottom/>
                <wp:docPr id="555"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381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26D813" w14:textId="77777777" w:rsidR="00EF3DFB" w:rsidRDefault="00D27C17">
                            <w:pPr>
                              <w:tabs>
                                <w:tab w:val="left" w:pos="2333"/>
                                <w:tab w:val="left" w:pos="2971"/>
                                <w:tab w:val="left" w:pos="4324"/>
                                <w:tab w:val="left" w:pos="4962"/>
                              </w:tabs>
                              <w:spacing w:before="105"/>
                              <w:ind w:left="795"/>
                              <w:rPr>
                                <w:sz w:val="16"/>
                              </w:rPr>
                            </w:pPr>
                            <w:r>
                              <w:rPr>
                                <w:w w:val="105"/>
                                <w:sz w:val="16"/>
                              </w:rPr>
                              <w:t>Newell</w:t>
                            </w:r>
                            <w:r>
                              <w:rPr>
                                <w:spacing w:val="-3"/>
                                <w:w w:val="105"/>
                                <w:sz w:val="16"/>
                              </w:rPr>
                              <w:t xml:space="preserve"> </w:t>
                            </w:r>
                            <w:r>
                              <w:rPr>
                                <w:w w:val="105"/>
                                <w:sz w:val="16"/>
                              </w:rPr>
                              <w:t>Brands</w:t>
                            </w:r>
                            <w:r>
                              <w:rPr>
                                <w:spacing w:val="-3"/>
                                <w:w w:val="105"/>
                                <w:sz w:val="16"/>
                              </w:rPr>
                              <w:t xml:space="preserve"> </w:t>
                            </w:r>
                            <w:r>
                              <w:rPr>
                                <w:w w:val="105"/>
                                <w:sz w:val="16"/>
                              </w:rPr>
                              <w:t>Inc</w:t>
                            </w:r>
                            <w:r>
                              <w:rPr>
                                <w:w w:val="105"/>
                                <w:sz w:val="16"/>
                              </w:rPr>
                              <w:tab/>
                            </w:r>
                            <w:r>
                              <w:rPr>
                                <w:w w:val="105"/>
                                <w:sz w:val="16"/>
                                <w:u w:val="dotted"/>
                              </w:rPr>
                              <w:tab/>
                            </w:r>
                            <w:r>
                              <w:rPr>
                                <w:w w:val="105"/>
                                <w:sz w:val="16"/>
                              </w:rPr>
                              <w:t>S&amp;P</w:t>
                            </w:r>
                            <w:r>
                              <w:rPr>
                                <w:spacing w:val="-3"/>
                                <w:w w:val="105"/>
                                <w:sz w:val="16"/>
                              </w:rPr>
                              <w:t xml:space="preserve"> </w:t>
                            </w:r>
                            <w:r>
                              <w:rPr>
                                <w:w w:val="105"/>
                                <w:sz w:val="16"/>
                              </w:rPr>
                              <w:t>500</w:t>
                            </w:r>
                            <w:r>
                              <w:rPr>
                                <w:spacing w:val="-3"/>
                                <w:w w:val="105"/>
                                <w:sz w:val="16"/>
                              </w:rPr>
                              <w:t xml:space="preserve"> </w:t>
                            </w:r>
                            <w:r>
                              <w:rPr>
                                <w:w w:val="105"/>
                                <w:sz w:val="16"/>
                              </w:rPr>
                              <w:t>index</w:t>
                            </w:r>
                            <w:r>
                              <w:rPr>
                                <w:w w:val="105"/>
                                <w:sz w:val="16"/>
                              </w:rPr>
                              <w:tab/>
                            </w:r>
                            <w:r>
                              <w:rPr>
                                <w:w w:val="105"/>
                                <w:sz w:val="16"/>
                                <w:u w:val="dotted"/>
                              </w:rPr>
                              <w:tab/>
                            </w:r>
                            <w:r>
                              <w:rPr>
                                <w:w w:val="105"/>
                                <w:sz w:val="16"/>
                              </w:rPr>
                              <w:t>DJ Consumer Goods</w:t>
                            </w:r>
                            <w:r>
                              <w:rPr>
                                <w:spacing w:val="-8"/>
                                <w:w w:val="105"/>
                                <w:sz w:val="16"/>
                              </w:rPr>
                              <w:t xml:space="preserve"> </w:t>
                            </w:r>
                            <w:r>
                              <w:rPr>
                                <w:w w:val="105"/>
                                <w:sz w:val="16"/>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6D3" id="_x0000_t202" coordsize="21600,21600" o:spt="202" path="m,l,21600r21600,l21600,xe">
                <v:stroke joinstyle="miter"/>
                <v:path gradientshapeok="t" o:connecttype="rect"/>
              </v:shapetype>
              <v:shape id="Text Box 538" o:spid="_x0000_s1026" type="#_x0000_t202" style="position:absolute;margin-left:132.25pt;margin-top:8.45pt;width:347.25pt;height:18.75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" filled="f" strokeweight="1.5pt">
                <v:textbox inset="0,0,0,0">
                  <w:txbxContent>
                    <w:p w14:paraId="7326D813" w14:textId="77777777" w:rsidR="00EF3DFB" w:rsidRDefault="00D27C17">
                      <w:pPr>
                        <w:tabs>
                          <w:tab w:val="left" w:pos="2333"/>
                          <w:tab w:val="left" w:pos="2971"/>
                          <w:tab w:val="left" w:pos="4324"/>
                          <w:tab w:val="left" w:pos="4962"/>
                        </w:tabs>
                        <w:spacing w:before="105"/>
                        <w:ind w:left="795"/>
                        <w:rPr>
                          <w:sz w:val="16"/>
                        </w:rPr>
                      </w:pPr>
                      <w:r>
                        <w:rPr>
                          <w:w w:val="105"/>
                          <w:sz w:val="16"/>
                        </w:rPr>
                        <w:t>Newell</w:t>
                      </w:r>
                      <w:r>
                        <w:rPr>
                          <w:spacing w:val="-3"/>
                          <w:w w:val="105"/>
                          <w:sz w:val="16"/>
                        </w:rPr>
                        <w:t xml:space="preserve"> </w:t>
                      </w:r>
                      <w:r>
                        <w:rPr>
                          <w:w w:val="105"/>
                          <w:sz w:val="16"/>
                        </w:rPr>
                        <w:t>Brands</w:t>
                      </w:r>
                      <w:r>
                        <w:rPr>
                          <w:spacing w:val="-3"/>
                          <w:w w:val="105"/>
                          <w:sz w:val="16"/>
                        </w:rPr>
                        <w:t xml:space="preserve"> </w:t>
                      </w:r>
                      <w:r>
                        <w:rPr>
                          <w:w w:val="105"/>
                          <w:sz w:val="16"/>
                        </w:rPr>
                        <w:t>Inc</w:t>
                      </w:r>
                      <w:r>
                        <w:rPr>
                          <w:w w:val="105"/>
                          <w:sz w:val="16"/>
                        </w:rPr>
                        <w:tab/>
                      </w:r>
                      <w:r>
                        <w:rPr>
                          <w:w w:val="105"/>
                          <w:sz w:val="16"/>
                          <w:u w:val="dotted"/>
                        </w:rPr>
                        <w:tab/>
                      </w:r>
                      <w:r>
                        <w:rPr>
                          <w:w w:val="105"/>
                          <w:sz w:val="16"/>
                        </w:rPr>
                        <w:t>S&amp;P</w:t>
                      </w:r>
                      <w:r>
                        <w:rPr>
                          <w:spacing w:val="-3"/>
                          <w:w w:val="105"/>
                          <w:sz w:val="16"/>
                        </w:rPr>
                        <w:t xml:space="preserve"> </w:t>
                      </w:r>
                      <w:r>
                        <w:rPr>
                          <w:w w:val="105"/>
                          <w:sz w:val="16"/>
                        </w:rPr>
                        <w:t>500</w:t>
                      </w:r>
                      <w:r>
                        <w:rPr>
                          <w:spacing w:val="-3"/>
                          <w:w w:val="105"/>
                          <w:sz w:val="16"/>
                        </w:rPr>
                        <w:t xml:space="preserve"> </w:t>
                      </w:r>
                      <w:r>
                        <w:rPr>
                          <w:w w:val="105"/>
                          <w:sz w:val="16"/>
                        </w:rPr>
                        <w:t>index</w:t>
                      </w:r>
                      <w:r>
                        <w:rPr>
                          <w:w w:val="105"/>
                          <w:sz w:val="16"/>
                        </w:rPr>
                        <w:tab/>
                      </w:r>
                      <w:r>
                        <w:rPr>
                          <w:w w:val="105"/>
                          <w:sz w:val="16"/>
                          <w:u w:val="dotted"/>
                        </w:rPr>
                        <w:tab/>
                      </w:r>
                      <w:r>
                        <w:rPr>
                          <w:w w:val="105"/>
                          <w:sz w:val="16"/>
                        </w:rPr>
                        <w:t>DJ Consumer Goods</w:t>
                      </w:r>
                      <w:r>
                        <w:rPr>
                          <w:spacing w:val="-8"/>
                          <w:w w:val="105"/>
                          <w:sz w:val="16"/>
                        </w:rPr>
                        <w:t xml:space="preserve"> </w:t>
                      </w:r>
                      <w:r>
                        <w:rPr>
                          <w:w w:val="105"/>
                          <w:sz w:val="16"/>
                        </w:rPr>
                        <w:t>Index</w:t>
                      </w:r>
                    </w:p>
                  </w:txbxContent>
                </v:textbox>
                <w10:wrap type="topAndBottom" anchorx="page"/>
              </v:shape>
            </w:pict>
          </mc:Fallback>
        </mc:AlternateContent>
      </w:r>
    </w:p>
    <w:p w14:paraId="7326BB43" w14:textId="77777777" w:rsidR="00EF3DFB" w:rsidRDefault="00EF3DFB">
      <w:pPr>
        <w:rPr>
          <w:sz w:val="10"/>
        </w:rPr>
        <w:sectPr w:rsidR="00EF3DFB">
          <w:pgSz w:w="12240" w:h="15840"/>
          <w:pgMar w:top="600" w:right="640" w:bottom="480" w:left="620" w:header="0" w:footer="291" w:gutter="0"/>
          <w:cols w:space="720"/>
        </w:sectPr>
      </w:pPr>
    </w:p>
    <w:p w14:paraId="7326BB44" w14:textId="77777777" w:rsidR="00EF3DFB" w:rsidRDefault="00D27C17">
      <w:pPr>
        <w:pStyle w:val="Heading2"/>
        <w:spacing w:before="68"/>
        <w:ind w:left="3295"/>
        <w:jc w:val="left"/>
      </w:pPr>
      <w:r>
        <w:lastRenderedPageBreak/>
        <w:t>ISSUER PURCHASES OF EQUITY SECURITIES</w:t>
      </w:r>
    </w:p>
    <w:p w14:paraId="7326BB45" w14:textId="77777777" w:rsidR="00EF3DFB" w:rsidRDefault="00D27C17">
      <w:pPr>
        <w:pStyle w:val="BodyText"/>
        <w:spacing w:before="134" w:line="249" w:lineRule="auto"/>
        <w:ind w:left="190" w:right="333"/>
      </w:pPr>
      <w:r>
        <w:t>The following table provides information about the Company’s purchases of equity securities during the three months ended December 31, 2020:</w:t>
      </w:r>
    </w:p>
    <w:p w14:paraId="7326BB46" w14:textId="77777777" w:rsidR="00EF3DFB" w:rsidRDefault="00EF3DFB">
      <w:pPr>
        <w:pStyle w:val="BodyText"/>
        <w:spacing w:before="7"/>
        <w:rPr>
          <w:sz w:val="12"/>
        </w:rPr>
      </w:pPr>
    </w:p>
    <w:p w14:paraId="7326BB47" w14:textId="77777777" w:rsidR="00EF3DFB" w:rsidRDefault="00EF3DFB">
      <w:pPr>
        <w:rPr>
          <w:sz w:val="12"/>
        </w:rPr>
        <w:sectPr w:rsidR="00EF3DFB">
          <w:pgSz w:w="12240" w:h="15840"/>
          <w:pgMar w:top="600" w:right="640" w:bottom="480" w:left="620" w:header="0" w:footer="291" w:gutter="0"/>
          <w:cols w:space="720"/>
        </w:sectPr>
      </w:pPr>
    </w:p>
    <w:p w14:paraId="7326BB48" w14:textId="77777777" w:rsidR="00EF3DFB" w:rsidRDefault="00EF3DFB">
      <w:pPr>
        <w:pStyle w:val="BodyText"/>
        <w:rPr>
          <w:sz w:val="18"/>
        </w:rPr>
      </w:pPr>
    </w:p>
    <w:p w14:paraId="7326BB49" w14:textId="77777777" w:rsidR="00EF3DFB" w:rsidRDefault="00EF3DFB">
      <w:pPr>
        <w:pStyle w:val="BodyText"/>
        <w:rPr>
          <w:sz w:val="18"/>
        </w:rPr>
      </w:pPr>
    </w:p>
    <w:p w14:paraId="7326BB4A" w14:textId="77777777" w:rsidR="00EF3DFB" w:rsidRDefault="00EF3DFB">
      <w:pPr>
        <w:pStyle w:val="BodyText"/>
        <w:rPr>
          <w:sz w:val="18"/>
        </w:rPr>
      </w:pPr>
    </w:p>
    <w:p w14:paraId="7326BB4B" w14:textId="77777777" w:rsidR="00EF3DFB" w:rsidRDefault="00EF3DFB">
      <w:pPr>
        <w:pStyle w:val="BodyText"/>
        <w:rPr>
          <w:sz w:val="18"/>
        </w:rPr>
      </w:pPr>
    </w:p>
    <w:p w14:paraId="7326BB4C" w14:textId="77777777" w:rsidR="00EF3DFB" w:rsidRDefault="00EF3DFB">
      <w:pPr>
        <w:pStyle w:val="BodyText"/>
        <w:rPr>
          <w:sz w:val="18"/>
        </w:rPr>
      </w:pPr>
    </w:p>
    <w:p w14:paraId="7326BB4D" w14:textId="77777777" w:rsidR="00EF3DFB" w:rsidRDefault="00EF3DFB">
      <w:pPr>
        <w:pStyle w:val="BodyText"/>
        <w:spacing w:before="4"/>
        <w:rPr>
          <w:sz w:val="18"/>
        </w:rPr>
      </w:pPr>
    </w:p>
    <w:p w14:paraId="7326BB4E" w14:textId="739CC3FF" w:rsidR="00EF3DFB" w:rsidRDefault="00D27C17">
      <w:pPr>
        <w:ind w:left="242"/>
        <w:rPr>
          <w:b/>
          <w:sz w:val="16"/>
        </w:rPr>
      </w:pPr>
      <w:r>
        <w:rPr>
          <w:noProof/>
        </w:rPr>
        <mc:AlternateContent>
          <mc:Choice Requires="wps">
            <w:drawing>
              <wp:anchor distT="0" distB="0" distL="114300" distR="114300" simplePos="0" relativeHeight="1384" behindDoc="0" locked="0" layoutInCell="1" allowOverlap="1" wp14:anchorId="7326D6D4" wp14:editId="32C2BB6B">
                <wp:simplePos x="0" y="0"/>
                <wp:positionH relativeFrom="page">
                  <wp:posOffset>514350</wp:posOffset>
                </wp:positionH>
                <wp:positionV relativeFrom="paragraph">
                  <wp:posOffset>135890</wp:posOffset>
                </wp:positionV>
                <wp:extent cx="2724150" cy="0"/>
                <wp:effectExtent l="9525" t="5715" r="9525" b="13335"/>
                <wp:wrapNone/>
                <wp:docPr id="554"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E8FA" id="Line 537"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0.7pt" to="2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" strokeweight="0">
                <w10:wrap anchorx="page"/>
              </v:line>
            </w:pict>
          </mc:Fallback>
        </mc:AlternateContent>
      </w:r>
      <w:r>
        <w:rPr>
          <w:b/>
          <w:sz w:val="16"/>
        </w:rPr>
        <w:t>Calendar Month</w:t>
      </w:r>
    </w:p>
    <w:p w14:paraId="7326BB4F" w14:textId="77777777" w:rsidR="00EF3DFB" w:rsidRDefault="00D27C17">
      <w:pPr>
        <w:pStyle w:val="BodyText"/>
        <w:rPr>
          <w:b/>
          <w:sz w:val="18"/>
        </w:rPr>
      </w:pPr>
      <w:r>
        <w:br w:type="column"/>
      </w:r>
    </w:p>
    <w:p w14:paraId="7326BB50" w14:textId="77777777" w:rsidR="00EF3DFB" w:rsidRDefault="00EF3DFB">
      <w:pPr>
        <w:pStyle w:val="BodyText"/>
        <w:rPr>
          <w:b/>
          <w:sz w:val="18"/>
        </w:rPr>
      </w:pPr>
    </w:p>
    <w:p w14:paraId="7326BB51" w14:textId="77777777" w:rsidR="00EF3DFB" w:rsidRDefault="00EF3DFB">
      <w:pPr>
        <w:pStyle w:val="BodyText"/>
        <w:rPr>
          <w:b/>
          <w:sz w:val="18"/>
        </w:rPr>
      </w:pPr>
    </w:p>
    <w:p w14:paraId="7326BB52" w14:textId="77777777" w:rsidR="00EF3DFB" w:rsidRDefault="00EF3DFB">
      <w:pPr>
        <w:pStyle w:val="BodyText"/>
        <w:spacing w:before="10"/>
        <w:rPr>
          <w:b/>
        </w:rPr>
      </w:pPr>
    </w:p>
    <w:p w14:paraId="7326BB53" w14:textId="77777777" w:rsidR="00EF3DFB" w:rsidRDefault="00D27C17">
      <w:pPr>
        <w:spacing w:before="1" w:line="249" w:lineRule="auto"/>
        <w:ind w:left="242" w:right="38"/>
        <w:jc w:val="center"/>
        <w:rPr>
          <w:b/>
          <w:sz w:val="16"/>
        </w:rPr>
      </w:pPr>
      <w:r>
        <w:rPr>
          <w:b/>
          <w:sz w:val="16"/>
        </w:rPr>
        <w:t>Total Number of Shares Purchased (1)</w:t>
      </w:r>
    </w:p>
    <w:p w14:paraId="7326BB54" w14:textId="77777777" w:rsidR="00EF3DFB" w:rsidRDefault="00D27C17">
      <w:pPr>
        <w:pStyle w:val="BodyText"/>
        <w:rPr>
          <w:b/>
          <w:sz w:val="18"/>
        </w:rPr>
      </w:pPr>
      <w:r>
        <w:br w:type="column"/>
      </w:r>
    </w:p>
    <w:p w14:paraId="7326BB55" w14:textId="77777777" w:rsidR="00EF3DFB" w:rsidRDefault="00EF3DFB">
      <w:pPr>
        <w:pStyle w:val="BodyText"/>
        <w:rPr>
          <w:b/>
          <w:sz w:val="18"/>
        </w:rPr>
      </w:pPr>
    </w:p>
    <w:p w14:paraId="7326BB56" w14:textId="77777777" w:rsidR="00EF3DFB" w:rsidRDefault="00EF3DFB">
      <w:pPr>
        <w:pStyle w:val="BodyText"/>
        <w:rPr>
          <w:b/>
          <w:sz w:val="18"/>
        </w:rPr>
      </w:pPr>
    </w:p>
    <w:p w14:paraId="7326BB57" w14:textId="77777777" w:rsidR="00EF3DFB" w:rsidRDefault="00EF3DFB">
      <w:pPr>
        <w:pStyle w:val="BodyText"/>
        <w:spacing w:before="10"/>
        <w:rPr>
          <w:b/>
        </w:rPr>
      </w:pPr>
    </w:p>
    <w:p w14:paraId="7326BB58" w14:textId="77777777" w:rsidR="00EF3DFB" w:rsidRDefault="00D27C17">
      <w:pPr>
        <w:spacing w:before="1" w:line="249" w:lineRule="auto"/>
        <w:ind w:left="242" w:right="20" w:firstLine="68"/>
        <w:rPr>
          <w:b/>
          <w:sz w:val="16"/>
        </w:rPr>
      </w:pPr>
      <w:r>
        <w:rPr>
          <w:b/>
          <w:sz w:val="16"/>
        </w:rPr>
        <w:t>Average Price Paid Per Share</w:t>
      </w:r>
    </w:p>
    <w:p w14:paraId="7326BB59" w14:textId="77777777" w:rsidR="00EF3DFB" w:rsidRDefault="00D27C17">
      <w:pPr>
        <w:pStyle w:val="BodyText"/>
        <w:rPr>
          <w:b/>
          <w:sz w:val="18"/>
        </w:rPr>
      </w:pPr>
      <w:r>
        <w:br w:type="column"/>
      </w:r>
    </w:p>
    <w:p w14:paraId="7326BB5A" w14:textId="77777777" w:rsidR="00EF3DFB" w:rsidRDefault="00EF3DFB">
      <w:pPr>
        <w:pStyle w:val="BodyText"/>
        <w:rPr>
          <w:b/>
          <w:sz w:val="18"/>
        </w:rPr>
      </w:pPr>
    </w:p>
    <w:p w14:paraId="7326BB5B" w14:textId="77777777" w:rsidR="00EF3DFB" w:rsidRDefault="00EF3DFB">
      <w:pPr>
        <w:pStyle w:val="BodyText"/>
        <w:spacing w:before="2"/>
        <w:rPr>
          <w:b/>
          <w:sz w:val="22"/>
        </w:rPr>
      </w:pPr>
    </w:p>
    <w:p w14:paraId="7326BB5C" w14:textId="77777777" w:rsidR="00EF3DFB" w:rsidRDefault="00D27C17">
      <w:pPr>
        <w:spacing w:before="1" w:line="249" w:lineRule="auto"/>
        <w:ind w:left="242" w:right="38"/>
        <w:jc w:val="center"/>
        <w:rPr>
          <w:b/>
          <w:sz w:val="16"/>
        </w:rPr>
      </w:pPr>
      <w:r>
        <w:rPr>
          <w:b/>
          <w:sz w:val="16"/>
        </w:rPr>
        <w:t>Total Number of Shares Purchased as Part of Publicly Announced Plans or Programs</w:t>
      </w:r>
    </w:p>
    <w:p w14:paraId="7326BB5D" w14:textId="77777777" w:rsidR="00EF3DFB" w:rsidRDefault="00D27C17">
      <w:pPr>
        <w:spacing w:before="94" w:line="249" w:lineRule="auto"/>
        <w:ind w:left="242" w:right="466" w:hanging="1"/>
        <w:jc w:val="center"/>
        <w:rPr>
          <w:b/>
          <w:sz w:val="16"/>
        </w:rPr>
      </w:pPr>
      <w:r>
        <w:br w:type="column"/>
      </w:r>
      <w:r>
        <w:rPr>
          <w:b/>
          <w:sz w:val="16"/>
        </w:rPr>
        <w:t>Maximum Approximate Dollar Value of Shares that May Yet Be Purchased Under the Plans or Programs</w:t>
      </w:r>
    </w:p>
    <w:p w14:paraId="7326BB5E" w14:textId="77777777" w:rsidR="00EF3DFB" w:rsidRDefault="00EF3DFB">
      <w:pPr>
        <w:spacing w:line="249" w:lineRule="auto"/>
        <w:jc w:val="center"/>
        <w:rPr>
          <w:sz w:val="16"/>
        </w:rPr>
        <w:sectPr w:rsidR="00EF3DFB">
          <w:type w:val="continuous"/>
          <w:pgSz w:w="12240" w:h="15840"/>
          <w:pgMar w:top="760" w:right="640" w:bottom="280" w:left="620" w:header="720" w:footer="720" w:gutter="0"/>
          <w:cols w:num="5" w:space="720" w:equalWidth="0">
            <w:col w:w="1425" w:space="3001"/>
            <w:col w:w="1256" w:space="152"/>
            <w:col w:w="989" w:space="123"/>
            <w:col w:w="1931" w:space="174"/>
            <w:col w:w="1929"/>
          </w:cols>
        </w:sectPr>
      </w:pPr>
    </w:p>
    <w:tbl>
      <w:tblPr>
        <w:tblW w:w="0" w:type="auto"/>
        <w:tblInd w:w="190" w:type="dxa"/>
        <w:tblLayout w:type="fixed"/>
        <w:tblCellMar>
          <w:left w:w="0" w:type="dxa"/>
          <w:right w:w="0" w:type="dxa"/>
        </w:tblCellMar>
        <w:tblLook w:val="01E0" w:firstRow="1" w:lastRow="1" w:firstColumn="1" w:lastColumn="1" w:noHBand="0" w:noVBand="0"/>
      </w:tblPr>
      <w:tblGrid>
        <w:gridCol w:w="4365"/>
        <w:gridCol w:w="1200"/>
        <w:gridCol w:w="1350"/>
        <w:gridCol w:w="1815"/>
        <w:gridCol w:w="1890"/>
      </w:tblGrid>
      <w:tr w:rsidR="00EF3DFB" w14:paraId="7326BB63" w14:textId="77777777">
        <w:trPr>
          <w:trHeight w:val="275"/>
        </w:trPr>
        <w:tc>
          <w:tcPr>
            <w:tcW w:w="5565" w:type="dxa"/>
            <w:gridSpan w:val="2"/>
            <w:tcBorders>
              <w:top w:val="single" w:sz="8" w:space="0" w:color="000000"/>
            </w:tcBorders>
            <w:shd w:val="clear" w:color="auto" w:fill="CCEDFF"/>
          </w:tcPr>
          <w:p w14:paraId="7326BB5F" w14:textId="77777777" w:rsidR="00EF3DFB" w:rsidRDefault="00D27C17">
            <w:pPr>
              <w:pStyle w:val="TableParagraph"/>
              <w:tabs>
                <w:tab w:val="left" w:pos="5283"/>
              </w:tabs>
              <w:spacing w:line="244" w:lineRule="exact"/>
              <w:ind w:left="52"/>
              <w:rPr>
                <w:sz w:val="20"/>
              </w:rPr>
            </w:pPr>
            <w:r>
              <w:rPr>
                <w:sz w:val="20"/>
              </w:rPr>
              <w:t>October</w:t>
            </w:r>
            <w:r>
              <w:rPr>
                <w:sz w:val="20"/>
              </w:rPr>
              <w:tab/>
            </w:r>
            <w:r>
              <w:rPr>
                <w:position w:val="-1"/>
                <w:sz w:val="20"/>
              </w:rPr>
              <w:t>—</w:t>
            </w:r>
          </w:p>
        </w:tc>
        <w:tc>
          <w:tcPr>
            <w:tcW w:w="1350" w:type="dxa"/>
            <w:tcBorders>
              <w:top w:val="single" w:sz="8" w:space="0" w:color="000000"/>
            </w:tcBorders>
            <w:shd w:val="clear" w:color="auto" w:fill="CCEDFF"/>
          </w:tcPr>
          <w:p w14:paraId="7326BB60" w14:textId="77777777" w:rsidR="00EF3DFB" w:rsidRDefault="00D27C17">
            <w:pPr>
              <w:pStyle w:val="TableParagraph"/>
              <w:tabs>
                <w:tab w:val="left" w:pos="865"/>
              </w:tabs>
              <w:spacing w:before="15"/>
              <w:ind w:right="154"/>
              <w:jc w:val="right"/>
              <w:rPr>
                <w:sz w:val="20"/>
              </w:rPr>
            </w:pPr>
            <w:r>
              <w:rPr>
                <w:sz w:val="20"/>
              </w:rPr>
              <w:t>$</w:t>
            </w:r>
            <w:r>
              <w:rPr>
                <w:sz w:val="20"/>
              </w:rPr>
              <w:tab/>
              <w:t>—</w:t>
            </w:r>
          </w:p>
        </w:tc>
        <w:tc>
          <w:tcPr>
            <w:tcW w:w="1815" w:type="dxa"/>
            <w:tcBorders>
              <w:top w:val="single" w:sz="8" w:space="0" w:color="000000"/>
            </w:tcBorders>
            <w:shd w:val="clear" w:color="auto" w:fill="CCEDFF"/>
          </w:tcPr>
          <w:p w14:paraId="7326BB61" w14:textId="77777777" w:rsidR="00EF3DFB" w:rsidRDefault="00D27C17">
            <w:pPr>
              <w:pStyle w:val="TableParagraph"/>
              <w:spacing w:before="15"/>
              <w:ind w:right="79"/>
              <w:jc w:val="right"/>
              <w:rPr>
                <w:sz w:val="20"/>
              </w:rPr>
            </w:pPr>
            <w:r>
              <w:rPr>
                <w:sz w:val="20"/>
              </w:rPr>
              <w:t>—</w:t>
            </w:r>
          </w:p>
        </w:tc>
        <w:tc>
          <w:tcPr>
            <w:tcW w:w="1890" w:type="dxa"/>
            <w:tcBorders>
              <w:top w:val="single" w:sz="8" w:space="0" w:color="000000"/>
            </w:tcBorders>
            <w:shd w:val="clear" w:color="auto" w:fill="CCEDFF"/>
          </w:tcPr>
          <w:p w14:paraId="7326BB62" w14:textId="77777777" w:rsidR="00EF3DFB" w:rsidRDefault="00D27C17">
            <w:pPr>
              <w:pStyle w:val="TableParagraph"/>
              <w:tabs>
                <w:tab w:val="left" w:pos="1480"/>
              </w:tabs>
              <w:spacing w:before="15"/>
              <w:ind w:right="79"/>
              <w:jc w:val="right"/>
              <w:rPr>
                <w:sz w:val="20"/>
              </w:rPr>
            </w:pPr>
            <w:r>
              <w:rPr>
                <w:sz w:val="20"/>
              </w:rPr>
              <w:t>$</w:t>
            </w:r>
            <w:r>
              <w:rPr>
                <w:sz w:val="20"/>
              </w:rPr>
              <w:tab/>
              <w:t>—</w:t>
            </w:r>
          </w:p>
        </w:tc>
      </w:tr>
      <w:tr w:rsidR="00EF3DFB" w14:paraId="7326BB69" w14:textId="77777777">
        <w:trPr>
          <w:trHeight w:val="285"/>
        </w:trPr>
        <w:tc>
          <w:tcPr>
            <w:tcW w:w="4365" w:type="dxa"/>
          </w:tcPr>
          <w:p w14:paraId="7326BB64" w14:textId="77777777" w:rsidR="00EF3DFB" w:rsidRDefault="00D27C17">
            <w:pPr>
              <w:pStyle w:val="TableParagraph"/>
              <w:spacing w:before="4"/>
              <w:ind w:right="3466"/>
              <w:jc w:val="right"/>
              <w:rPr>
                <w:sz w:val="20"/>
              </w:rPr>
            </w:pPr>
            <w:r>
              <w:rPr>
                <w:sz w:val="20"/>
              </w:rPr>
              <w:t>November</w:t>
            </w:r>
          </w:p>
        </w:tc>
        <w:tc>
          <w:tcPr>
            <w:tcW w:w="1200" w:type="dxa"/>
          </w:tcPr>
          <w:p w14:paraId="7326BB65" w14:textId="77777777" w:rsidR="00EF3DFB" w:rsidRDefault="00D27C17">
            <w:pPr>
              <w:pStyle w:val="TableParagraph"/>
              <w:spacing w:before="25"/>
              <w:ind w:right="79"/>
              <w:jc w:val="right"/>
              <w:rPr>
                <w:sz w:val="20"/>
              </w:rPr>
            </w:pPr>
            <w:r>
              <w:rPr>
                <w:sz w:val="20"/>
              </w:rPr>
              <w:t>19,361</w:t>
            </w:r>
          </w:p>
        </w:tc>
        <w:tc>
          <w:tcPr>
            <w:tcW w:w="1350" w:type="dxa"/>
          </w:tcPr>
          <w:p w14:paraId="7326BB66" w14:textId="77777777" w:rsidR="00EF3DFB" w:rsidRDefault="00D27C17">
            <w:pPr>
              <w:pStyle w:val="TableParagraph"/>
              <w:spacing w:before="25"/>
              <w:ind w:right="154"/>
              <w:jc w:val="right"/>
              <w:rPr>
                <w:sz w:val="20"/>
              </w:rPr>
            </w:pPr>
            <w:r>
              <w:rPr>
                <w:sz w:val="20"/>
              </w:rPr>
              <w:t>18.88</w:t>
            </w:r>
          </w:p>
        </w:tc>
        <w:tc>
          <w:tcPr>
            <w:tcW w:w="1815" w:type="dxa"/>
          </w:tcPr>
          <w:p w14:paraId="7326BB67" w14:textId="77777777" w:rsidR="00EF3DFB" w:rsidRDefault="00D27C17">
            <w:pPr>
              <w:pStyle w:val="TableParagraph"/>
              <w:spacing w:before="25"/>
              <w:ind w:right="79"/>
              <w:jc w:val="right"/>
              <w:rPr>
                <w:sz w:val="20"/>
              </w:rPr>
            </w:pPr>
            <w:r>
              <w:rPr>
                <w:sz w:val="20"/>
              </w:rPr>
              <w:t>—</w:t>
            </w:r>
          </w:p>
        </w:tc>
        <w:tc>
          <w:tcPr>
            <w:tcW w:w="1890" w:type="dxa"/>
          </w:tcPr>
          <w:p w14:paraId="7326BB68" w14:textId="77777777" w:rsidR="00EF3DFB" w:rsidRDefault="00D27C17">
            <w:pPr>
              <w:pStyle w:val="TableParagraph"/>
              <w:spacing w:before="25"/>
              <w:ind w:right="79"/>
              <w:jc w:val="right"/>
              <w:rPr>
                <w:sz w:val="20"/>
              </w:rPr>
            </w:pPr>
            <w:r>
              <w:rPr>
                <w:sz w:val="20"/>
              </w:rPr>
              <w:t>—</w:t>
            </w:r>
          </w:p>
        </w:tc>
      </w:tr>
      <w:tr w:rsidR="00EF3DFB" w14:paraId="7326BB6F" w14:textId="77777777">
        <w:trPr>
          <w:trHeight w:val="275"/>
        </w:trPr>
        <w:tc>
          <w:tcPr>
            <w:tcW w:w="4365" w:type="dxa"/>
            <w:shd w:val="clear" w:color="auto" w:fill="CCEDFF"/>
          </w:tcPr>
          <w:p w14:paraId="7326BB6A" w14:textId="77777777" w:rsidR="00EF3DFB" w:rsidRDefault="00D27C17">
            <w:pPr>
              <w:pStyle w:val="TableParagraph"/>
              <w:spacing w:before="4"/>
              <w:ind w:right="3489"/>
              <w:jc w:val="right"/>
              <w:rPr>
                <w:sz w:val="20"/>
              </w:rPr>
            </w:pPr>
            <w:r>
              <w:rPr>
                <w:sz w:val="20"/>
              </w:rPr>
              <w:t>December</w:t>
            </w:r>
          </w:p>
        </w:tc>
        <w:tc>
          <w:tcPr>
            <w:tcW w:w="1200" w:type="dxa"/>
            <w:tcBorders>
              <w:bottom w:val="single" w:sz="8" w:space="0" w:color="000000"/>
            </w:tcBorders>
            <w:shd w:val="clear" w:color="auto" w:fill="CCEDFF"/>
          </w:tcPr>
          <w:p w14:paraId="7326BB6B" w14:textId="77777777" w:rsidR="00EF3DFB" w:rsidRDefault="00D27C17">
            <w:pPr>
              <w:pStyle w:val="TableParagraph"/>
              <w:spacing w:before="25" w:line="230" w:lineRule="exact"/>
              <w:ind w:right="79"/>
              <w:jc w:val="right"/>
              <w:rPr>
                <w:sz w:val="20"/>
              </w:rPr>
            </w:pPr>
            <w:r>
              <w:rPr>
                <w:sz w:val="20"/>
              </w:rPr>
              <w:t>26,020</w:t>
            </w:r>
          </w:p>
        </w:tc>
        <w:tc>
          <w:tcPr>
            <w:tcW w:w="1350" w:type="dxa"/>
            <w:shd w:val="clear" w:color="auto" w:fill="CCEDFF"/>
          </w:tcPr>
          <w:p w14:paraId="7326BB6C" w14:textId="77777777" w:rsidR="00EF3DFB" w:rsidRDefault="00D27C17">
            <w:pPr>
              <w:pStyle w:val="TableParagraph"/>
              <w:spacing w:before="25" w:line="230" w:lineRule="exact"/>
              <w:ind w:right="154"/>
              <w:jc w:val="right"/>
              <w:rPr>
                <w:sz w:val="20"/>
              </w:rPr>
            </w:pPr>
            <w:r>
              <w:rPr>
                <w:sz w:val="20"/>
              </w:rPr>
              <w:t>21.77</w:t>
            </w:r>
          </w:p>
        </w:tc>
        <w:tc>
          <w:tcPr>
            <w:tcW w:w="1815" w:type="dxa"/>
            <w:tcBorders>
              <w:bottom w:val="single" w:sz="8" w:space="0" w:color="000000"/>
            </w:tcBorders>
            <w:shd w:val="clear" w:color="auto" w:fill="CCEDFF"/>
          </w:tcPr>
          <w:p w14:paraId="7326BB6D" w14:textId="77777777" w:rsidR="00EF3DFB" w:rsidRDefault="00D27C17">
            <w:pPr>
              <w:pStyle w:val="TableParagraph"/>
              <w:spacing w:before="25" w:line="230" w:lineRule="exact"/>
              <w:ind w:right="79"/>
              <w:jc w:val="right"/>
              <w:rPr>
                <w:sz w:val="20"/>
              </w:rPr>
            </w:pPr>
            <w:r>
              <w:rPr>
                <w:sz w:val="20"/>
              </w:rPr>
              <w:t>—</w:t>
            </w:r>
          </w:p>
        </w:tc>
        <w:tc>
          <w:tcPr>
            <w:tcW w:w="1890" w:type="dxa"/>
            <w:shd w:val="clear" w:color="auto" w:fill="CCEDFF"/>
          </w:tcPr>
          <w:p w14:paraId="7326BB6E" w14:textId="77777777" w:rsidR="00EF3DFB" w:rsidRDefault="00D27C17">
            <w:pPr>
              <w:pStyle w:val="TableParagraph"/>
              <w:spacing w:before="25" w:line="230" w:lineRule="exact"/>
              <w:ind w:right="79"/>
              <w:jc w:val="right"/>
              <w:rPr>
                <w:sz w:val="20"/>
              </w:rPr>
            </w:pPr>
            <w:r>
              <w:rPr>
                <w:sz w:val="20"/>
              </w:rPr>
              <w:t>—</w:t>
            </w:r>
          </w:p>
        </w:tc>
      </w:tr>
      <w:tr w:rsidR="00EF3DFB" w14:paraId="7326BB77" w14:textId="77777777">
        <w:trPr>
          <w:trHeight w:val="285"/>
        </w:trPr>
        <w:tc>
          <w:tcPr>
            <w:tcW w:w="4365" w:type="dxa"/>
          </w:tcPr>
          <w:p w14:paraId="7326BB70" w14:textId="77777777" w:rsidR="00EF3DFB" w:rsidRDefault="00D27C17">
            <w:pPr>
              <w:pStyle w:val="TableParagraph"/>
              <w:spacing w:line="224" w:lineRule="exact"/>
              <w:ind w:right="3528"/>
              <w:jc w:val="right"/>
              <w:rPr>
                <w:sz w:val="20"/>
              </w:rPr>
            </w:pPr>
            <w:r>
              <w:rPr>
                <w:sz w:val="20"/>
              </w:rPr>
              <w:t>Total</w:t>
            </w:r>
          </w:p>
        </w:tc>
        <w:tc>
          <w:tcPr>
            <w:tcW w:w="1200" w:type="dxa"/>
            <w:tcBorders>
              <w:top w:val="single" w:sz="8" w:space="0" w:color="000000"/>
              <w:bottom w:val="single" w:sz="8" w:space="0" w:color="000000"/>
            </w:tcBorders>
          </w:tcPr>
          <w:p w14:paraId="7326BB71" w14:textId="50C3E9A6" w:rsidR="00EF3DFB" w:rsidRDefault="00D27C17">
            <w:pPr>
              <w:pStyle w:val="TableParagraph"/>
              <w:spacing w:line="20" w:lineRule="exact"/>
              <w:ind w:right="-75"/>
              <w:rPr>
                <w:sz w:val="2"/>
              </w:rPr>
            </w:pPr>
            <w:r>
              <w:rPr>
                <w:noProof/>
                <w:sz w:val="2"/>
              </w:rPr>
              <mc:AlternateContent>
                <mc:Choice Requires="wpg">
                  <w:drawing>
                    <wp:inline distT="0" distB="0" distL="0" distR="0" wp14:anchorId="7326D6D5" wp14:editId="70F70D3E">
                      <wp:extent cx="762000" cy="1270"/>
                      <wp:effectExtent l="9525" t="12065" r="9525" b="5715"/>
                      <wp:docPr id="552"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0" y="0"/>
                                <a:chExt cx="1200" cy="2"/>
                              </a:xfrm>
                            </wpg:grpSpPr>
                            <wps:wsp>
                              <wps:cNvPr id="553" name="Line 536"/>
                              <wps:cNvCnPr>
                                <a:cxnSpLocks noChangeShapeType="1"/>
                              </wps:cNvCnPr>
                              <wps:spPr bwMode="auto">
                                <a:xfrm>
                                  <a:off x="0" y="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EC729E" id="Group 535" o:spid="_x0000_s1026" style="width:60pt;height:.1pt;mso-position-horizontal-relative:char;mso-position-vertical-relative:line"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">
                      <v:line id="Line 536" o:spid="_x0000_s1027" style="position:absolute;visibility:visible;mso-wrap-style:square" from="0,0" to="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PzxAAAANwAAAAPAAAAZHJzL2Rvd25yZXYueG1sRI9Pa8JA&#10;FMTvBb/D8oTe6sZK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MZoY/PEAAAA3AAAAA8A&#10;AAAAAAAAAAAAAAAABwIAAGRycy9kb3ducmV2LnhtbFBLBQYAAAAAAwADALcAAAD4AgAAAAA=&#10;" strokeweight="0"/>
                      <w10:anchorlock/>
                    </v:group>
                  </w:pict>
                </mc:Fallback>
              </mc:AlternateContent>
            </w:r>
          </w:p>
          <w:p w14:paraId="7326BB72" w14:textId="77777777" w:rsidR="00EF3DFB" w:rsidRDefault="00D27C17">
            <w:pPr>
              <w:pStyle w:val="TableParagraph"/>
              <w:tabs>
                <w:tab w:val="left" w:pos="568"/>
              </w:tabs>
              <w:ind w:right="79"/>
              <w:jc w:val="right"/>
              <w:rPr>
                <w:sz w:val="20"/>
              </w:rPr>
            </w:pPr>
            <w:r>
              <w:rPr>
                <w:sz w:val="20"/>
                <w:u w:val="single"/>
              </w:rPr>
              <w:t xml:space="preserve"> </w:t>
            </w:r>
            <w:r>
              <w:rPr>
                <w:sz w:val="20"/>
                <w:u w:val="single"/>
              </w:rPr>
              <w:tab/>
              <w:t>45,381</w:t>
            </w:r>
          </w:p>
        </w:tc>
        <w:tc>
          <w:tcPr>
            <w:tcW w:w="1350" w:type="dxa"/>
          </w:tcPr>
          <w:p w14:paraId="7326BB73" w14:textId="77777777" w:rsidR="00EF3DFB" w:rsidRDefault="00D27C17">
            <w:pPr>
              <w:pStyle w:val="TableParagraph"/>
              <w:spacing w:before="15"/>
              <w:ind w:right="154"/>
              <w:jc w:val="right"/>
              <w:rPr>
                <w:sz w:val="20"/>
              </w:rPr>
            </w:pPr>
            <w:r>
              <w:rPr>
                <w:sz w:val="20"/>
              </w:rPr>
              <w:t>20.54</w:t>
            </w:r>
          </w:p>
        </w:tc>
        <w:tc>
          <w:tcPr>
            <w:tcW w:w="1815" w:type="dxa"/>
            <w:tcBorders>
              <w:top w:val="single" w:sz="8" w:space="0" w:color="000000"/>
              <w:bottom w:val="single" w:sz="8" w:space="0" w:color="000000"/>
            </w:tcBorders>
          </w:tcPr>
          <w:p w14:paraId="7326BB74" w14:textId="1F423673" w:rsidR="00EF3DFB" w:rsidRDefault="00D27C17">
            <w:pPr>
              <w:pStyle w:val="TableParagraph"/>
              <w:spacing w:line="20" w:lineRule="exact"/>
              <w:ind w:right="-75"/>
              <w:rPr>
                <w:sz w:val="2"/>
              </w:rPr>
            </w:pPr>
            <w:r>
              <w:rPr>
                <w:noProof/>
                <w:sz w:val="2"/>
              </w:rPr>
              <mc:AlternateContent>
                <mc:Choice Requires="wpg">
                  <w:drawing>
                    <wp:inline distT="0" distB="0" distL="0" distR="0" wp14:anchorId="7326D6D7" wp14:editId="6C9B5CC1">
                      <wp:extent cx="1152525" cy="1270"/>
                      <wp:effectExtent l="9525" t="12065" r="9525" b="5715"/>
                      <wp:docPr id="550"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270"/>
                                <a:chOff x="0" y="0"/>
                                <a:chExt cx="1815" cy="2"/>
                              </a:xfrm>
                            </wpg:grpSpPr>
                            <wps:wsp>
                              <wps:cNvPr id="551" name="Line 534"/>
                              <wps:cNvCnPr>
                                <a:cxnSpLocks noChangeShapeType="1"/>
                              </wps:cNvCnPr>
                              <wps:spPr bwMode="auto">
                                <a:xfrm>
                                  <a:off x="0" y="0"/>
                                  <a:ext cx="18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B67DE" id="Group 533" o:spid="_x0000_s1026" style="width:90.75pt;height:.1pt;mso-position-horizontal-relative:char;mso-position-vertical-relative:line" coordsize="1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">
                      <v:line id="Line 534" o:spid="_x0000_s1027" style="position:absolute;visibility:visible;mso-wrap-style:square" from="0,0" to="1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" strokeweight="0"/>
                      <w10:anchorlock/>
                    </v:group>
                  </w:pict>
                </mc:Fallback>
              </mc:AlternateContent>
            </w:r>
          </w:p>
          <w:p w14:paraId="7326BB75" w14:textId="77777777" w:rsidR="00EF3DFB" w:rsidRDefault="00D27C17">
            <w:pPr>
              <w:pStyle w:val="TableParagraph"/>
              <w:tabs>
                <w:tab w:val="left" w:pos="1533"/>
              </w:tabs>
              <w:ind w:right="79"/>
              <w:jc w:val="right"/>
              <w:rPr>
                <w:sz w:val="20"/>
              </w:rPr>
            </w:pPr>
            <w:r>
              <w:rPr>
                <w:sz w:val="20"/>
                <w:u w:val="single"/>
              </w:rPr>
              <w:t xml:space="preserve"> </w:t>
            </w:r>
            <w:r>
              <w:rPr>
                <w:sz w:val="20"/>
                <w:u w:val="single"/>
              </w:rPr>
              <w:tab/>
              <w:t>—</w:t>
            </w:r>
          </w:p>
        </w:tc>
        <w:tc>
          <w:tcPr>
            <w:tcW w:w="1890" w:type="dxa"/>
          </w:tcPr>
          <w:p w14:paraId="7326BB76" w14:textId="77777777" w:rsidR="00EF3DFB" w:rsidRDefault="00EF3DFB">
            <w:pPr>
              <w:pStyle w:val="TableParagraph"/>
              <w:rPr>
                <w:sz w:val="18"/>
              </w:rPr>
            </w:pPr>
          </w:p>
        </w:tc>
      </w:tr>
    </w:tbl>
    <w:p w14:paraId="7326BB78" w14:textId="77777777" w:rsidR="00EF3DFB" w:rsidRDefault="00EF3DFB">
      <w:pPr>
        <w:pStyle w:val="BodyText"/>
        <w:rPr>
          <w:b/>
          <w:sz w:val="16"/>
        </w:rPr>
      </w:pPr>
    </w:p>
    <w:p w14:paraId="7326BB79" w14:textId="77777777" w:rsidR="00EF3DFB" w:rsidRDefault="00D27C17">
      <w:pPr>
        <w:pStyle w:val="ListParagraph"/>
        <w:numPr>
          <w:ilvl w:val="0"/>
          <w:numId w:val="29"/>
        </w:numPr>
        <w:tabs>
          <w:tab w:val="left" w:pos="550"/>
        </w:tabs>
        <w:spacing w:before="91" w:line="249" w:lineRule="auto"/>
        <w:ind w:right="169"/>
        <w:jc w:val="both"/>
        <w:rPr>
          <w:sz w:val="20"/>
        </w:rPr>
      </w:pPr>
      <w:r>
        <w:rPr>
          <w:sz w:val="20"/>
        </w:rPr>
        <w:t xml:space="preserve">All shares purchased during the three months ended December 31, 2020, were acquired to satisfy employees’ tax withholding and payment obligations in connection with the vesting of awards of restricted stock units, which were purchased by the Company based </w:t>
      </w:r>
      <w:r>
        <w:rPr>
          <w:sz w:val="20"/>
        </w:rPr>
        <w:t>on their fair market value on the vesting</w:t>
      </w:r>
      <w:r>
        <w:rPr>
          <w:spacing w:val="-6"/>
          <w:sz w:val="20"/>
        </w:rPr>
        <w:t xml:space="preserve"> </w:t>
      </w:r>
      <w:r>
        <w:rPr>
          <w:sz w:val="20"/>
        </w:rPr>
        <w:t>date.</w:t>
      </w:r>
    </w:p>
    <w:p w14:paraId="7326BB7A" w14:textId="77777777" w:rsidR="00EF3DFB" w:rsidRDefault="00EF3DFB">
      <w:pPr>
        <w:pStyle w:val="BodyText"/>
        <w:spacing w:before="6"/>
        <w:rPr>
          <w:sz w:val="18"/>
        </w:rPr>
      </w:pPr>
    </w:p>
    <w:p w14:paraId="7326BB7B" w14:textId="77777777" w:rsidR="00EF3DFB" w:rsidRDefault="00D27C17">
      <w:pPr>
        <w:pStyle w:val="Heading2"/>
        <w:spacing w:before="1"/>
        <w:jc w:val="left"/>
      </w:pPr>
      <w:bookmarkStart w:id="23" w:name="Item_6._Selected_Financial_Data"/>
      <w:bookmarkStart w:id="24" w:name="_bookmark10"/>
      <w:bookmarkEnd w:id="23"/>
      <w:bookmarkEnd w:id="24"/>
      <w:r>
        <w:t>ITEM 6. SELECTED FINANCIAL DATA</w:t>
      </w:r>
    </w:p>
    <w:p w14:paraId="7326BB7C" w14:textId="77777777" w:rsidR="00EF3DFB" w:rsidRDefault="00EF3DFB">
      <w:pPr>
        <w:pStyle w:val="BodyText"/>
        <w:spacing w:before="2"/>
        <w:rPr>
          <w:b/>
          <w:sz w:val="19"/>
        </w:rPr>
      </w:pPr>
    </w:p>
    <w:p w14:paraId="7326BB7D" w14:textId="77777777" w:rsidR="00EF3DFB" w:rsidRDefault="00D27C17">
      <w:pPr>
        <w:pStyle w:val="BodyText"/>
        <w:ind w:left="190"/>
      </w:pPr>
      <w:r>
        <w:t>Not applicable.</w:t>
      </w:r>
    </w:p>
    <w:p w14:paraId="7326BB7E" w14:textId="77777777" w:rsidR="00EF3DFB" w:rsidRDefault="00EF3DFB">
      <w:pPr>
        <w:pStyle w:val="BodyText"/>
        <w:rPr>
          <w:sz w:val="22"/>
        </w:rPr>
      </w:pPr>
    </w:p>
    <w:p w14:paraId="7326BB7F" w14:textId="77777777" w:rsidR="00EF3DFB" w:rsidRDefault="00D27C17">
      <w:pPr>
        <w:pStyle w:val="Heading2"/>
        <w:spacing w:before="169" w:line="223" w:lineRule="auto"/>
        <w:jc w:val="left"/>
      </w:pPr>
      <w:bookmarkStart w:id="25" w:name="Item_7._Management’s_Discussion_and_Anal"/>
      <w:bookmarkStart w:id="26" w:name="_bookmark11"/>
      <w:bookmarkEnd w:id="25"/>
      <w:bookmarkEnd w:id="26"/>
      <w:r>
        <w:t>ITEM 7. MANAGEMENT’S DISCUSSION AND ANALYSIS OF FINANCIAL CONDITION AND RESULTS OF OPERATIONS</w:t>
      </w:r>
    </w:p>
    <w:p w14:paraId="7326BB80" w14:textId="77777777" w:rsidR="00EF3DFB" w:rsidRDefault="00EF3DFB">
      <w:pPr>
        <w:pStyle w:val="BodyText"/>
        <w:spacing w:before="9"/>
        <w:rPr>
          <w:b/>
          <w:sz w:val="17"/>
        </w:rPr>
      </w:pPr>
    </w:p>
    <w:p w14:paraId="7326BB81" w14:textId="77777777" w:rsidR="00EF3DFB" w:rsidRDefault="00D27C17">
      <w:pPr>
        <w:pStyle w:val="BodyText"/>
        <w:spacing w:line="249" w:lineRule="auto"/>
        <w:ind w:left="190" w:right="168"/>
        <w:jc w:val="both"/>
      </w:pPr>
      <w:r>
        <w:t>This Management's Discussion and Analysis of Financial Condition and Results of Operations section should be read in conjunction with “Financial Statements and S</w:t>
      </w:r>
      <w:r>
        <w:t>upplementary Data” included in Part II, Item 8 of this 2020 Annual Report and the Company's audited Consolidated Financial Statements and Notes thereto included elsewhere in this 2020 Annual Report. The following “Business Strategy” and "Recent Development</w:t>
      </w:r>
      <w:r>
        <w:t>s" sections below is a brief presentation of our business and certain significant items addressed in this section or elsewhere in this 2020 Annual Report. This section should be read along with the relevant portions of this 2020 Annual Report for a complet</w:t>
      </w:r>
      <w:r>
        <w:t>e discussion of the events and items summarized below.</w:t>
      </w:r>
    </w:p>
    <w:p w14:paraId="7326BB82" w14:textId="77777777" w:rsidR="00EF3DFB" w:rsidRDefault="00EF3DFB">
      <w:pPr>
        <w:pStyle w:val="BodyText"/>
        <w:rPr>
          <w:sz w:val="22"/>
        </w:rPr>
      </w:pPr>
    </w:p>
    <w:p w14:paraId="7326BB83" w14:textId="77777777" w:rsidR="00EF3DFB" w:rsidRDefault="00EF3DFB">
      <w:pPr>
        <w:pStyle w:val="BodyText"/>
        <w:spacing w:before="4"/>
        <w:rPr>
          <w:sz w:val="30"/>
        </w:rPr>
      </w:pPr>
    </w:p>
    <w:p w14:paraId="7326BB84" w14:textId="77777777" w:rsidR="00EF3DFB" w:rsidRDefault="00D27C17">
      <w:pPr>
        <w:pStyle w:val="Heading2"/>
      </w:pPr>
      <w:bookmarkStart w:id="27" w:name="Overview"/>
      <w:bookmarkEnd w:id="27"/>
      <w:r>
        <w:rPr>
          <w:u w:val="single"/>
        </w:rPr>
        <w:t>Overview</w:t>
      </w:r>
    </w:p>
    <w:p w14:paraId="7326BB85" w14:textId="77777777" w:rsidR="00EF3DFB" w:rsidRDefault="00EF3DFB">
      <w:pPr>
        <w:pStyle w:val="BodyText"/>
        <w:rPr>
          <w:b/>
          <w:sz w:val="14"/>
        </w:rPr>
      </w:pPr>
    </w:p>
    <w:p w14:paraId="7326BB86" w14:textId="77777777" w:rsidR="00EF3DFB" w:rsidRDefault="00D27C17">
      <w:pPr>
        <w:pStyle w:val="BodyText"/>
        <w:spacing w:before="92" w:line="249" w:lineRule="auto"/>
        <w:ind w:left="190" w:right="169"/>
        <w:jc w:val="both"/>
      </w:pPr>
      <w:r>
        <w:t>Newell Brands is a leading global consumer goods company with a strong portfolio of well-known brands, including Rubbermaid®, Paper Mate®, Sharpie®, Dymo®, EXPO®, Parker®, Elmer’s®, Coleman</w:t>
      </w:r>
      <w:r>
        <w:t>®, Marmot®, Oster®, Sunbeam®, FoodSaver®, Mr. Coffee®, Rubbermaid Commercial Products®, Graco®, Baby Jogger®, NUK®, Calphalon®, Contigo®, First Alert®, Mapa®, Spontex® and Yankee Candle®. Newell Brands is committed to enhancing the lives of consumers aroun</w:t>
      </w:r>
      <w:r>
        <w:t>d the world with planet- friendly, innovative and attractive products that create moments of joy and provide peace of mind. The Company sells its products in nearly 200 countries around the world and has operations on the ground in over 40 of these countri</w:t>
      </w:r>
      <w:r>
        <w:t>es, excluding third-party distributors.</w:t>
      </w:r>
    </w:p>
    <w:p w14:paraId="7326BB87" w14:textId="77777777" w:rsidR="00EF3DFB" w:rsidRDefault="00EF3DFB">
      <w:pPr>
        <w:pStyle w:val="BodyText"/>
        <w:spacing w:before="6"/>
        <w:rPr>
          <w:sz w:val="31"/>
        </w:rPr>
      </w:pPr>
    </w:p>
    <w:p w14:paraId="7326BB88" w14:textId="77777777" w:rsidR="00EF3DFB" w:rsidRDefault="00D27C17">
      <w:pPr>
        <w:pStyle w:val="Heading2"/>
      </w:pPr>
      <w:bookmarkStart w:id="28" w:name="Business_Strategy"/>
      <w:bookmarkEnd w:id="28"/>
      <w:r>
        <w:rPr>
          <w:u w:val="single"/>
        </w:rPr>
        <w:t>Business Strategy</w:t>
      </w:r>
    </w:p>
    <w:p w14:paraId="7326BB89" w14:textId="77777777" w:rsidR="00EF3DFB" w:rsidRDefault="00EF3DFB">
      <w:pPr>
        <w:pStyle w:val="BodyText"/>
        <w:spacing w:before="1"/>
        <w:rPr>
          <w:b/>
          <w:sz w:val="14"/>
        </w:rPr>
      </w:pPr>
    </w:p>
    <w:p w14:paraId="7326BB8A" w14:textId="77777777" w:rsidR="00EF3DFB" w:rsidRDefault="00D27C17">
      <w:pPr>
        <w:pStyle w:val="BodyText"/>
        <w:spacing w:before="91" w:line="249" w:lineRule="auto"/>
        <w:ind w:left="190" w:right="168"/>
        <w:jc w:val="both"/>
      </w:pPr>
      <w:r>
        <w:t>The Company is continuing to execute on its turnaround strategy of building a global, next generation consumer products company that can unleash the full potential of its brands in a fast moving o</w:t>
      </w:r>
      <w:r>
        <w:t>mni-channel environment. The strategy, developed in 2019, is designed to drive sustainable top line growth, improve operating margins, accelerate cash conversion cycle and strengthen the portfolio, organizational capabilities and employee engagement, while</w:t>
      </w:r>
      <w:r>
        <w:t xml:space="preserve"> addressing key challenges facing the Company. These challenges include: shifting consumer preferences and behaviors; a highly competitive operating environment; a rapidly changing retail landscape, including the growth in e-commerce; continued macroeconom</w:t>
      </w:r>
      <w:r>
        <w:t>ic and political volatility; and an evolving regulatory landscape. The coronavirus (COVID-19) pandemic and its impact to the Company’s business resulted in the acceleration of these initiatives in many respects.</w:t>
      </w:r>
    </w:p>
    <w:p w14:paraId="7326BB8B"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BB8C" w14:textId="77777777" w:rsidR="00EF3DFB" w:rsidRDefault="00D27C17">
      <w:pPr>
        <w:pStyle w:val="BodyText"/>
        <w:spacing w:before="72"/>
        <w:ind w:left="190"/>
      </w:pPr>
      <w:r>
        <w:lastRenderedPageBreak/>
        <w:t>The Company has made significant</w:t>
      </w:r>
      <w:r>
        <w:t xml:space="preserve"> progress on the following imperatives it previously identified as part of its turnaround strategy:</w:t>
      </w:r>
    </w:p>
    <w:p w14:paraId="7326BB8D" w14:textId="77777777" w:rsidR="00EF3DFB" w:rsidRDefault="00EF3DFB">
      <w:pPr>
        <w:pStyle w:val="BodyText"/>
        <w:spacing w:before="8"/>
        <w:rPr>
          <w:sz w:val="21"/>
        </w:rPr>
      </w:pPr>
    </w:p>
    <w:p w14:paraId="7326BB8E" w14:textId="77777777" w:rsidR="00EF3DFB" w:rsidRDefault="00D27C17">
      <w:pPr>
        <w:pStyle w:val="ListParagraph"/>
        <w:numPr>
          <w:ilvl w:val="1"/>
          <w:numId w:val="29"/>
        </w:numPr>
        <w:tabs>
          <w:tab w:val="left" w:pos="909"/>
          <w:tab w:val="left" w:pos="910"/>
        </w:tabs>
        <w:rPr>
          <w:sz w:val="20"/>
        </w:rPr>
      </w:pPr>
      <w:r>
        <w:rPr>
          <w:sz w:val="20"/>
        </w:rPr>
        <w:t>Strengthening the portfolio by investing in attractive categories aligned with its capabilities and</w:t>
      </w:r>
      <w:r>
        <w:rPr>
          <w:spacing w:val="-20"/>
          <w:sz w:val="20"/>
        </w:rPr>
        <w:t xml:space="preserve"> </w:t>
      </w:r>
      <w:r>
        <w:rPr>
          <w:sz w:val="20"/>
        </w:rPr>
        <w:t>strategy;</w:t>
      </w:r>
    </w:p>
    <w:p w14:paraId="7326BB8F" w14:textId="77777777" w:rsidR="00EF3DFB" w:rsidRDefault="00D27C17">
      <w:pPr>
        <w:pStyle w:val="ListParagraph"/>
        <w:numPr>
          <w:ilvl w:val="1"/>
          <w:numId w:val="29"/>
        </w:numPr>
        <w:tabs>
          <w:tab w:val="left" w:pos="909"/>
          <w:tab w:val="left" w:pos="910"/>
        </w:tabs>
        <w:spacing w:before="10" w:line="249" w:lineRule="auto"/>
        <w:ind w:right="170"/>
        <w:rPr>
          <w:sz w:val="20"/>
        </w:rPr>
      </w:pPr>
      <w:r>
        <w:rPr>
          <w:sz w:val="20"/>
        </w:rPr>
        <w:t>Driving sustainable profitable growth by focusing on innovation, as well as growth in digital marketing, e-commerce and its international</w:t>
      </w:r>
      <w:r>
        <w:rPr>
          <w:spacing w:val="-3"/>
          <w:sz w:val="20"/>
        </w:rPr>
        <w:t xml:space="preserve"> </w:t>
      </w:r>
      <w:r>
        <w:rPr>
          <w:sz w:val="20"/>
        </w:rPr>
        <w:t>businesses;</w:t>
      </w:r>
    </w:p>
    <w:p w14:paraId="7326BB90" w14:textId="77777777" w:rsidR="00EF3DFB" w:rsidRDefault="00D27C17">
      <w:pPr>
        <w:pStyle w:val="ListParagraph"/>
        <w:numPr>
          <w:ilvl w:val="1"/>
          <w:numId w:val="29"/>
        </w:numPr>
        <w:tabs>
          <w:tab w:val="left" w:pos="909"/>
          <w:tab w:val="left" w:pos="910"/>
        </w:tabs>
        <w:spacing w:before="2"/>
        <w:rPr>
          <w:sz w:val="20"/>
        </w:rPr>
      </w:pPr>
      <w:r>
        <w:rPr>
          <w:sz w:val="20"/>
        </w:rPr>
        <w:t>Improving margins by driving productivity and overhead savings, while reinvesting into the</w:t>
      </w:r>
      <w:r>
        <w:rPr>
          <w:spacing w:val="-12"/>
          <w:sz w:val="20"/>
        </w:rPr>
        <w:t xml:space="preserve"> </w:t>
      </w:r>
      <w:r>
        <w:rPr>
          <w:sz w:val="20"/>
        </w:rPr>
        <w:t>business;</w:t>
      </w:r>
    </w:p>
    <w:p w14:paraId="7326BB91" w14:textId="77777777" w:rsidR="00EF3DFB" w:rsidRDefault="00D27C17">
      <w:pPr>
        <w:pStyle w:val="ListParagraph"/>
        <w:numPr>
          <w:ilvl w:val="1"/>
          <w:numId w:val="29"/>
        </w:numPr>
        <w:tabs>
          <w:tab w:val="left" w:pos="909"/>
          <w:tab w:val="left" w:pos="910"/>
        </w:tabs>
        <w:spacing w:before="10"/>
        <w:rPr>
          <w:sz w:val="20"/>
        </w:rPr>
      </w:pPr>
      <w:r>
        <w:rPr>
          <w:sz w:val="20"/>
        </w:rPr>
        <w:t>Enhancing cash efficiency by improving key working capital metrics, resulting in a lower cash conversion cycle;</w:t>
      </w:r>
      <w:r>
        <w:rPr>
          <w:spacing w:val="-30"/>
          <w:sz w:val="20"/>
        </w:rPr>
        <w:t xml:space="preserve"> </w:t>
      </w:r>
      <w:r>
        <w:rPr>
          <w:sz w:val="20"/>
        </w:rPr>
        <w:t>and</w:t>
      </w:r>
    </w:p>
    <w:p w14:paraId="7326BB92" w14:textId="77777777" w:rsidR="00EF3DFB" w:rsidRDefault="00D27C17">
      <w:pPr>
        <w:pStyle w:val="ListParagraph"/>
        <w:numPr>
          <w:ilvl w:val="1"/>
          <w:numId w:val="29"/>
        </w:numPr>
        <w:tabs>
          <w:tab w:val="left" w:pos="909"/>
          <w:tab w:val="left" w:pos="910"/>
        </w:tabs>
        <w:spacing w:before="10"/>
        <w:rPr>
          <w:sz w:val="20"/>
        </w:rPr>
      </w:pPr>
      <w:r>
        <w:rPr>
          <w:sz w:val="20"/>
        </w:rPr>
        <w:t>Building a winning team through engagem</w:t>
      </w:r>
      <w:r>
        <w:rPr>
          <w:sz w:val="20"/>
        </w:rPr>
        <w:t>ent and focusing the best people on the right</w:t>
      </w:r>
      <w:r>
        <w:rPr>
          <w:spacing w:val="-15"/>
          <w:sz w:val="20"/>
        </w:rPr>
        <w:t xml:space="preserve"> </w:t>
      </w:r>
      <w:r>
        <w:rPr>
          <w:sz w:val="20"/>
        </w:rPr>
        <w:t>things.</w:t>
      </w:r>
    </w:p>
    <w:p w14:paraId="7326BB93" w14:textId="77777777" w:rsidR="00EF3DFB" w:rsidRDefault="00EF3DFB">
      <w:pPr>
        <w:pStyle w:val="BodyText"/>
        <w:spacing w:before="8"/>
        <w:rPr>
          <w:sz w:val="21"/>
        </w:rPr>
      </w:pPr>
    </w:p>
    <w:p w14:paraId="7326BB94" w14:textId="77777777" w:rsidR="00EF3DFB" w:rsidRDefault="00D27C17">
      <w:pPr>
        <w:pStyle w:val="BodyText"/>
        <w:ind w:left="190"/>
      </w:pPr>
      <w:r>
        <w:t>Continued execution of these strategic imperatives will better position the Company for long-term sustainable growth.</w:t>
      </w:r>
    </w:p>
    <w:p w14:paraId="7326BB95" w14:textId="77777777" w:rsidR="00EF3DFB" w:rsidRDefault="00EF3DFB">
      <w:pPr>
        <w:pStyle w:val="BodyText"/>
        <w:spacing w:before="11"/>
        <w:rPr>
          <w:sz w:val="31"/>
        </w:rPr>
      </w:pPr>
    </w:p>
    <w:p w14:paraId="7326BB96" w14:textId="77777777" w:rsidR="00EF3DFB" w:rsidRDefault="00D27C17">
      <w:pPr>
        <w:pStyle w:val="Heading2"/>
        <w:jc w:val="left"/>
      </w:pPr>
      <w:bookmarkStart w:id="29" w:name="Organizational_Structure"/>
      <w:bookmarkEnd w:id="29"/>
      <w:r>
        <w:rPr>
          <w:u w:val="single"/>
        </w:rPr>
        <w:t>Organizational Structure</w:t>
      </w:r>
    </w:p>
    <w:p w14:paraId="7326BB97" w14:textId="77777777" w:rsidR="00EF3DFB" w:rsidRDefault="00EF3DFB">
      <w:pPr>
        <w:pStyle w:val="BodyText"/>
        <w:rPr>
          <w:b/>
          <w:sz w:val="14"/>
        </w:rPr>
      </w:pPr>
    </w:p>
    <w:p w14:paraId="7326BB98" w14:textId="77777777" w:rsidR="00EF3DFB" w:rsidRDefault="00D27C17">
      <w:pPr>
        <w:pStyle w:val="BodyText"/>
        <w:spacing w:before="92"/>
        <w:ind w:left="190"/>
      </w:pPr>
      <w:r>
        <w:t>The Company’s five primary operating segments are as fol</w:t>
      </w:r>
      <w:r>
        <w:t>lows:</w:t>
      </w:r>
    </w:p>
    <w:p w14:paraId="7326BB99" w14:textId="77777777" w:rsidR="00EF3DFB" w:rsidRDefault="00EF3DFB">
      <w:pPr>
        <w:pStyle w:val="BodyText"/>
        <w:spacing w:before="9"/>
        <w:rPr>
          <w:sz w:val="12"/>
        </w:rPr>
      </w:pPr>
    </w:p>
    <w:tbl>
      <w:tblPr>
        <w:tblW w:w="0" w:type="auto"/>
        <w:tblInd w:w="190" w:type="dxa"/>
        <w:tblLayout w:type="fixed"/>
        <w:tblCellMar>
          <w:left w:w="0" w:type="dxa"/>
          <w:right w:w="0" w:type="dxa"/>
        </w:tblCellMar>
        <w:tblLook w:val="01E0" w:firstRow="1" w:lastRow="1" w:firstColumn="1" w:lastColumn="1" w:noHBand="0" w:noVBand="0"/>
      </w:tblPr>
      <w:tblGrid>
        <w:gridCol w:w="2779"/>
        <w:gridCol w:w="4035"/>
        <w:gridCol w:w="3806"/>
      </w:tblGrid>
      <w:tr w:rsidR="00EF3DFB" w14:paraId="7326BB9D" w14:textId="77777777">
        <w:trPr>
          <w:trHeight w:val="241"/>
        </w:trPr>
        <w:tc>
          <w:tcPr>
            <w:tcW w:w="2779" w:type="dxa"/>
            <w:tcBorders>
              <w:bottom w:val="single" w:sz="8" w:space="0" w:color="000000"/>
            </w:tcBorders>
          </w:tcPr>
          <w:p w14:paraId="7326BB9A" w14:textId="77777777" w:rsidR="00EF3DFB" w:rsidRDefault="00D27C17">
            <w:pPr>
              <w:pStyle w:val="TableParagraph"/>
              <w:tabs>
                <w:tab w:val="left" w:pos="2714"/>
              </w:tabs>
              <w:spacing w:before="12" w:line="209" w:lineRule="exact"/>
              <w:ind w:left="52"/>
              <w:rPr>
                <w:b/>
                <w:sz w:val="20"/>
              </w:rPr>
            </w:pPr>
            <w:r>
              <w:rPr>
                <w:b/>
                <w:sz w:val="20"/>
                <w:u w:val="single"/>
              </w:rPr>
              <w:t>Segment</w:t>
            </w:r>
            <w:r>
              <w:rPr>
                <w:b/>
                <w:sz w:val="20"/>
                <w:u w:val="single"/>
              </w:rPr>
              <w:tab/>
            </w:r>
          </w:p>
        </w:tc>
        <w:tc>
          <w:tcPr>
            <w:tcW w:w="4035" w:type="dxa"/>
          </w:tcPr>
          <w:p w14:paraId="7326BB9B" w14:textId="77777777" w:rsidR="00EF3DFB" w:rsidRDefault="00D27C17">
            <w:pPr>
              <w:pStyle w:val="TableParagraph"/>
              <w:tabs>
                <w:tab w:val="left" w:pos="3970"/>
              </w:tabs>
              <w:spacing w:before="12" w:line="209" w:lineRule="exact"/>
              <w:ind w:left="63"/>
              <w:rPr>
                <w:b/>
                <w:sz w:val="20"/>
              </w:rPr>
            </w:pPr>
            <w:r>
              <w:rPr>
                <w:b/>
                <w:sz w:val="20"/>
                <w:u w:val="single"/>
              </w:rPr>
              <w:t>Key</w:t>
            </w:r>
            <w:r>
              <w:rPr>
                <w:b/>
                <w:spacing w:val="-6"/>
                <w:sz w:val="20"/>
                <w:u w:val="single"/>
              </w:rPr>
              <w:t xml:space="preserve"> </w:t>
            </w:r>
            <w:r>
              <w:rPr>
                <w:b/>
                <w:sz w:val="20"/>
                <w:u w:val="single"/>
              </w:rPr>
              <w:t>Brands</w:t>
            </w:r>
            <w:r>
              <w:rPr>
                <w:b/>
                <w:sz w:val="20"/>
                <w:u w:val="single"/>
              </w:rPr>
              <w:tab/>
            </w:r>
          </w:p>
        </w:tc>
        <w:tc>
          <w:tcPr>
            <w:tcW w:w="3806" w:type="dxa"/>
            <w:tcBorders>
              <w:bottom w:val="single" w:sz="8" w:space="0" w:color="000000"/>
            </w:tcBorders>
          </w:tcPr>
          <w:p w14:paraId="7326BB9C" w14:textId="77777777" w:rsidR="00EF3DFB" w:rsidRDefault="00D27C17">
            <w:pPr>
              <w:pStyle w:val="TableParagraph"/>
              <w:spacing w:line="221" w:lineRule="exact"/>
              <w:ind w:left="63"/>
              <w:rPr>
                <w:b/>
                <w:sz w:val="20"/>
              </w:rPr>
            </w:pPr>
            <w:r>
              <w:rPr>
                <w:b/>
                <w:sz w:val="20"/>
              </w:rPr>
              <w:t>Description of Primary Products</w:t>
            </w:r>
          </w:p>
        </w:tc>
      </w:tr>
      <w:tr w:rsidR="00EF3DFB" w14:paraId="7326BBA1" w14:textId="77777777">
        <w:trPr>
          <w:trHeight w:val="213"/>
        </w:trPr>
        <w:tc>
          <w:tcPr>
            <w:tcW w:w="2779" w:type="dxa"/>
            <w:tcBorders>
              <w:top w:val="single" w:sz="8" w:space="0" w:color="000000"/>
            </w:tcBorders>
            <w:shd w:val="clear" w:color="auto" w:fill="CCEDFF"/>
          </w:tcPr>
          <w:p w14:paraId="7326BB9E" w14:textId="77777777" w:rsidR="00EF3DFB" w:rsidRDefault="00D27C17">
            <w:pPr>
              <w:pStyle w:val="TableParagraph"/>
              <w:spacing w:line="194" w:lineRule="exact"/>
              <w:ind w:left="52"/>
              <w:rPr>
                <w:sz w:val="20"/>
              </w:rPr>
            </w:pPr>
            <w:r>
              <w:rPr>
                <w:sz w:val="20"/>
              </w:rPr>
              <w:t>Appliances and Cookware</w:t>
            </w:r>
          </w:p>
        </w:tc>
        <w:tc>
          <w:tcPr>
            <w:tcW w:w="4035" w:type="dxa"/>
            <w:shd w:val="clear" w:color="auto" w:fill="CCEDFF"/>
          </w:tcPr>
          <w:p w14:paraId="7326BB9F" w14:textId="77777777" w:rsidR="00EF3DFB" w:rsidRDefault="00D27C17">
            <w:pPr>
              <w:pStyle w:val="TableParagraph"/>
              <w:spacing w:line="194" w:lineRule="exact"/>
              <w:ind w:left="63"/>
              <w:rPr>
                <w:sz w:val="20"/>
              </w:rPr>
            </w:pPr>
            <w:r>
              <w:rPr>
                <w:sz w:val="20"/>
              </w:rPr>
              <w:t>Calphalon®, Crock-Pot®, Mr. Coffee®,</w:t>
            </w:r>
          </w:p>
        </w:tc>
        <w:tc>
          <w:tcPr>
            <w:tcW w:w="3806" w:type="dxa"/>
            <w:tcBorders>
              <w:top w:val="single" w:sz="8" w:space="0" w:color="000000"/>
            </w:tcBorders>
            <w:shd w:val="clear" w:color="auto" w:fill="CCEDFF"/>
          </w:tcPr>
          <w:p w14:paraId="7326BBA0" w14:textId="77777777" w:rsidR="00EF3DFB" w:rsidRDefault="00D27C17">
            <w:pPr>
              <w:pStyle w:val="TableParagraph"/>
              <w:spacing w:line="194" w:lineRule="exact"/>
              <w:ind w:left="63"/>
              <w:rPr>
                <w:sz w:val="20"/>
              </w:rPr>
            </w:pPr>
            <w:r>
              <w:rPr>
                <w:sz w:val="20"/>
              </w:rPr>
              <w:t>Household products, including kitchen</w:t>
            </w:r>
          </w:p>
        </w:tc>
      </w:tr>
      <w:tr w:rsidR="00EF3DFB" w14:paraId="7326BBA5" w14:textId="77777777">
        <w:trPr>
          <w:trHeight w:val="200"/>
        </w:trPr>
        <w:tc>
          <w:tcPr>
            <w:tcW w:w="2779" w:type="dxa"/>
            <w:shd w:val="clear" w:color="auto" w:fill="CCEDFF"/>
          </w:tcPr>
          <w:p w14:paraId="7326BBA2" w14:textId="77777777" w:rsidR="00EF3DFB" w:rsidRDefault="00EF3DFB">
            <w:pPr>
              <w:pStyle w:val="TableParagraph"/>
              <w:rPr>
                <w:sz w:val="12"/>
              </w:rPr>
            </w:pPr>
          </w:p>
        </w:tc>
        <w:tc>
          <w:tcPr>
            <w:tcW w:w="4035" w:type="dxa"/>
            <w:shd w:val="clear" w:color="auto" w:fill="CCEDFF"/>
          </w:tcPr>
          <w:p w14:paraId="7326BBA3" w14:textId="77777777" w:rsidR="00EF3DFB" w:rsidRDefault="00D27C17">
            <w:pPr>
              <w:pStyle w:val="TableParagraph"/>
              <w:spacing w:line="180" w:lineRule="exact"/>
              <w:ind w:left="63"/>
              <w:rPr>
                <w:sz w:val="20"/>
              </w:rPr>
            </w:pPr>
            <w:r>
              <w:rPr>
                <w:sz w:val="20"/>
              </w:rPr>
              <w:t>Oster® and Sunbeam®</w:t>
            </w:r>
          </w:p>
        </w:tc>
        <w:tc>
          <w:tcPr>
            <w:tcW w:w="3806" w:type="dxa"/>
            <w:shd w:val="clear" w:color="auto" w:fill="CCEDFF"/>
          </w:tcPr>
          <w:p w14:paraId="7326BBA4" w14:textId="77777777" w:rsidR="00EF3DFB" w:rsidRDefault="00D27C17">
            <w:pPr>
              <w:pStyle w:val="TableParagraph"/>
              <w:spacing w:line="180" w:lineRule="exact"/>
              <w:ind w:left="63"/>
              <w:rPr>
                <w:sz w:val="20"/>
              </w:rPr>
            </w:pPr>
            <w:r>
              <w:rPr>
                <w:sz w:val="20"/>
              </w:rPr>
              <w:t>appliances, gourmet cookware, bakeware and</w:t>
            </w:r>
          </w:p>
        </w:tc>
      </w:tr>
      <w:tr w:rsidR="00EF3DFB" w14:paraId="7326BBA9" w14:textId="77777777">
        <w:trPr>
          <w:trHeight w:val="251"/>
        </w:trPr>
        <w:tc>
          <w:tcPr>
            <w:tcW w:w="2779" w:type="dxa"/>
            <w:shd w:val="clear" w:color="auto" w:fill="CCEDFF"/>
          </w:tcPr>
          <w:p w14:paraId="7326BBA6" w14:textId="77777777" w:rsidR="00EF3DFB" w:rsidRDefault="00EF3DFB">
            <w:pPr>
              <w:pStyle w:val="TableParagraph"/>
              <w:rPr>
                <w:sz w:val="18"/>
              </w:rPr>
            </w:pPr>
          </w:p>
        </w:tc>
        <w:tc>
          <w:tcPr>
            <w:tcW w:w="4035" w:type="dxa"/>
            <w:shd w:val="clear" w:color="auto" w:fill="CCEDFF"/>
          </w:tcPr>
          <w:p w14:paraId="7326BBA7" w14:textId="77777777" w:rsidR="00EF3DFB" w:rsidRDefault="00EF3DFB">
            <w:pPr>
              <w:pStyle w:val="TableParagraph"/>
              <w:rPr>
                <w:sz w:val="18"/>
              </w:rPr>
            </w:pPr>
          </w:p>
        </w:tc>
        <w:tc>
          <w:tcPr>
            <w:tcW w:w="3806" w:type="dxa"/>
            <w:shd w:val="clear" w:color="auto" w:fill="CCEDFF"/>
          </w:tcPr>
          <w:p w14:paraId="7326BBA8" w14:textId="77777777" w:rsidR="00EF3DFB" w:rsidRDefault="00D27C17">
            <w:pPr>
              <w:pStyle w:val="TableParagraph"/>
              <w:spacing w:line="211" w:lineRule="exact"/>
              <w:ind w:left="63"/>
              <w:rPr>
                <w:sz w:val="20"/>
              </w:rPr>
            </w:pPr>
            <w:r>
              <w:rPr>
                <w:sz w:val="20"/>
              </w:rPr>
              <w:t>cutlery</w:t>
            </w:r>
          </w:p>
        </w:tc>
      </w:tr>
      <w:tr w:rsidR="00EF3DFB" w14:paraId="7326BBAD" w14:textId="77777777">
        <w:trPr>
          <w:trHeight w:val="223"/>
        </w:trPr>
        <w:tc>
          <w:tcPr>
            <w:tcW w:w="2779" w:type="dxa"/>
          </w:tcPr>
          <w:p w14:paraId="7326BBAA" w14:textId="77777777" w:rsidR="00EF3DFB" w:rsidRDefault="00D27C17">
            <w:pPr>
              <w:pStyle w:val="TableParagraph"/>
              <w:spacing w:before="4" w:line="199" w:lineRule="exact"/>
              <w:ind w:left="52"/>
              <w:rPr>
                <w:sz w:val="20"/>
              </w:rPr>
            </w:pPr>
            <w:r>
              <w:rPr>
                <w:sz w:val="20"/>
              </w:rPr>
              <w:t>Commercial Solutions</w:t>
            </w:r>
          </w:p>
        </w:tc>
        <w:tc>
          <w:tcPr>
            <w:tcW w:w="4035" w:type="dxa"/>
          </w:tcPr>
          <w:p w14:paraId="7326BBAB" w14:textId="77777777" w:rsidR="00EF3DFB" w:rsidRDefault="00D27C17">
            <w:pPr>
              <w:pStyle w:val="TableParagraph"/>
              <w:spacing w:before="4" w:line="199" w:lineRule="exact"/>
              <w:ind w:left="63"/>
              <w:rPr>
                <w:sz w:val="20"/>
              </w:rPr>
            </w:pPr>
            <w:r>
              <w:rPr>
                <w:sz w:val="20"/>
              </w:rPr>
              <w:t>BRK®, First Alert®, Mapa®, Quickie®,</w:t>
            </w:r>
          </w:p>
        </w:tc>
        <w:tc>
          <w:tcPr>
            <w:tcW w:w="3806" w:type="dxa"/>
          </w:tcPr>
          <w:p w14:paraId="7326BBAC" w14:textId="77777777" w:rsidR="00EF3DFB" w:rsidRDefault="00D27C17">
            <w:pPr>
              <w:pStyle w:val="TableParagraph"/>
              <w:spacing w:before="4" w:line="199" w:lineRule="exact"/>
              <w:ind w:left="63"/>
              <w:rPr>
                <w:sz w:val="20"/>
              </w:rPr>
            </w:pPr>
            <w:r>
              <w:rPr>
                <w:sz w:val="20"/>
              </w:rPr>
              <w:t>Commercial cleaning and maintenance</w:t>
            </w:r>
          </w:p>
        </w:tc>
      </w:tr>
      <w:tr w:rsidR="00EF3DFB" w14:paraId="7326BBB1" w14:textId="77777777">
        <w:trPr>
          <w:trHeight w:val="200"/>
        </w:trPr>
        <w:tc>
          <w:tcPr>
            <w:tcW w:w="2779" w:type="dxa"/>
          </w:tcPr>
          <w:p w14:paraId="7326BBAE" w14:textId="77777777" w:rsidR="00EF3DFB" w:rsidRDefault="00EF3DFB">
            <w:pPr>
              <w:pStyle w:val="TableParagraph"/>
              <w:rPr>
                <w:sz w:val="12"/>
              </w:rPr>
            </w:pPr>
          </w:p>
        </w:tc>
        <w:tc>
          <w:tcPr>
            <w:tcW w:w="4035" w:type="dxa"/>
          </w:tcPr>
          <w:p w14:paraId="7326BBAF" w14:textId="77777777" w:rsidR="00EF3DFB" w:rsidRDefault="00D27C17">
            <w:pPr>
              <w:pStyle w:val="TableParagraph"/>
              <w:spacing w:line="180" w:lineRule="exact"/>
              <w:ind w:left="63"/>
              <w:rPr>
                <w:sz w:val="20"/>
              </w:rPr>
            </w:pPr>
            <w:r>
              <w:rPr>
                <w:sz w:val="20"/>
              </w:rPr>
              <w:t>Rubbermaid®, Rubbermaid Commercial</w:t>
            </w:r>
          </w:p>
        </w:tc>
        <w:tc>
          <w:tcPr>
            <w:tcW w:w="3806" w:type="dxa"/>
          </w:tcPr>
          <w:p w14:paraId="7326BBB0" w14:textId="77777777" w:rsidR="00EF3DFB" w:rsidRDefault="00D27C17">
            <w:pPr>
              <w:pStyle w:val="TableParagraph"/>
              <w:spacing w:line="180" w:lineRule="exact"/>
              <w:ind w:left="63"/>
              <w:rPr>
                <w:sz w:val="20"/>
              </w:rPr>
            </w:pPr>
            <w:r>
              <w:rPr>
                <w:sz w:val="20"/>
              </w:rPr>
              <w:t>solutions; closet and garage organization;</w:t>
            </w:r>
          </w:p>
        </w:tc>
      </w:tr>
      <w:tr w:rsidR="00EF3DFB" w14:paraId="7326BBB5" w14:textId="77777777">
        <w:trPr>
          <w:trHeight w:val="200"/>
        </w:trPr>
        <w:tc>
          <w:tcPr>
            <w:tcW w:w="2779" w:type="dxa"/>
          </w:tcPr>
          <w:p w14:paraId="7326BBB2" w14:textId="77777777" w:rsidR="00EF3DFB" w:rsidRDefault="00EF3DFB">
            <w:pPr>
              <w:pStyle w:val="TableParagraph"/>
              <w:rPr>
                <w:sz w:val="12"/>
              </w:rPr>
            </w:pPr>
          </w:p>
        </w:tc>
        <w:tc>
          <w:tcPr>
            <w:tcW w:w="4035" w:type="dxa"/>
          </w:tcPr>
          <w:p w14:paraId="7326BBB3" w14:textId="77777777" w:rsidR="00EF3DFB" w:rsidRDefault="00D27C17">
            <w:pPr>
              <w:pStyle w:val="TableParagraph"/>
              <w:spacing w:line="180" w:lineRule="exact"/>
              <w:ind w:left="63"/>
              <w:rPr>
                <w:sz w:val="20"/>
              </w:rPr>
            </w:pPr>
            <w:r>
              <w:rPr>
                <w:sz w:val="20"/>
              </w:rPr>
              <w:t>Products®, and Spontex®</w:t>
            </w:r>
          </w:p>
        </w:tc>
        <w:tc>
          <w:tcPr>
            <w:tcW w:w="3806" w:type="dxa"/>
          </w:tcPr>
          <w:p w14:paraId="7326BBB4" w14:textId="77777777" w:rsidR="00EF3DFB" w:rsidRDefault="00D27C17">
            <w:pPr>
              <w:pStyle w:val="TableParagraph"/>
              <w:spacing w:line="180" w:lineRule="exact"/>
              <w:ind w:left="63"/>
              <w:rPr>
                <w:sz w:val="20"/>
              </w:rPr>
            </w:pPr>
            <w:r>
              <w:rPr>
                <w:sz w:val="20"/>
              </w:rPr>
              <w:t>hygiene systems and material handling</w:t>
            </w:r>
          </w:p>
        </w:tc>
      </w:tr>
      <w:tr w:rsidR="00EF3DFB" w14:paraId="7326BBB9" w14:textId="77777777">
        <w:trPr>
          <w:trHeight w:val="200"/>
        </w:trPr>
        <w:tc>
          <w:tcPr>
            <w:tcW w:w="2779" w:type="dxa"/>
          </w:tcPr>
          <w:p w14:paraId="7326BBB6" w14:textId="77777777" w:rsidR="00EF3DFB" w:rsidRDefault="00EF3DFB">
            <w:pPr>
              <w:pStyle w:val="TableParagraph"/>
              <w:rPr>
                <w:sz w:val="12"/>
              </w:rPr>
            </w:pPr>
          </w:p>
        </w:tc>
        <w:tc>
          <w:tcPr>
            <w:tcW w:w="4035" w:type="dxa"/>
          </w:tcPr>
          <w:p w14:paraId="7326BBB7" w14:textId="77777777" w:rsidR="00EF3DFB" w:rsidRDefault="00EF3DFB">
            <w:pPr>
              <w:pStyle w:val="TableParagraph"/>
              <w:rPr>
                <w:sz w:val="12"/>
              </w:rPr>
            </w:pPr>
          </w:p>
        </w:tc>
        <w:tc>
          <w:tcPr>
            <w:tcW w:w="3806" w:type="dxa"/>
          </w:tcPr>
          <w:p w14:paraId="7326BBB8" w14:textId="77777777" w:rsidR="00EF3DFB" w:rsidRDefault="00D27C17">
            <w:pPr>
              <w:pStyle w:val="TableParagraph"/>
              <w:spacing w:line="180" w:lineRule="exact"/>
              <w:ind w:left="63"/>
              <w:rPr>
                <w:sz w:val="20"/>
              </w:rPr>
            </w:pPr>
            <w:r>
              <w:rPr>
                <w:sz w:val="20"/>
              </w:rPr>
              <w:t>solutions; connected home and security and</w:t>
            </w:r>
          </w:p>
        </w:tc>
      </w:tr>
      <w:tr w:rsidR="00EF3DFB" w14:paraId="7326BBBD" w14:textId="77777777">
        <w:trPr>
          <w:trHeight w:val="241"/>
        </w:trPr>
        <w:tc>
          <w:tcPr>
            <w:tcW w:w="2779" w:type="dxa"/>
          </w:tcPr>
          <w:p w14:paraId="7326BBBA" w14:textId="77777777" w:rsidR="00EF3DFB" w:rsidRDefault="00EF3DFB">
            <w:pPr>
              <w:pStyle w:val="TableParagraph"/>
              <w:rPr>
                <w:sz w:val="16"/>
              </w:rPr>
            </w:pPr>
          </w:p>
        </w:tc>
        <w:tc>
          <w:tcPr>
            <w:tcW w:w="4035" w:type="dxa"/>
          </w:tcPr>
          <w:p w14:paraId="7326BBBB" w14:textId="77777777" w:rsidR="00EF3DFB" w:rsidRDefault="00EF3DFB">
            <w:pPr>
              <w:pStyle w:val="TableParagraph"/>
              <w:rPr>
                <w:sz w:val="16"/>
              </w:rPr>
            </w:pPr>
          </w:p>
        </w:tc>
        <w:tc>
          <w:tcPr>
            <w:tcW w:w="3806" w:type="dxa"/>
          </w:tcPr>
          <w:p w14:paraId="7326BBBC" w14:textId="77777777" w:rsidR="00EF3DFB" w:rsidRDefault="00D27C17">
            <w:pPr>
              <w:pStyle w:val="TableParagraph"/>
              <w:spacing w:line="211" w:lineRule="exact"/>
              <w:ind w:left="63"/>
              <w:rPr>
                <w:sz w:val="20"/>
              </w:rPr>
            </w:pPr>
            <w:r>
              <w:rPr>
                <w:sz w:val="20"/>
              </w:rPr>
              <w:t>smoke and carbon monoxide alarms</w:t>
            </w:r>
          </w:p>
        </w:tc>
      </w:tr>
      <w:tr w:rsidR="00EF3DFB" w14:paraId="7326BBC1" w14:textId="77777777">
        <w:trPr>
          <w:trHeight w:val="223"/>
        </w:trPr>
        <w:tc>
          <w:tcPr>
            <w:tcW w:w="2779" w:type="dxa"/>
            <w:shd w:val="clear" w:color="auto" w:fill="CCEDFF"/>
          </w:tcPr>
          <w:p w14:paraId="7326BBBE" w14:textId="77777777" w:rsidR="00EF3DFB" w:rsidRDefault="00D27C17">
            <w:pPr>
              <w:pStyle w:val="TableParagraph"/>
              <w:spacing w:before="4" w:line="199" w:lineRule="exact"/>
              <w:ind w:left="52"/>
              <w:rPr>
                <w:sz w:val="20"/>
              </w:rPr>
            </w:pPr>
            <w:r>
              <w:rPr>
                <w:sz w:val="20"/>
              </w:rPr>
              <w:t>Home Solutions</w:t>
            </w:r>
          </w:p>
        </w:tc>
        <w:tc>
          <w:tcPr>
            <w:tcW w:w="4035" w:type="dxa"/>
            <w:shd w:val="clear" w:color="auto" w:fill="CCEDFF"/>
          </w:tcPr>
          <w:p w14:paraId="7326BBBF" w14:textId="77777777" w:rsidR="00EF3DFB" w:rsidRDefault="00D27C17">
            <w:pPr>
              <w:pStyle w:val="TableParagraph"/>
              <w:spacing w:before="4" w:line="199" w:lineRule="exact"/>
              <w:ind w:left="63"/>
              <w:rPr>
                <w:sz w:val="20"/>
              </w:rPr>
            </w:pPr>
            <w:r>
              <w:rPr>
                <w:sz w:val="20"/>
              </w:rPr>
              <w:t>Ball® (1), Chesapeake Bay Candle®,</w:t>
            </w:r>
          </w:p>
        </w:tc>
        <w:tc>
          <w:tcPr>
            <w:tcW w:w="3806" w:type="dxa"/>
            <w:shd w:val="clear" w:color="auto" w:fill="CCEDFF"/>
          </w:tcPr>
          <w:p w14:paraId="7326BBC0" w14:textId="77777777" w:rsidR="00EF3DFB" w:rsidRDefault="00D27C17">
            <w:pPr>
              <w:pStyle w:val="TableParagraph"/>
              <w:spacing w:before="4" w:line="199" w:lineRule="exact"/>
              <w:ind w:left="63"/>
              <w:rPr>
                <w:sz w:val="20"/>
              </w:rPr>
            </w:pPr>
            <w:r>
              <w:rPr>
                <w:sz w:val="20"/>
              </w:rPr>
              <w:t>Food and home storage products; fresh</w:t>
            </w:r>
          </w:p>
        </w:tc>
      </w:tr>
      <w:tr w:rsidR="00EF3DFB" w14:paraId="7326BBC5" w14:textId="77777777">
        <w:trPr>
          <w:trHeight w:val="200"/>
        </w:trPr>
        <w:tc>
          <w:tcPr>
            <w:tcW w:w="2779" w:type="dxa"/>
            <w:shd w:val="clear" w:color="auto" w:fill="CCEDFF"/>
          </w:tcPr>
          <w:p w14:paraId="7326BBC2" w14:textId="77777777" w:rsidR="00EF3DFB" w:rsidRDefault="00EF3DFB">
            <w:pPr>
              <w:pStyle w:val="TableParagraph"/>
              <w:rPr>
                <w:sz w:val="12"/>
              </w:rPr>
            </w:pPr>
          </w:p>
        </w:tc>
        <w:tc>
          <w:tcPr>
            <w:tcW w:w="4035" w:type="dxa"/>
            <w:shd w:val="clear" w:color="auto" w:fill="CCEDFF"/>
          </w:tcPr>
          <w:p w14:paraId="7326BBC3" w14:textId="77777777" w:rsidR="00EF3DFB" w:rsidRDefault="00D27C17">
            <w:pPr>
              <w:pStyle w:val="TableParagraph"/>
              <w:spacing w:line="180" w:lineRule="exact"/>
              <w:ind w:left="63"/>
              <w:rPr>
                <w:sz w:val="20"/>
              </w:rPr>
            </w:pPr>
            <w:r>
              <w:rPr>
                <w:sz w:val="20"/>
              </w:rPr>
              <w:t>FoodSaver®, Rubbermaid®, Sistema®,</w:t>
            </w:r>
          </w:p>
        </w:tc>
        <w:tc>
          <w:tcPr>
            <w:tcW w:w="3806" w:type="dxa"/>
            <w:shd w:val="clear" w:color="auto" w:fill="CCEDFF"/>
          </w:tcPr>
          <w:p w14:paraId="7326BBC4" w14:textId="77777777" w:rsidR="00EF3DFB" w:rsidRDefault="00D27C17">
            <w:pPr>
              <w:pStyle w:val="TableParagraph"/>
              <w:spacing w:line="180" w:lineRule="exact"/>
              <w:ind w:left="63"/>
              <w:rPr>
                <w:sz w:val="20"/>
              </w:rPr>
            </w:pPr>
            <w:r>
              <w:rPr>
                <w:sz w:val="20"/>
              </w:rPr>
              <w:t>preserving products, vacuum sealing products</w:t>
            </w:r>
          </w:p>
        </w:tc>
      </w:tr>
      <w:tr w:rsidR="00EF3DFB" w14:paraId="7326BBC9" w14:textId="77777777">
        <w:trPr>
          <w:trHeight w:val="251"/>
        </w:trPr>
        <w:tc>
          <w:tcPr>
            <w:tcW w:w="2779" w:type="dxa"/>
            <w:shd w:val="clear" w:color="auto" w:fill="CCEDFF"/>
          </w:tcPr>
          <w:p w14:paraId="7326BBC6" w14:textId="77777777" w:rsidR="00EF3DFB" w:rsidRDefault="00EF3DFB">
            <w:pPr>
              <w:pStyle w:val="TableParagraph"/>
              <w:rPr>
                <w:sz w:val="18"/>
              </w:rPr>
            </w:pPr>
          </w:p>
        </w:tc>
        <w:tc>
          <w:tcPr>
            <w:tcW w:w="4035" w:type="dxa"/>
            <w:shd w:val="clear" w:color="auto" w:fill="CCEDFF"/>
          </w:tcPr>
          <w:p w14:paraId="7326BBC7" w14:textId="77777777" w:rsidR="00EF3DFB" w:rsidRDefault="00D27C17">
            <w:pPr>
              <w:pStyle w:val="TableParagraph"/>
              <w:spacing w:line="211" w:lineRule="exact"/>
              <w:ind w:left="63"/>
              <w:rPr>
                <w:sz w:val="20"/>
              </w:rPr>
            </w:pPr>
            <w:r>
              <w:rPr>
                <w:sz w:val="20"/>
              </w:rPr>
              <w:t>WoodWick® and Yankee Candle®</w:t>
            </w:r>
          </w:p>
        </w:tc>
        <w:tc>
          <w:tcPr>
            <w:tcW w:w="3806" w:type="dxa"/>
            <w:shd w:val="clear" w:color="auto" w:fill="CCEDFF"/>
          </w:tcPr>
          <w:p w14:paraId="7326BBC8" w14:textId="77777777" w:rsidR="00EF3DFB" w:rsidRDefault="00D27C17">
            <w:pPr>
              <w:pStyle w:val="TableParagraph"/>
              <w:spacing w:line="211" w:lineRule="exact"/>
              <w:ind w:left="63"/>
              <w:rPr>
                <w:sz w:val="20"/>
              </w:rPr>
            </w:pPr>
            <w:r>
              <w:rPr>
                <w:sz w:val="20"/>
              </w:rPr>
              <w:t>and home fragrance products</w:t>
            </w:r>
          </w:p>
        </w:tc>
      </w:tr>
      <w:tr w:rsidR="00EF3DFB" w14:paraId="7326BBCD" w14:textId="77777777">
        <w:trPr>
          <w:trHeight w:val="223"/>
        </w:trPr>
        <w:tc>
          <w:tcPr>
            <w:tcW w:w="2779" w:type="dxa"/>
          </w:tcPr>
          <w:p w14:paraId="7326BBCA" w14:textId="77777777" w:rsidR="00EF3DFB" w:rsidRDefault="00D27C17">
            <w:pPr>
              <w:pStyle w:val="TableParagraph"/>
              <w:spacing w:before="4" w:line="199" w:lineRule="exact"/>
              <w:ind w:left="52"/>
              <w:rPr>
                <w:sz w:val="20"/>
              </w:rPr>
            </w:pPr>
            <w:r>
              <w:rPr>
                <w:sz w:val="20"/>
              </w:rPr>
              <w:t>Learning and Development</w:t>
            </w:r>
          </w:p>
        </w:tc>
        <w:tc>
          <w:tcPr>
            <w:tcW w:w="4035" w:type="dxa"/>
          </w:tcPr>
          <w:p w14:paraId="7326BBCB" w14:textId="77777777" w:rsidR="00EF3DFB" w:rsidRDefault="00D27C17">
            <w:pPr>
              <w:pStyle w:val="TableParagraph"/>
              <w:spacing w:before="4" w:line="199" w:lineRule="exact"/>
              <w:ind w:left="63"/>
              <w:rPr>
                <w:sz w:val="20"/>
              </w:rPr>
            </w:pPr>
            <w:r>
              <w:rPr>
                <w:sz w:val="20"/>
              </w:rPr>
              <w:t>Aprica®, Baby Jogger®, Dymo®, Elmer’s®,</w:t>
            </w:r>
          </w:p>
        </w:tc>
        <w:tc>
          <w:tcPr>
            <w:tcW w:w="3806" w:type="dxa"/>
          </w:tcPr>
          <w:p w14:paraId="7326BBCC" w14:textId="77777777" w:rsidR="00EF3DFB" w:rsidRDefault="00D27C17">
            <w:pPr>
              <w:pStyle w:val="TableParagraph"/>
              <w:spacing w:before="4" w:line="199" w:lineRule="exact"/>
              <w:ind w:left="63"/>
              <w:rPr>
                <w:sz w:val="20"/>
              </w:rPr>
            </w:pPr>
            <w:r>
              <w:rPr>
                <w:sz w:val="20"/>
              </w:rPr>
              <w:t>Baby gear and infant care products; writing</w:t>
            </w:r>
          </w:p>
        </w:tc>
      </w:tr>
      <w:tr w:rsidR="00EF3DFB" w14:paraId="7326BBD1" w14:textId="77777777">
        <w:trPr>
          <w:trHeight w:val="200"/>
        </w:trPr>
        <w:tc>
          <w:tcPr>
            <w:tcW w:w="2779" w:type="dxa"/>
          </w:tcPr>
          <w:p w14:paraId="7326BBCE" w14:textId="77777777" w:rsidR="00EF3DFB" w:rsidRDefault="00EF3DFB">
            <w:pPr>
              <w:pStyle w:val="TableParagraph"/>
              <w:rPr>
                <w:sz w:val="12"/>
              </w:rPr>
            </w:pPr>
          </w:p>
        </w:tc>
        <w:tc>
          <w:tcPr>
            <w:tcW w:w="4035" w:type="dxa"/>
          </w:tcPr>
          <w:p w14:paraId="7326BBCF" w14:textId="77777777" w:rsidR="00EF3DFB" w:rsidRDefault="00D27C17">
            <w:pPr>
              <w:pStyle w:val="TableParagraph"/>
              <w:spacing w:line="180" w:lineRule="exact"/>
              <w:ind w:left="63"/>
              <w:rPr>
                <w:sz w:val="20"/>
              </w:rPr>
            </w:pPr>
            <w:r>
              <w:rPr>
                <w:sz w:val="20"/>
              </w:rPr>
              <w:t>EXPO®, Graco®, Mr. Sketch®, NUK®, Paper</w:t>
            </w:r>
          </w:p>
        </w:tc>
        <w:tc>
          <w:tcPr>
            <w:tcW w:w="3806" w:type="dxa"/>
          </w:tcPr>
          <w:p w14:paraId="7326BBD0" w14:textId="77777777" w:rsidR="00EF3DFB" w:rsidRDefault="00D27C17">
            <w:pPr>
              <w:pStyle w:val="TableParagraph"/>
              <w:spacing w:line="180" w:lineRule="exact"/>
              <w:ind w:left="63"/>
              <w:rPr>
                <w:sz w:val="20"/>
              </w:rPr>
            </w:pPr>
            <w:r>
              <w:rPr>
                <w:sz w:val="20"/>
              </w:rPr>
              <w:t>instruments, including markers and</w:t>
            </w:r>
          </w:p>
        </w:tc>
      </w:tr>
      <w:tr w:rsidR="00EF3DFB" w14:paraId="7326BBD5" w14:textId="77777777">
        <w:trPr>
          <w:trHeight w:val="200"/>
        </w:trPr>
        <w:tc>
          <w:tcPr>
            <w:tcW w:w="2779" w:type="dxa"/>
          </w:tcPr>
          <w:p w14:paraId="7326BBD2" w14:textId="77777777" w:rsidR="00EF3DFB" w:rsidRDefault="00EF3DFB">
            <w:pPr>
              <w:pStyle w:val="TableParagraph"/>
              <w:rPr>
                <w:sz w:val="12"/>
              </w:rPr>
            </w:pPr>
          </w:p>
        </w:tc>
        <w:tc>
          <w:tcPr>
            <w:tcW w:w="4035" w:type="dxa"/>
          </w:tcPr>
          <w:p w14:paraId="7326BBD3" w14:textId="77777777" w:rsidR="00EF3DFB" w:rsidRDefault="00D27C17">
            <w:pPr>
              <w:pStyle w:val="TableParagraph"/>
              <w:spacing w:line="180" w:lineRule="exact"/>
              <w:ind w:left="63"/>
              <w:rPr>
                <w:sz w:val="20"/>
              </w:rPr>
            </w:pPr>
            <w:r>
              <w:rPr>
                <w:sz w:val="20"/>
              </w:rPr>
              <w:t>Mate®, Parker®, Prismacolor®, Sharpie®,</w:t>
            </w:r>
          </w:p>
        </w:tc>
        <w:tc>
          <w:tcPr>
            <w:tcW w:w="3806" w:type="dxa"/>
          </w:tcPr>
          <w:p w14:paraId="7326BBD4" w14:textId="77777777" w:rsidR="00EF3DFB" w:rsidRDefault="00D27C17">
            <w:pPr>
              <w:pStyle w:val="TableParagraph"/>
              <w:spacing w:line="180" w:lineRule="exact"/>
              <w:ind w:left="63"/>
              <w:rPr>
                <w:sz w:val="20"/>
              </w:rPr>
            </w:pPr>
            <w:r>
              <w:rPr>
                <w:sz w:val="20"/>
              </w:rPr>
              <w:t>highlighters, pens and pencils; art products;</w:t>
            </w:r>
          </w:p>
        </w:tc>
      </w:tr>
      <w:tr w:rsidR="00EF3DFB" w14:paraId="7326BBD9" w14:textId="77777777">
        <w:trPr>
          <w:trHeight w:val="200"/>
        </w:trPr>
        <w:tc>
          <w:tcPr>
            <w:tcW w:w="2779" w:type="dxa"/>
          </w:tcPr>
          <w:p w14:paraId="7326BBD6" w14:textId="77777777" w:rsidR="00EF3DFB" w:rsidRDefault="00EF3DFB">
            <w:pPr>
              <w:pStyle w:val="TableParagraph"/>
              <w:rPr>
                <w:sz w:val="12"/>
              </w:rPr>
            </w:pPr>
          </w:p>
        </w:tc>
        <w:tc>
          <w:tcPr>
            <w:tcW w:w="4035" w:type="dxa"/>
          </w:tcPr>
          <w:p w14:paraId="7326BBD7" w14:textId="77777777" w:rsidR="00EF3DFB" w:rsidRDefault="00D27C17">
            <w:pPr>
              <w:pStyle w:val="TableParagraph"/>
              <w:spacing w:line="180" w:lineRule="exact"/>
              <w:ind w:left="63"/>
              <w:rPr>
                <w:sz w:val="20"/>
              </w:rPr>
            </w:pPr>
            <w:r>
              <w:rPr>
                <w:sz w:val="20"/>
              </w:rPr>
              <w:t>Tigex® Waterman® and X-Acto®</w:t>
            </w:r>
          </w:p>
        </w:tc>
        <w:tc>
          <w:tcPr>
            <w:tcW w:w="3806" w:type="dxa"/>
          </w:tcPr>
          <w:p w14:paraId="7326BBD8" w14:textId="77777777" w:rsidR="00EF3DFB" w:rsidRDefault="00D27C17">
            <w:pPr>
              <w:pStyle w:val="TableParagraph"/>
              <w:spacing w:line="180" w:lineRule="exact"/>
              <w:ind w:left="63"/>
              <w:rPr>
                <w:sz w:val="20"/>
              </w:rPr>
            </w:pPr>
            <w:r>
              <w:rPr>
                <w:sz w:val="20"/>
              </w:rPr>
              <w:t>activity-based adhesive and cutting products</w:t>
            </w:r>
          </w:p>
        </w:tc>
      </w:tr>
      <w:tr w:rsidR="00EF3DFB" w14:paraId="7326BBDD" w14:textId="77777777">
        <w:trPr>
          <w:trHeight w:val="241"/>
        </w:trPr>
        <w:tc>
          <w:tcPr>
            <w:tcW w:w="2779" w:type="dxa"/>
          </w:tcPr>
          <w:p w14:paraId="7326BBDA" w14:textId="77777777" w:rsidR="00EF3DFB" w:rsidRDefault="00EF3DFB">
            <w:pPr>
              <w:pStyle w:val="TableParagraph"/>
              <w:rPr>
                <w:sz w:val="16"/>
              </w:rPr>
            </w:pPr>
          </w:p>
        </w:tc>
        <w:tc>
          <w:tcPr>
            <w:tcW w:w="4035" w:type="dxa"/>
          </w:tcPr>
          <w:p w14:paraId="7326BBDB" w14:textId="77777777" w:rsidR="00EF3DFB" w:rsidRDefault="00EF3DFB">
            <w:pPr>
              <w:pStyle w:val="TableParagraph"/>
              <w:rPr>
                <w:sz w:val="16"/>
              </w:rPr>
            </w:pPr>
          </w:p>
        </w:tc>
        <w:tc>
          <w:tcPr>
            <w:tcW w:w="3806" w:type="dxa"/>
          </w:tcPr>
          <w:p w14:paraId="7326BBDC" w14:textId="77777777" w:rsidR="00EF3DFB" w:rsidRDefault="00D27C17">
            <w:pPr>
              <w:pStyle w:val="TableParagraph"/>
              <w:spacing w:line="211" w:lineRule="exact"/>
              <w:ind w:left="63"/>
              <w:rPr>
                <w:sz w:val="20"/>
              </w:rPr>
            </w:pPr>
            <w:r>
              <w:rPr>
                <w:sz w:val="20"/>
              </w:rPr>
              <w:t>and labeling solutions</w:t>
            </w:r>
          </w:p>
        </w:tc>
      </w:tr>
      <w:tr w:rsidR="00EF3DFB" w14:paraId="7326BBE1" w14:textId="77777777">
        <w:trPr>
          <w:trHeight w:val="223"/>
        </w:trPr>
        <w:tc>
          <w:tcPr>
            <w:tcW w:w="2779" w:type="dxa"/>
            <w:shd w:val="clear" w:color="auto" w:fill="CCEDFF"/>
          </w:tcPr>
          <w:p w14:paraId="7326BBDE" w14:textId="77777777" w:rsidR="00EF3DFB" w:rsidRDefault="00D27C17">
            <w:pPr>
              <w:pStyle w:val="TableParagraph"/>
              <w:spacing w:before="4" w:line="199" w:lineRule="exact"/>
              <w:ind w:left="52"/>
              <w:rPr>
                <w:sz w:val="20"/>
              </w:rPr>
            </w:pPr>
            <w:r>
              <w:rPr>
                <w:sz w:val="20"/>
              </w:rPr>
              <w:t>Outdoor and Recreation</w:t>
            </w:r>
          </w:p>
        </w:tc>
        <w:tc>
          <w:tcPr>
            <w:tcW w:w="4035" w:type="dxa"/>
            <w:shd w:val="clear" w:color="auto" w:fill="CCEDFF"/>
          </w:tcPr>
          <w:p w14:paraId="7326BBDF" w14:textId="77777777" w:rsidR="00EF3DFB" w:rsidRDefault="00D27C17">
            <w:pPr>
              <w:pStyle w:val="TableParagraph"/>
              <w:spacing w:before="4" w:line="199" w:lineRule="exact"/>
              <w:ind w:left="63"/>
              <w:rPr>
                <w:sz w:val="20"/>
              </w:rPr>
            </w:pPr>
            <w:r>
              <w:rPr>
                <w:sz w:val="20"/>
              </w:rPr>
              <w:t>Coleman®, Contigo®, ExOfficio®, Marmot®</w:t>
            </w:r>
          </w:p>
        </w:tc>
        <w:tc>
          <w:tcPr>
            <w:tcW w:w="3806" w:type="dxa"/>
            <w:shd w:val="clear" w:color="auto" w:fill="CCEDFF"/>
          </w:tcPr>
          <w:p w14:paraId="7326BBE0" w14:textId="77777777" w:rsidR="00EF3DFB" w:rsidRDefault="00D27C17">
            <w:pPr>
              <w:pStyle w:val="TableParagraph"/>
              <w:spacing w:before="4" w:line="199" w:lineRule="exact"/>
              <w:ind w:left="63"/>
              <w:rPr>
                <w:sz w:val="20"/>
              </w:rPr>
            </w:pPr>
            <w:r>
              <w:rPr>
                <w:sz w:val="20"/>
              </w:rPr>
              <w:t>Products for outdoor and outdoor-related</w:t>
            </w:r>
          </w:p>
        </w:tc>
      </w:tr>
      <w:tr w:rsidR="00EF3DFB" w14:paraId="7326BBE5" w14:textId="77777777">
        <w:trPr>
          <w:trHeight w:val="241"/>
        </w:trPr>
        <w:tc>
          <w:tcPr>
            <w:tcW w:w="2779" w:type="dxa"/>
            <w:shd w:val="clear" w:color="auto" w:fill="CCEDFF"/>
          </w:tcPr>
          <w:p w14:paraId="7326BBE2" w14:textId="77777777" w:rsidR="00EF3DFB" w:rsidRDefault="00EF3DFB">
            <w:pPr>
              <w:pStyle w:val="TableParagraph"/>
              <w:rPr>
                <w:sz w:val="16"/>
              </w:rPr>
            </w:pPr>
          </w:p>
        </w:tc>
        <w:tc>
          <w:tcPr>
            <w:tcW w:w="4035" w:type="dxa"/>
            <w:shd w:val="clear" w:color="auto" w:fill="CCEDFF"/>
          </w:tcPr>
          <w:p w14:paraId="7326BBE3" w14:textId="77777777" w:rsidR="00EF3DFB" w:rsidRDefault="00EF3DFB">
            <w:pPr>
              <w:pStyle w:val="TableParagraph"/>
              <w:rPr>
                <w:sz w:val="16"/>
              </w:rPr>
            </w:pPr>
          </w:p>
        </w:tc>
        <w:tc>
          <w:tcPr>
            <w:tcW w:w="3806" w:type="dxa"/>
            <w:shd w:val="clear" w:color="auto" w:fill="CCEDFF"/>
          </w:tcPr>
          <w:p w14:paraId="7326BBE4" w14:textId="77777777" w:rsidR="00EF3DFB" w:rsidRDefault="00D27C17">
            <w:pPr>
              <w:pStyle w:val="TableParagraph"/>
              <w:spacing w:line="211" w:lineRule="exact"/>
              <w:ind w:left="63"/>
              <w:rPr>
                <w:sz w:val="20"/>
              </w:rPr>
            </w:pPr>
            <w:r>
              <w:rPr>
                <w:sz w:val="20"/>
              </w:rPr>
              <w:t>activities</w:t>
            </w:r>
          </w:p>
        </w:tc>
      </w:tr>
    </w:tbl>
    <w:p w14:paraId="7326BBE6" w14:textId="77777777" w:rsidR="00EF3DFB" w:rsidRDefault="00EF3DFB">
      <w:pPr>
        <w:pStyle w:val="BodyText"/>
        <w:spacing w:before="4"/>
        <w:rPr>
          <w:sz w:val="17"/>
        </w:rPr>
      </w:pPr>
    </w:p>
    <w:p w14:paraId="7326BBE7" w14:textId="77777777" w:rsidR="00EF3DFB" w:rsidRDefault="00D27C17">
      <w:pPr>
        <w:ind w:left="190"/>
        <w:rPr>
          <w:sz w:val="16"/>
        </w:rPr>
      </w:pPr>
      <w:r>
        <w:rPr>
          <w:sz w:val="16"/>
        </w:rPr>
        <w:t xml:space="preserve">(1) </w:t>
      </w:r>
      <w:r>
        <w:rPr>
          <w:noProof/>
          <w:spacing w:val="-1"/>
          <w:sz w:val="16"/>
        </w:rPr>
        <w:drawing>
          <wp:inline distT="0" distB="0" distL="0" distR="0" wp14:anchorId="7326D6D9" wp14:editId="7326D6DA">
            <wp:extent cx="276224" cy="1905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276224" cy="190500"/>
                    </a:xfrm>
                    <a:prstGeom prst="rect">
                      <a:avLst/>
                    </a:prstGeom>
                  </pic:spPr>
                </pic:pic>
              </a:graphicData>
            </a:graphic>
          </wp:inline>
        </w:drawing>
      </w:r>
      <w:r>
        <w:rPr>
          <w:spacing w:val="-1"/>
          <w:sz w:val="16"/>
        </w:rPr>
        <w:t xml:space="preserve"> </w:t>
      </w:r>
      <w:r>
        <w:rPr>
          <w:sz w:val="16"/>
        </w:rPr>
        <w:t>and Ball®, TMs Ball Corporation, used under</w:t>
      </w:r>
      <w:r>
        <w:rPr>
          <w:spacing w:val="-3"/>
          <w:sz w:val="16"/>
        </w:rPr>
        <w:t xml:space="preserve"> </w:t>
      </w:r>
      <w:r>
        <w:rPr>
          <w:sz w:val="16"/>
        </w:rPr>
        <w:t>license.</w:t>
      </w:r>
    </w:p>
    <w:p w14:paraId="7326BBE8" w14:textId="77777777" w:rsidR="00EF3DFB" w:rsidRDefault="00EF3DFB">
      <w:pPr>
        <w:pStyle w:val="BodyText"/>
        <w:spacing w:before="9"/>
        <w:rPr>
          <w:sz w:val="12"/>
        </w:rPr>
      </w:pPr>
    </w:p>
    <w:p w14:paraId="7326BBE9" w14:textId="77777777" w:rsidR="00EF3DFB" w:rsidRDefault="00D27C17">
      <w:pPr>
        <w:pStyle w:val="BodyText"/>
        <w:spacing w:before="92" w:line="249" w:lineRule="auto"/>
        <w:ind w:left="190" w:right="167"/>
        <w:jc w:val="both"/>
      </w:pPr>
      <w:r>
        <w:rPr>
          <w:color w:val="202528"/>
        </w:rPr>
        <w:t>This structure reflects the manner in which the chief operating decision maker regularly assesses information for decision-making purposes, including the allocation of resources. The Company also provides general corporate services to its segments which is</w:t>
      </w:r>
      <w:r>
        <w:rPr>
          <w:color w:val="202528"/>
        </w:rPr>
        <w:t xml:space="preserve"> reported as a non-operating segment, Corporate. See </w:t>
      </w:r>
      <w:r>
        <w:rPr>
          <w:i/>
          <w:color w:val="202528"/>
        </w:rPr>
        <w:t xml:space="preserve">Footnote 17 of the Notes to the Consolidated Financial Statements </w:t>
      </w:r>
      <w:r>
        <w:rPr>
          <w:color w:val="202528"/>
        </w:rPr>
        <w:t>for further information.</w:t>
      </w:r>
    </w:p>
    <w:p w14:paraId="7326BBEA" w14:textId="77777777" w:rsidR="00EF3DFB" w:rsidRDefault="00EF3DFB">
      <w:pPr>
        <w:pStyle w:val="BodyText"/>
        <w:spacing w:before="10"/>
      </w:pPr>
    </w:p>
    <w:p w14:paraId="7326BBEB" w14:textId="77777777" w:rsidR="00EF3DFB" w:rsidRDefault="00D27C17">
      <w:pPr>
        <w:pStyle w:val="Heading2"/>
      </w:pPr>
      <w:bookmarkStart w:id="30" w:name="Recent_Developments"/>
      <w:bookmarkEnd w:id="30"/>
      <w:r>
        <w:rPr>
          <w:u w:val="single"/>
        </w:rPr>
        <w:t>Recent Developments</w:t>
      </w:r>
    </w:p>
    <w:p w14:paraId="7326BBEC" w14:textId="77777777" w:rsidR="00EF3DFB" w:rsidRDefault="00EF3DFB">
      <w:pPr>
        <w:pStyle w:val="BodyText"/>
        <w:spacing w:before="1"/>
        <w:rPr>
          <w:b/>
          <w:sz w:val="14"/>
        </w:rPr>
      </w:pPr>
    </w:p>
    <w:p w14:paraId="7326BBED" w14:textId="77777777" w:rsidR="00EF3DFB" w:rsidRDefault="00D27C17">
      <w:pPr>
        <w:spacing w:before="91"/>
        <w:ind w:left="190"/>
        <w:rPr>
          <w:i/>
          <w:sz w:val="20"/>
        </w:rPr>
      </w:pPr>
      <w:r>
        <w:rPr>
          <w:i/>
          <w:sz w:val="20"/>
        </w:rPr>
        <w:t>Coronavirus (COVID-19)</w:t>
      </w:r>
    </w:p>
    <w:p w14:paraId="7326BBEE" w14:textId="77777777" w:rsidR="00EF3DFB" w:rsidRDefault="00EF3DFB">
      <w:pPr>
        <w:pStyle w:val="BodyText"/>
        <w:spacing w:before="8"/>
        <w:rPr>
          <w:i/>
          <w:sz w:val="21"/>
        </w:rPr>
      </w:pPr>
    </w:p>
    <w:p w14:paraId="7326BBEF" w14:textId="77777777" w:rsidR="00EF3DFB" w:rsidRDefault="00D27C17">
      <w:pPr>
        <w:pStyle w:val="BodyText"/>
        <w:spacing w:before="1" w:line="249" w:lineRule="auto"/>
        <w:ind w:left="190" w:right="168"/>
        <w:jc w:val="both"/>
      </w:pPr>
      <w:r>
        <w:t>Beginning late in the fourth quarter of 2019 through 2020 and into</w:t>
      </w:r>
      <w:r>
        <w:t xml:space="preserve"> 2021, COVID-19 emerged and subsequently spread globally, ultimately being declared a pandemic by the World Health Organization. The pandemic resulted in various federal, state and local governments, as well as private entities, mandating restrictions on t</w:t>
      </w:r>
      <w:r>
        <w:t>ravel and public gatherings, closure of non-essential commerce, stay at home orders and quarantining of people to limit exposure to the virus. The Company's global operations, similar to those of many large, multi-national corporations, experienced signifi</w:t>
      </w:r>
      <w:r>
        <w:t>cant COVID-19 related disruption to its business in three primary areas:</w:t>
      </w:r>
    </w:p>
    <w:p w14:paraId="7326BBF0" w14:textId="77777777" w:rsidR="00EF3DFB" w:rsidRDefault="00EF3DFB">
      <w:pPr>
        <w:pStyle w:val="BodyText"/>
        <w:spacing w:before="3"/>
      </w:pPr>
    </w:p>
    <w:p w14:paraId="7326BBF1" w14:textId="77777777" w:rsidR="00EF3DFB" w:rsidRDefault="00D27C17">
      <w:pPr>
        <w:pStyle w:val="ListParagraph"/>
        <w:numPr>
          <w:ilvl w:val="0"/>
          <w:numId w:val="28"/>
        </w:numPr>
        <w:tabs>
          <w:tab w:val="left" w:pos="910"/>
        </w:tabs>
        <w:spacing w:before="1" w:line="249" w:lineRule="auto"/>
        <w:ind w:right="168"/>
        <w:jc w:val="both"/>
        <w:rPr>
          <w:sz w:val="20"/>
        </w:rPr>
      </w:pPr>
      <w:r>
        <w:rPr>
          <w:sz w:val="20"/>
          <w:u w:val="single"/>
        </w:rPr>
        <w:t>Supply chain.</w:t>
      </w:r>
      <w:r>
        <w:rPr>
          <w:sz w:val="20"/>
        </w:rPr>
        <w:t xml:space="preserve"> While the majority of the Company’s factories are considered essential in their applicable jurisdictions and have remained operational, the Company experienced disrupti</w:t>
      </w:r>
      <w:r>
        <w:rPr>
          <w:sz w:val="20"/>
        </w:rPr>
        <w:t>on at certain of its facilities. Of its 135 manufacturing and distribution facilities, approximately 20 were temporarily closed at the end of the first quarter of 2020, the most significant of which were its South Deerfield, MA, Home Fragrance plant, its M</w:t>
      </w:r>
      <w:r>
        <w:rPr>
          <w:sz w:val="20"/>
        </w:rPr>
        <w:t>exicali, Mexico and India Writing facilities and its Juarez, Mexico Connected Home and Security facility, all of which were closed in accordance with state government guidelines. By the end of the third quarter of 2020, substantially all of the Company's m</w:t>
      </w:r>
      <w:r>
        <w:rPr>
          <w:sz w:val="20"/>
        </w:rPr>
        <w:t>anufacturing and distribution facilities reopened and were operating at or near capacity. Since then, the Company's facilities have replenished most of the inventory</w:t>
      </w:r>
      <w:r>
        <w:rPr>
          <w:spacing w:val="7"/>
          <w:sz w:val="20"/>
        </w:rPr>
        <w:t xml:space="preserve"> </w:t>
      </w:r>
      <w:r>
        <w:rPr>
          <w:sz w:val="20"/>
        </w:rPr>
        <w:t>levels</w:t>
      </w:r>
      <w:r>
        <w:rPr>
          <w:spacing w:val="7"/>
          <w:sz w:val="20"/>
        </w:rPr>
        <w:t xml:space="preserve"> </w:t>
      </w:r>
      <w:r>
        <w:rPr>
          <w:sz w:val="20"/>
        </w:rPr>
        <w:t>that</w:t>
      </w:r>
      <w:r>
        <w:rPr>
          <w:spacing w:val="7"/>
          <w:sz w:val="20"/>
        </w:rPr>
        <w:t xml:space="preserve"> </w:t>
      </w:r>
      <w:r>
        <w:rPr>
          <w:sz w:val="20"/>
        </w:rPr>
        <w:t>were</w:t>
      </w:r>
      <w:r>
        <w:rPr>
          <w:spacing w:val="7"/>
          <w:sz w:val="20"/>
        </w:rPr>
        <w:t xml:space="preserve"> </w:t>
      </w:r>
      <w:r>
        <w:rPr>
          <w:sz w:val="20"/>
        </w:rPr>
        <w:t>depleted</w:t>
      </w:r>
      <w:r>
        <w:rPr>
          <w:spacing w:val="7"/>
          <w:sz w:val="20"/>
        </w:rPr>
        <w:t xml:space="preserve"> </w:t>
      </w:r>
      <w:r>
        <w:rPr>
          <w:sz w:val="20"/>
        </w:rPr>
        <w:t>by</w:t>
      </w:r>
      <w:r>
        <w:rPr>
          <w:spacing w:val="7"/>
          <w:sz w:val="20"/>
        </w:rPr>
        <w:t xml:space="preserve"> </w:t>
      </w:r>
      <w:r>
        <w:rPr>
          <w:sz w:val="20"/>
        </w:rPr>
        <w:t>lost</w:t>
      </w:r>
      <w:r>
        <w:rPr>
          <w:spacing w:val="7"/>
          <w:sz w:val="20"/>
        </w:rPr>
        <w:t xml:space="preserve"> </w:t>
      </w:r>
      <w:r>
        <w:rPr>
          <w:sz w:val="20"/>
        </w:rPr>
        <w:t>production</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temporary</w:t>
      </w:r>
      <w:r>
        <w:rPr>
          <w:spacing w:val="7"/>
          <w:sz w:val="20"/>
        </w:rPr>
        <w:t xml:space="preserve"> </w:t>
      </w:r>
      <w:r>
        <w:rPr>
          <w:sz w:val="20"/>
        </w:rPr>
        <w:t>closure</w:t>
      </w:r>
      <w:r>
        <w:rPr>
          <w:spacing w:val="7"/>
          <w:sz w:val="20"/>
        </w:rPr>
        <w:t xml:space="preserve"> </w:t>
      </w:r>
      <w:r>
        <w:rPr>
          <w:sz w:val="20"/>
        </w:rPr>
        <w:t>period.</w:t>
      </w:r>
      <w:r>
        <w:rPr>
          <w:spacing w:val="7"/>
          <w:sz w:val="20"/>
        </w:rPr>
        <w:t xml:space="preserve"> </w:t>
      </w:r>
      <w:r>
        <w:rPr>
          <w:sz w:val="20"/>
        </w:rPr>
        <w:t>The</w:t>
      </w:r>
      <w:r>
        <w:rPr>
          <w:spacing w:val="7"/>
          <w:sz w:val="20"/>
        </w:rPr>
        <w:t xml:space="preserve"> </w:t>
      </w:r>
      <w:r>
        <w:rPr>
          <w:sz w:val="20"/>
        </w:rPr>
        <w:t>Comp</w:t>
      </w:r>
      <w:r>
        <w:rPr>
          <w:sz w:val="20"/>
        </w:rPr>
        <w:t>any</w:t>
      </w:r>
      <w:r>
        <w:rPr>
          <w:spacing w:val="7"/>
          <w:sz w:val="20"/>
        </w:rPr>
        <w:t xml:space="preserve"> </w:t>
      </w:r>
      <w:r>
        <w:rPr>
          <w:sz w:val="20"/>
        </w:rPr>
        <w:t>does,</w:t>
      </w:r>
      <w:r>
        <w:rPr>
          <w:spacing w:val="7"/>
          <w:sz w:val="20"/>
        </w:rPr>
        <w:t xml:space="preserve"> </w:t>
      </w:r>
      <w:r>
        <w:rPr>
          <w:sz w:val="20"/>
        </w:rPr>
        <w:t>however,</w:t>
      </w:r>
    </w:p>
    <w:p w14:paraId="7326BBF2" w14:textId="77777777" w:rsidR="00EF3DFB" w:rsidRDefault="00EF3DFB">
      <w:pPr>
        <w:spacing w:line="249" w:lineRule="auto"/>
        <w:jc w:val="both"/>
        <w:rPr>
          <w:sz w:val="20"/>
        </w:rPr>
        <w:sectPr w:rsidR="00EF3DFB">
          <w:pgSz w:w="12240" w:h="15840"/>
          <w:pgMar w:top="840" w:right="640" w:bottom="480" w:left="620" w:header="0" w:footer="291" w:gutter="0"/>
          <w:cols w:space="720"/>
        </w:sectPr>
      </w:pPr>
    </w:p>
    <w:p w14:paraId="7326BBF3" w14:textId="77777777" w:rsidR="00EF3DFB" w:rsidRDefault="00D27C17">
      <w:pPr>
        <w:pStyle w:val="BodyText"/>
        <w:spacing w:before="72" w:line="249" w:lineRule="auto"/>
        <w:ind w:left="910" w:right="170"/>
      </w:pPr>
      <w:r>
        <w:lastRenderedPageBreak/>
        <w:t>continue to face intermittent supply and labor shortages, capacity constraints, and transportation and logistical challenges and expects this to persist until the current economic and public health conditions improve global</w:t>
      </w:r>
      <w:r>
        <w:t>ly.</w:t>
      </w:r>
    </w:p>
    <w:p w14:paraId="7326BBF4" w14:textId="77777777" w:rsidR="00EF3DFB" w:rsidRDefault="00EF3DFB">
      <w:pPr>
        <w:pStyle w:val="BodyText"/>
        <w:rPr>
          <w:sz w:val="21"/>
        </w:rPr>
      </w:pPr>
    </w:p>
    <w:p w14:paraId="7326BBF5" w14:textId="77777777" w:rsidR="00EF3DFB" w:rsidRDefault="00D27C17">
      <w:pPr>
        <w:pStyle w:val="ListParagraph"/>
        <w:numPr>
          <w:ilvl w:val="0"/>
          <w:numId w:val="28"/>
        </w:numPr>
        <w:tabs>
          <w:tab w:val="left" w:pos="910"/>
        </w:tabs>
        <w:spacing w:line="249" w:lineRule="auto"/>
        <w:ind w:right="168"/>
        <w:jc w:val="both"/>
        <w:rPr>
          <w:sz w:val="20"/>
        </w:rPr>
      </w:pPr>
      <w:r>
        <w:rPr>
          <w:sz w:val="20"/>
          <w:u w:val="single"/>
        </w:rPr>
        <w:t>Retail.</w:t>
      </w:r>
      <w:r>
        <w:rPr>
          <w:sz w:val="20"/>
        </w:rPr>
        <w:t xml:space="preserve"> While the Company’s largest retail customers experienced a surge in sales as their stores remained open, a number of secondary customers, primarily in the specialty and department store channels, temporarily closed their brick and mortar doors in March 20</w:t>
      </w:r>
      <w:r>
        <w:rPr>
          <w:sz w:val="20"/>
        </w:rPr>
        <w:t>20, and began to reopen in certain regions where conditions improved towards the end of the second quarter of 2020. These dynamics, in combination with some retailers’ prioritization of essential items, have had a meaningful impact on the Company's traditi</w:t>
      </w:r>
      <w:r>
        <w:rPr>
          <w:sz w:val="20"/>
        </w:rPr>
        <w:t>onal order patterns. In addition, the Company temporarily closed its Yankee Candle retail stores in North America as of mid-March. All of these stores reopened by the end of the third quarter and have remained open</w:t>
      </w:r>
      <w:r>
        <w:rPr>
          <w:spacing w:val="-2"/>
          <w:sz w:val="20"/>
        </w:rPr>
        <w:t xml:space="preserve"> </w:t>
      </w:r>
      <w:r>
        <w:rPr>
          <w:sz w:val="20"/>
        </w:rPr>
        <w:t>since.</w:t>
      </w:r>
    </w:p>
    <w:p w14:paraId="7326BBF6" w14:textId="77777777" w:rsidR="00EF3DFB" w:rsidRDefault="00EF3DFB">
      <w:pPr>
        <w:pStyle w:val="BodyText"/>
        <w:spacing w:before="4"/>
        <w:rPr>
          <w:sz w:val="21"/>
        </w:rPr>
      </w:pPr>
    </w:p>
    <w:p w14:paraId="7326BBF7" w14:textId="77777777" w:rsidR="00EF3DFB" w:rsidRDefault="00D27C17">
      <w:pPr>
        <w:pStyle w:val="ListParagraph"/>
        <w:numPr>
          <w:ilvl w:val="0"/>
          <w:numId w:val="28"/>
        </w:numPr>
        <w:tabs>
          <w:tab w:val="left" w:pos="910"/>
        </w:tabs>
        <w:spacing w:line="249" w:lineRule="auto"/>
        <w:ind w:right="168"/>
        <w:jc w:val="both"/>
        <w:rPr>
          <w:sz w:val="20"/>
        </w:rPr>
      </w:pPr>
      <w:r>
        <w:rPr>
          <w:sz w:val="20"/>
          <w:u w:val="single"/>
        </w:rPr>
        <w:t>Consumer demand patterns.</w:t>
      </w:r>
      <w:r>
        <w:rPr>
          <w:sz w:val="20"/>
        </w:rPr>
        <w:t xml:space="preserve"> During </w:t>
      </w:r>
      <w:r>
        <w:rPr>
          <w:sz w:val="20"/>
        </w:rPr>
        <w:t>the quarantine phase of the pandemic, consumer purchasing behavior strongly shifted to certain focused categories. While certain of the Company’s product categories in the Food, Commercial and Appliances and Cookware business benefited from this shift, oth</w:t>
      </w:r>
      <w:r>
        <w:rPr>
          <w:sz w:val="20"/>
        </w:rPr>
        <w:t>ers, particularly the Writing business, experienced significant slowing. Changes in consumer purchasing patterns, temporary office closures, as well as the shift to remote learning for schools and other higher education programs in the Fall semester of 202</w:t>
      </w:r>
      <w:r>
        <w:rPr>
          <w:sz w:val="20"/>
        </w:rPr>
        <w:t>0 adversely impacted the performance of the Writing business during</w:t>
      </w:r>
      <w:r>
        <w:rPr>
          <w:spacing w:val="-1"/>
          <w:sz w:val="20"/>
        </w:rPr>
        <w:t xml:space="preserve"> </w:t>
      </w:r>
      <w:r>
        <w:rPr>
          <w:sz w:val="20"/>
        </w:rPr>
        <w:t>2020.</w:t>
      </w:r>
    </w:p>
    <w:p w14:paraId="7326BBF8" w14:textId="77777777" w:rsidR="00EF3DFB" w:rsidRDefault="00EF3DFB">
      <w:pPr>
        <w:pStyle w:val="BodyText"/>
        <w:spacing w:before="3"/>
        <w:rPr>
          <w:sz w:val="21"/>
        </w:rPr>
      </w:pPr>
    </w:p>
    <w:p w14:paraId="7326BBF9" w14:textId="77777777" w:rsidR="00EF3DFB" w:rsidRDefault="00D27C17">
      <w:pPr>
        <w:pStyle w:val="BodyText"/>
        <w:spacing w:line="249" w:lineRule="auto"/>
        <w:ind w:left="190" w:right="169"/>
        <w:jc w:val="both"/>
      </w:pPr>
      <w:r>
        <w:t>In response to the COVID-19 pandemic, the Company focused on protecting the health and well-being of its employees; maintaining financial viability and business continuity; and keeping manufacturing facilities and distribution centers operating, where perm</w:t>
      </w:r>
      <w:r>
        <w:t>itted and deemed prudent, to provide products to our consumers. The Company put in place internal protocols including the establishment of a COVID-19 task force to monitor the situation, as well as communications and guidance issued by foreign, federal, st</w:t>
      </w:r>
      <w:r>
        <w:t>ate and local governments. The Company instituted mandatory work-from-home policies for employees able to work from home in various locations around the world and implemented a number of precautionary measures at its manufacturing plants, warehouses, distr</w:t>
      </w:r>
      <w:r>
        <w:t>ibution centers and R&amp;D centers to reduce person-to-person contact and improve the personal safety for our front- line employees. Furthermore, the Company temporarily closed all of the world-wide Yankee Candle retail stores. By the end of the third quarter</w:t>
      </w:r>
      <w:r>
        <w:t xml:space="preserve"> of 2020, all of the Company’s temporarily closed manufacturing and distribution sites reopened and were operating at or near capacity. In addition, most of the Company's office locations have reopened on a limited</w:t>
      </w:r>
      <w:r>
        <w:rPr>
          <w:spacing w:val="-17"/>
        </w:rPr>
        <w:t xml:space="preserve"> </w:t>
      </w:r>
      <w:r>
        <w:t>basis.</w:t>
      </w:r>
    </w:p>
    <w:p w14:paraId="7326BBFA" w14:textId="77777777" w:rsidR="00EF3DFB" w:rsidRDefault="00EF3DFB">
      <w:pPr>
        <w:pStyle w:val="BodyText"/>
        <w:spacing w:before="7"/>
        <w:rPr>
          <w:sz w:val="21"/>
        </w:rPr>
      </w:pPr>
    </w:p>
    <w:p w14:paraId="7326BBFB" w14:textId="77777777" w:rsidR="00EF3DFB" w:rsidRDefault="00D27C17">
      <w:pPr>
        <w:pStyle w:val="BodyText"/>
        <w:spacing w:line="249" w:lineRule="auto"/>
        <w:ind w:left="190" w:right="168"/>
        <w:jc w:val="both"/>
      </w:pPr>
      <w:r>
        <w:t xml:space="preserve">The Company continues to monitor </w:t>
      </w:r>
      <w:r>
        <w:t xml:space="preserve">developments, including government requirements and recommendations at the national, state, and local level to evaluate possible cessation or extensions to all or part of such COVID-19 precautionary initiatives. As part of the Company's efforts to contain </w:t>
      </w:r>
      <w:r>
        <w:t xml:space="preserve">costs and maintain financial liquidity and flexibility, it instituted a hiring freeze for non-essential roles, furloughed all field-based and most corporate retail employees in North America, from April 1, 2020 through the third quarter of 2020, tightened </w:t>
      </w:r>
      <w:r>
        <w:t>discretionary spending, reduced non-essential travel and optimized advertising and promotional expenses. In addition, the Company announced a restructuring program during the second quarter of 2020 to reduce overhead costs, streamline certain underperformi</w:t>
      </w:r>
      <w:r>
        <w:t>ng operations and improve future profitability.</w:t>
      </w:r>
    </w:p>
    <w:p w14:paraId="7326BBFC" w14:textId="77777777" w:rsidR="00EF3DFB" w:rsidRDefault="00EF3DFB">
      <w:pPr>
        <w:pStyle w:val="BodyText"/>
        <w:spacing w:before="6"/>
      </w:pPr>
    </w:p>
    <w:p w14:paraId="7326BBFD" w14:textId="77777777" w:rsidR="00EF3DFB" w:rsidRDefault="00D27C17">
      <w:pPr>
        <w:pStyle w:val="BodyText"/>
        <w:ind w:left="190" w:right="167"/>
        <w:jc w:val="both"/>
      </w:pPr>
      <w:r>
        <w:t xml:space="preserve">While the negative effects from the COVID-19 global pandemic in the first half of 2020 were material to the Company's operating results, the Company saw positive momentum, which included sales growth during </w:t>
      </w:r>
      <w:r>
        <w:t>the second half of the year and strong liquidity with over $1.4 billion in operating cash flow for the year ended December 31, 2020. The Company believes, however, the extent of the impact of the COVID-19 pandemic to its businesses, operating results, cash</w:t>
      </w:r>
      <w:r>
        <w:t xml:space="preserve"> flows, liquidity and financial condition will be primarily driven by the severity and duration of the pandemic, the impact of new strains and variants of the coronavirus, the pandemic’s impact on the U.S. and global economies and the timing, scope and eff</w:t>
      </w:r>
      <w:r>
        <w:t>ectiveness of federal, state and local governmental plans to administer vaccines to the general public, especially in areas where conditions have recently worsened and lockdowns or travel bans have been reinstituted. Those primary drivers are beyond the Co</w:t>
      </w:r>
      <w:r>
        <w:t>mpany's knowledge and control, and as a result, at this time it is difficult to predict the cumulative impact, both in terms of severity and duration, COVID-19 will have on its future sales, operating results, cash flows and financial condition. Furthermor</w:t>
      </w:r>
      <w:r>
        <w:t>e, the impact to the Company's businesses, operating results, cash flows, liquidity and financial condition may be further adversely impacted if the COVID-19 global pandemic continues to exist or worsens for a prolonged period of time or if plans to admini</w:t>
      </w:r>
      <w:r>
        <w:t>ster vaccines are</w:t>
      </w:r>
      <w:r>
        <w:rPr>
          <w:spacing w:val="-15"/>
        </w:rPr>
        <w:t xml:space="preserve"> </w:t>
      </w:r>
      <w:r>
        <w:t>delayed.</w:t>
      </w:r>
    </w:p>
    <w:p w14:paraId="7326BBFE" w14:textId="77777777" w:rsidR="00EF3DFB" w:rsidRDefault="00EF3DFB">
      <w:pPr>
        <w:pStyle w:val="BodyText"/>
        <w:spacing w:before="10"/>
      </w:pPr>
    </w:p>
    <w:p w14:paraId="7326BBFF" w14:textId="77777777" w:rsidR="00EF3DFB" w:rsidRDefault="00D27C17">
      <w:pPr>
        <w:ind w:left="190"/>
        <w:rPr>
          <w:i/>
          <w:sz w:val="20"/>
        </w:rPr>
      </w:pPr>
      <w:r>
        <w:rPr>
          <w:sz w:val="20"/>
        </w:rPr>
        <w:t xml:space="preserve">See </w:t>
      </w:r>
      <w:r>
        <w:rPr>
          <w:i/>
          <w:sz w:val="20"/>
        </w:rPr>
        <w:t xml:space="preserve">Results of Operations, Critical Accounting Estimates </w:t>
      </w:r>
      <w:r>
        <w:rPr>
          <w:sz w:val="20"/>
        </w:rPr>
        <w:t xml:space="preserve">and </w:t>
      </w:r>
      <w:r>
        <w:rPr>
          <w:i/>
          <w:sz w:val="20"/>
        </w:rPr>
        <w:t>Footnotes 1 and 7 of the Notes to Consolidated Financial Statements</w:t>
      </w:r>
    </w:p>
    <w:p w14:paraId="7326BC00" w14:textId="77777777" w:rsidR="00EF3DFB" w:rsidRDefault="00D27C17">
      <w:pPr>
        <w:pStyle w:val="BodyText"/>
        <w:ind w:left="190"/>
      </w:pPr>
      <w:r>
        <w:t>for further information.</w:t>
      </w:r>
    </w:p>
    <w:p w14:paraId="7326BC01" w14:textId="77777777" w:rsidR="00EF3DFB" w:rsidRDefault="00EF3DFB">
      <w:pPr>
        <w:pStyle w:val="BodyText"/>
        <w:spacing w:before="10"/>
      </w:pPr>
    </w:p>
    <w:p w14:paraId="7326BC02" w14:textId="77777777" w:rsidR="00EF3DFB" w:rsidRDefault="00D27C17">
      <w:pPr>
        <w:ind w:left="190"/>
        <w:rPr>
          <w:i/>
          <w:sz w:val="20"/>
        </w:rPr>
      </w:pPr>
      <w:r>
        <w:rPr>
          <w:i/>
          <w:sz w:val="20"/>
        </w:rPr>
        <w:t>Goodwill and Other Indefinite-Lived Intangible Asset Impairments</w:t>
      </w:r>
    </w:p>
    <w:p w14:paraId="7326BC03" w14:textId="77777777" w:rsidR="00EF3DFB" w:rsidRDefault="00EF3DFB">
      <w:pPr>
        <w:pStyle w:val="BodyText"/>
        <w:spacing w:before="9"/>
        <w:rPr>
          <w:i/>
          <w:sz w:val="21"/>
        </w:rPr>
      </w:pPr>
    </w:p>
    <w:p w14:paraId="7326BC04" w14:textId="77777777" w:rsidR="00EF3DFB" w:rsidRDefault="00D27C17">
      <w:pPr>
        <w:pStyle w:val="BodyText"/>
        <w:spacing w:line="249" w:lineRule="auto"/>
        <w:ind w:left="190" w:right="168"/>
        <w:jc w:val="both"/>
      </w:pPr>
      <w:r>
        <w:t>In conj</w:t>
      </w:r>
      <w:r>
        <w:t xml:space="preserve">unction with the Company's annual impairment testing of goodwill and indefinite-lived intangible assets during the fourth quarter (on December 1), the Company recorded a non-cash impairment charge of $20 million associated with a tradename in the Learning </w:t>
      </w:r>
      <w:r>
        <w:t>and Development segment, as its carrying value exceeded its fair value. The impairment reflected a downward revision of forecasted results due to the impact of the delayed and limited re-opening of schools and offices as a result of the COVID-19 global pan</w:t>
      </w:r>
      <w:r>
        <w:t>demic, as well as the continued deterioration in sales for slime-related adhesive products.</w:t>
      </w:r>
    </w:p>
    <w:p w14:paraId="7326BC05" w14:textId="77777777" w:rsidR="00EF3DFB" w:rsidRDefault="00EF3DFB">
      <w:pPr>
        <w:spacing w:line="249" w:lineRule="auto"/>
        <w:jc w:val="both"/>
        <w:sectPr w:rsidR="00EF3DFB">
          <w:pgSz w:w="12240" w:h="15840"/>
          <w:pgMar w:top="600" w:right="640" w:bottom="480" w:left="620" w:header="0" w:footer="291" w:gutter="0"/>
          <w:cols w:space="720"/>
        </w:sectPr>
      </w:pPr>
    </w:p>
    <w:p w14:paraId="7326BC06" w14:textId="77777777" w:rsidR="00EF3DFB" w:rsidRDefault="00D27C17">
      <w:pPr>
        <w:pStyle w:val="BodyText"/>
        <w:spacing w:before="72" w:line="249" w:lineRule="auto"/>
        <w:ind w:left="190" w:right="169"/>
        <w:jc w:val="both"/>
      </w:pPr>
      <w:r>
        <w:lastRenderedPageBreak/>
        <w:t>During the third quarter of 2020, the Company concluded that a triggering event had occurred for an indefinite-lived intangible asset in the Learning and Development segment. Pursuant to the authoritative literature the Company performed an impairment test</w:t>
      </w:r>
      <w:r>
        <w:t xml:space="preserve"> and determined that an indefinite-lived intangible asset was impaired. During the three months ended September 30, 2020, the Company recorded a non-cash charge of $2 million to reflect impairment of this indefinite-lived tradename as its carrying value ex</w:t>
      </w:r>
      <w:r>
        <w:t>ceeded its fair value.</w:t>
      </w:r>
    </w:p>
    <w:p w14:paraId="7326BC07" w14:textId="77777777" w:rsidR="00EF3DFB" w:rsidRDefault="00EF3DFB">
      <w:pPr>
        <w:pStyle w:val="BodyText"/>
        <w:spacing w:before="2"/>
        <w:rPr>
          <w:sz w:val="21"/>
        </w:rPr>
      </w:pPr>
    </w:p>
    <w:p w14:paraId="7326BC08" w14:textId="77777777" w:rsidR="00EF3DFB" w:rsidRDefault="00D27C17">
      <w:pPr>
        <w:pStyle w:val="BodyText"/>
        <w:spacing w:line="249" w:lineRule="auto"/>
        <w:ind w:left="190" w:right="168"/>
        <w:jc w:val="both"/>
      </w:pPr>
      <w:r>
        <w:t xml:space="preserve">During the first quarter of 2020, the Company concluded that a triggering event had occurred for all of its reporting units as a result of the COVID-19 global pandemic. Pursuant to the authoritative literature the Company performed </w:t>
      </w:r>
      <w:r>
        <w:t xml:space="preserve">an impairment test and determined that certain of its indefinite-lived intangible assets in the Appliances and Cookware, Home and Outdoor Living and Learning and Development segments were impaired. During the three months ended March 31, 2020, the Company </w:t>
      </w:r>
      <w:r>
        <w:t>recorded an aggregate non-cash charge of $1.3 billion to reflect impairment of these indefinite-lived tradenames as their carrying values exceeded their fair values. In addition, the Company determined that its goodwill associated with its Appliances and C</w:t>
      </w:r>
      <w:r>
        <w:t>ookware segment was fully impaired. During, the three months ended March 31, 2020, the Company recorded a non-cash charge of $212 million to reflect the impairment of its goodwill as its carrying value exceeded its fair value.</w:t>
      </w:r>
    </w:p>
    <w:p w14:paraId="7326BC09" w14:textId="77777777" w:rsidR="00EF3DFB" w:rsidRDefault="00EF3DFB">
      <w:pPr>
        <w:pStyle w:val="BodyText"/>
        <w:spacing w:before="5"/>
        <w:rPr>
          <w:sz w:val="21"/>
        </w:rPr>
      </w:pPr>
    </w:p>
    <w:p w14:paraId="7326BC0A" w14:textId="77777777" w:rsidR="00EF3DFB" w:rsidRDefault="00D27C17">
      <w:pPr>
        <w:ind w:left="190"/>
        <w:rPr>
          <w:i/>
          <w:sz w:val="20"/>
        </w:rPr>
      </w:pPr>
      <w:r>
        <w:rPr>
          <w:sz w:val="20"/>
        </w:rPr>
        <w:t xml:space="preserve">See </w:t>
      </w:r>
      <w:r>
        <w:rPr>
          <w:i/>
          <w:sz w:val="20"/>
        </w:rPr>
        <w:t>Results of Operations, C</w:t>
      </w:r>
      <w:r>
        <w:rPr>
          <w:i/>
          <w:sz w:val="20"/>
        </w:rPr>
        <w:t xml:space="preserve">ritical Accounting Estimates </w:t>
      </w:r>
      <w:r>
        <w:rPr>
          <w:sz w:val="20"/>
        </w:rPr>
        <w:t xml:space="preserve">and </w:t>
      </w:r>
      <w:r>
        <w:rPr>
          <w:i/>
          <w:sz w:val="20"/>
        </w:rPr>
        <w:t>Footnotes 1 and 7 of the Notes to Consolidated Financial Statements</w:t>
      </w:r>
    </w:p>
    <w:p w14:paraId="7326BC0B" w14:textId="77777777" w:rsidR="00EF3DFB" w:rsidRDefault="00D27C17">
      <w:pPr>
        <w:pStyle w:val="BodyText"/>
        <w:ind w:left="190"/>
      </w:pPr>
      <w:r>
        <w:t>for further information.</w:t>
      </w:r>
    </w:p>
    <w:p w14:paraId="7326BC0C" w14:textId="77777777" w:rsidR="00EF3DFB" w:rsidRDefault="00EF3DFB">
      <w:pPr>
        <w:pStyle w:val="BodyText"/>
        <w:spacing w:before="10"/>
      </w:pPr>
    </w:p>
    <w:p w14:paraId="7326BC0D" w14:textId="77777777" w:rsidR="00EF3DFB" w:rsidRDefault="00D27C17">
      <w:pPr>
        <w:spacing w:before="1"/>
        <w:ind w:left="190"/>
        <w:rPr>
          <w:i/>
          <w:sz w:val="20"/>
        </w:rPr>
      </w:pPr>
      <w:r>
        <w:rPr>
          <w:i/>
          <w:sz w:val="20"/>
        </w:rPr>
        <w:t>Impacts of Tariffs</w:t>
      </w:r>
    </w:p>
    <w:p w14:paraId="7326BC0E" w14:textId="77777777" w:rsidR="00EF3DFB" w:rsidRDefault="00EF3DFB">
      <w:pPr>
        <w:pStyle w:val="BodyText"/>
        <w:spacing w:before="8"/>
        <w:rPr>
          <w:i/>
          <w:sz w:val="21"/>
        </w:rPr>
      </w:pPr>
    </w:p>
    <w:p w14:paraId="7326BC0F" w14:textId="77777777" w:rsidR="00EF3DFB" w:rsidRDefault="00D27C17">
      <w:pPr>
        <w:pStyle w:val="BodyText"/>
        <w:spacing w:line="249" w:lineRule="auto"/>
        <w:ind w:left="190" w:right="167"/>
        <w:jc w:val="both"/>
      </w:pPr>
      <w:r>
        <w:t>The United States Trade Representative (“USTR”) imposed increased tariffs on some Chinese goods imported into</w:t>
      </w:r>
      <w:r>
        <w:t xml:space="preserve"> the United States, resulting in increased costs for the Company. In 2020, the Company was successful at securing from the USTR exemptions and exclusions for some of its products, with the most notable exemptions being for certain of its baby gear products</w:t>
      </w:r>
      <w:r>
        <w:t>, which represents a substantial portion of the Company’s tariff exposure. The Company has largely mitigated its tariff exposure, in part through pricing, productivity and, in some cases, relocation. The Phase 1 agreement signed on January 15, 2020 with Ch</w:t>
      </w:r>
      <w:r>
        <w:t>ina reduced tariffs under List 4a from 15% to 7.5%, effective February 14, 2020, and suspended 301 tariffs under List 4b, which went into effect on December 15, 2019. The terms of the agreement significantly reduced the estimated impact on tariffs for 2020</w:t>
      </w:r>
      <w:r>
        <w:t>. In spite of the agreement, a full year of previously implemented tariffs had a material impact on the Company's operating results and cash flows, with gross impact of approximately $91 million in 2020, primarily relating to its Appliances and Cookware, C</w:t>
      </w:r>
      <w:r>
        <w:t>ommercial Solutions, and Outdoor and Recreation businesses. The Company will continue to monitor the impact, if any, of new trade policy under the new U.S. Presidential administration and deploy mitigation efforts to offset the gross exposure. However, the</w:t>
      </w:r>
      <w:r>
        <w:t>re can be no assurance that the Company will be successful in its mitigation</w:t>
      </w:r>
      <w:r>
        <w:rPr>
          <w:spacing w:val="-8"/>
        </w:rPr>
        <w:t xml:space="preserve"> </w:t>
      </w:r>
      <w:r>
        <w:t>efforts.</w:t>
      </w:r>
    </w:p>
    <w:p w14:paraId="7326BC10" w14:textId="77777777" w:rsidR="00EF3DFB" w:rsidRDefault="00EF3DFB">
      <w:pPr>
        <w:pStyle w:val="BodyText"/>
        <w:spacing w:before="8"/>
        <w:rPr>
          <w:sz w:val="21"/>
        </w:rPr>
      </w:pPr>
    </w:p>
    <w:p w14:paraId="7326BC11" w14:textId="77777777" w:rsidR="00EF3DFB" w:rsidRDefault="00D27C17">
      <w:pPr>
        <w:ind w:left="190"/>
        <w:rPr>
          <w:i/>
          <w:sz w:val="20"/>
        </w:rPr>
      </w:pPr>
      <w:r>
        <w:rPr>
          <w:i/>
          <w:sz w:val="20"/>
        </w:rPr>
        <w:t>U.S. Treasury Regulations</w:t>
      </w:r>
    </w:p>
    <w:p w14:paraId="7326BC12" w14:textId="77777777" w:rsidR="00EF3DFB" w:rsidRDefault="00EF3DFB">
      <w:pPr>
        <w:pStyle w:val="BodyText"/>
        <w:spacing w:before="9"/>
        <w:rPr>
          <w:i/>
          <w:sz w:val="21"/>
        </w:rPr>
      </w:pPr>
    </w:p>
    <w:p w14:paraId="7326BC13" w14:textId="77777777" w:rsidR="00EF3DFB" w:rsidRDefault="00D27C17">
      <w:pPr>
        <w:pStyle w:val="BodyText"/>
        <w:spacing w:line="249" w:lineRule="auto"/>
        <w:ind w:left="190" w:right="167"/>
        <w:jc w:val="both"/>
      </w:pPr>
      <w:r>
        <w:t>On June 18, 2019, the U.S. Treasury and the Internal Revenue Service (“IRS”) released temporary regulations under IRC Section 245A (“Section 2</w:t>
      </w:r>
      <w:r>
        <w:t xml:space="preserve">45A”) as enacted by the 2017 U.S. Tax Reform Legislation (“2017 Tax Reform”) and IRC Section 954(c)(6) (the “Temporary Regulations”) to apply retroactively to the date the 2017 Tax Reform was enacted. On August 21, 2020, the U.S. Treasury and IRS released </w:t>
      </w:r>
      <w:r>
        <w:t>finalized versions of the Temporary Regulations (collectively with the Temporary Regulations, the “Regulations”). The Regulations seek to limit the 100% dividends received deduction permitted by Section 245A for certain dividends received from controlled f</w:t>
      </w:r>
      <w:r>
        <w:t>oreign corporations and to limit the applicability of the look-through exception to foreign personal holding company income for certain dividends received from controlled foreign corporations. Before the retroactive application of the Regulations, the Comp</w:t>
      </w:r>
      <w:r>
        <w:t>any benefited in 2018 from both the 100% dividends received deduction and the look- through exception to foreign personal holding company income. The Company analyzed the Regulations and concluded the relevant Regulations</w:t>
      </w:r>
      <w:r>
        <w:rPr>
          <w:spacing w:val="-3"/>
        </w:rPr>
        <w:t xml:space="preserve"> </w:t>
      </w:r>
      <w:r>
        <w:t>were</w:t>
      </w:r>
      <w:r>
        <w:rPr>
          <w:spacing w:val="-3"/>
        </w:rPr>
        <w:t xml:space="preserve"> </w:t>
      </w:r>
      <w:r>
        <w:t>not</w:t>
      </w:r>
      <w:r>
        <w:rPr>
          <w:spacing w:val="-3"/>
        </w:rPr>
        <w:t xml:space="preserve"> </w:t>
      </w:r>
      <w:r>
        <w:t>validly</w:t>
      </w:r>
      <w:r>
        <w:rPr>
          <w:spacing w:val="-3"/>
        </w:rPr>
        <w:t xml:space="preserve"> </w:t>
      </w:r>
      <w:r>
        <w:t>issued.</w:t>
      </w:r>
      <w:r>
        <w:rPr>
          <w:spacing w:val="-3"/>
        </w:rPr>
        <w:t xml:space="preserve"> </w:t>
      </w:r>
      <w:r>
        <w:t>Therefore</w:t>
      </w:r>
      <w:r>
        <w:t>,</w:t>
      </w:r>
      <w:r>
        <w:rPr>
          <w:spacing w:val="-3"/>
        </w:rPr>
        <w:t xml:space="preserve"> </w:t>
      </w:r>
      <w:r>
        <w:t>the</w:t>
      </w:r>
      <w:r>
        <w:rPr>
          <w:spacing w:val="-3"/>
        </w:rPr>
        <w:t xml:space="preserve"> </w:t>
      </w:r>
      <w:r>
        <w:t>Company</w:t>
      </w:r>
      <w:r>
        <w:rPr>
          <w:spacing w:val="-3"/>
        </w:rPr>
        <w:t xml:space="preserve"> </w:t>
      </w:r>
      <w:r>
        <w:t>has</w:t>
      </w:r>
      <w:r>
        <w:rPr>
          <w:spacing w:val="-3"/>
        </w:rPr>
        <w:t xml:space="preserve"> </w:t>
      </w:r>
      <w:r>
        <w:t>not</w:t>
      </w:r>
      <w:r>
        <w:rPr>
          <w:spacing w:val="-3"/>
        </w:rPr>
        <w:t xml:space="preserve"> </w:t>
      </w:r>
      <w:r>
        <w:t>accounted</w:t>
      </w:r>
      <w:r>
        <w:rPr>
          <w:spacing w:val="-3"/>
        </w:rPr>
        <w:t xml:space="preserve"> </w:t>
      </w:r>
      <w:r>
        <w:t>for</w:t>
      </w:r>
      <w:r>
        <w:rPr>
          <w:spacing w:val="-3"/>
        </w:rPr>
        <w:t xml:space="preserve"> </w:t>
      </w:r>
      <w:r>
        <w:t>the</w:t>
      </w:r>
      <w:r>
        <w:rPr>
          <w:spacing w:val="-3"/>
        </w:rPr>
        <w:t xml:space="preserve"> </w:t>
      </w:r>
      <w:r>
        <w:t>effects</w:t>
      </w:r>
      <w:r>
        <w:rPr>
          <w:spacing w:val="-3"/>
        </w:rPr>
        <w:t xml:space="preserve"> </w:t>
      </w:r>
      <w:r>
        <w:t>of</w:t>
      </w:r>
      <w:r>
        <w:rPr>
          <w:spacing w:val="-3"/>
        </w:rPr>
        <w:t xml:space="preserve"> </w:t>
      </w:r>
      <w:r>
        <w:t>the</w:t>
      </w:r>
      <w:r>
        <w:rPr>
          <w:spacing w:val="-3"/>
        </w:rPr>
        <w:t xml:space="preserve"> </w:t>
      </w:r>
      <w:r>
        <w:t>Regulations</w:t>
      </w:r>
      <w:r>
        <w:rPr>
          <w:spacing w:val="-3"/>
        </w:rPr>
        <w:t xml:space="preserve"> </w:t>
      </w:r>
      <w:r>
        <w:t>in</w:t>
      </w:r>
      <w:r>
        <w:rPr>
          <w:spacing w:val="-3"/>
        </w:rPr>
        <w:t xml:space="preserve"> </w:t>
      </w:r>
      <w:r>
        <w:t>its</w:t>
      </w:r>
      <w:r>
        <w:rPr>
          <w:spacing w:val="-3"/>
        </w:rPr>
        <w:t xml:space="preserve"> </w:t>
      </w:r>
      <w:r>
        <w:t>Consolidated Financial Statements for the period ending December 31, 2020. The Company believes it has strong arguments in favor of its position and believes it has met the more likely than not recognition threshold that its position will be sustained. How</w:t>
      </w:r>
      <w:r>
        <w:t>ever, due to the inherent uncertainty involved in challenging the validity of regulations as well as a potential litigation process, there can be no assurances that the relevant Regulations will be invalidated or that a court of law will rule in favor of t</w:t>
      </w:r>
      <w:r>
        <w:t>he Company. If the Company’s position on the Regulations is not sustained, the Company would be required to recognize an income tax expense of approximately $180 million to $220 million related to an income tax benefit from fiscal year 2018 that was record</w:t>
      </w:r>
      <w:r>
        <w:t>ed based on regulations in existence at the time. In addition, the Company may be required to pay any applicable interest and penalties. The Company intends to vigorously defend its</w:t>
      </w:r>
      <w:r>
        <w:rPr>
          <w:spacing w:val="-3"/>
        </w:rPr>
        <w:t xml:space="preserve"> </w:t>
      </w:r>
      <w:r>
        <w:t>position.</w:t>
      </w:r>
    </w:p>
    <w:p w14:paraId="7326BC14" w14:textId="77777777" w:rsidR="00EF3DFB" w:rsidRDefault="00EF3DFB">
      <w:pPr>
        <w:pStyle w:val="BodyText"/>
        <w:spacing w:before="2"/>
        <w:rPr>
          <w:sz w:val="22"/>
        </w:rPr>
      </w:pPr>
    </w:p>
    <w:p w14:paraId="7326BC15" w14:textId="77777777" w:rsidR="00EF3DFB" w:rsidRDefault="00D27C17">
      <w:pPr>
        <w:ind w:left="190"/>
        <w:rPr>
          <w:i/>
          <w:sz w:val="20"/>
        </w:rPr>
      </w:pPr>
      <w:r>
        <w:rPr>
          <w:i/>
          <w:sz w:val="20"/>
        </w:rPr>
        <w:t>Debt Redemption</w:t>
      </w:r>
    </w:p>
    <w:p w14:paraId="7326BC16" w14:textId="77777777" w:rsidR="00EF3DFB" w:rsidRDefault="00EF3DFB">
      <w:pPr>
        <w:pStyle w:val="BodyText"/>
        <w:spacing w:before="8"/>
        <w:rPr>
          <w:i/>
          <w:sz w:val="21"/>
        </w:rPr>
      </w:pPr>
    </w:p>
    <w:p w14:paraId="7326BC17" w14:textId="77777777" w:rsidR="00EF3DFB" w:rsidRDefault="00D27C17">
      <w:pPr>
        <w:pStyle w:val="BodyText"/>
        <w:spacing w:line="249" w:lineRule="auto"/>
        <w:ind w:left="190" w:right="168"/>
        <w:jc w:val="both"/>
      </w:pPr>
      <w:r>
        <w:t>In November 2020, the Company repurchased $300</w:t>
      </w:r>
      <w:r>
        <w:t xml:space="preserve"> million of the 3.85% Senior Notes due 2023 with available cash on hand. The total consideration, excluding accrued interest, was approximately $318 million. The Company recorded a loss on extinguishment of</w:t>
      </w:r>
    </w:p>
    <w:p w14:paraId="7326BC18" w14:textId="77777777" w:rsidR="00EF3DFB" w:rsidRDefault="00EF3DFB">
      <w:pPr>
        <w:spacing w:line="249" w:lineRule="auto"/>
        <w:jc w:val="both"/>
        <w:sectPr w:rsidR="00EF3DFB">
          <w:pgSz w:w="12240" w:h="15840"/>
          <w:pgMar w:top="840" w:right="640" w:bottom="480" w:left="620" w:header="0" w:footer="291" w:gutter="0"/>
          <w:cols w:space="720"/>
        </w:sectPr>
      </w:pPr>
    </w:p>
    <w:p w14:paraId="7326BC19" w14:textId="77777777" w:rsidR="00EF3DFB" w:rsidRDefault="00D27C17">
      <w:pPr>
        <w:spacing w:before="72" w:line="249" w:lineRule="auto"/>
        <w:ind w:left="190" w:right="168"/>
        <w:jc w:val="both"/>
        <w:rPr>
          <w:sz w:val="20"/>
        </w:rPr>
      </w:pPr>
      <w:r>
        <w:rPr>
          <w:sz w:val="20"/>
        </w:rPr>
        <w:lastRenderedPageBreak/>
        <w:t xml:space="preserve">debt of $20 million as a result of the partial debt repayment. See </w:t>
      </w:r>
      <w:r>
        <w:rPr>
          <w:i/>
          <w:sz w:val="20"/>
        </w:rPr>
        <w:t xml:space="preserve">Footnote 9 in Notes to Consolidated Financial Statements </w:t>
      </w:r>
      <w:r>
        <w:rPr>
          <w:sz w:val="20"/>
        </w:rPr>
        <w:t>for further information.</w:t>
      </w:r>
    </w:p>
    <w:p w14:paraId="7326BC1A" w14:textId="77777777" w:rsidR="00EF3DFB" w:rsidRDefault="00EF3DFB">
      <w:pPr>
        <w:pStyle w:val="BodyText"/>
      </w:pPr>
    </w:p>
    <w:p w14:paraId="7326BC1B" w14:textId="77777777" w:rsidR="00EF3DFB" w:rsidRDefault="00EF3DFB">
      <w:pPr>
        <w:pStyle w:val="BodyText"/>
        <w:spacing w:before="10"/>
        <w:rPr>
          <w:sz w:val="11"/>
        </w:rPr>
      </w:pPr>
    </w:p>
    <w:tbl>
      <w:tblPr>
        <w:tblW w:w="0" w:type="auto"/>
        <w:tblInd w:w="180" w:type="dxa"/>
        <w:tblLayout w:type="fixed"/>
        <w:tblCellMar>
          <w:left w:w="0" w:type="dxa"/>
          <w:right w:w="0" w:type="dxa"/>
        </w:tblCellMar>
        <w:tblLook w:val="01E0" w:firstRow="1" w:lastRow="1" w:firstColumn="1" w:lastColumn="1" w:noHBand="0" w:noVBand="0"/>
      </w:tblPr>
      <w:tblGrid>
        <w:gridCol w:w="5790"/>
        <w:gridCol w:w="1256"/>
        <w:gridCol w:w="2594"/>
        <w:gridCol w:w="980"/>
      </w:tblGrid>
      <w:tr w:rsidR="00EF3DFB" w14:paraId="7326BC25" w14:textId="77777777">
        <w:trPr>
          <w:trHeight w:val="975"/>
        </w:trPr>
        <w:tc>
          <w:tcPr>
            <w:tcW w:w="5790" w:type="dxa"/>
          </w:tcPr>
          <w:p w14:paraId="7326BC1C" w14:textId="77777777" w:rsidR="00EF3DFB" w:rsidRDefault="00D27C17">
            <w:pPr>
              <w:pStyle w:val="TableParagraph"/>
              <w:spacing w:line="221" w:lineRule="exact"/>
              <w:ind w:left="10"/>
              <w:rPr>
                <w:b/>
                <w:sz w:val="20"/>
              </w:rPr>
            </w:pPr>
            <w:bookmarkStart w:id="31" w:name="Results_of_Operations"/>
            <w:bookmarkEnd w:id="31"/>
            <w:r>
              <w:rPr>
                <w:b/>
                <w:sz w:val="20"/>
                <w:u w:val="single"/>
              </w:rPr>
              <w:t>Results of Operations</w:t>
            </w:r>
          </w:p>
          <w:p w14:paraId="7326BC1D" w14:textId="77777777" w:rsidR="00EF3DFB" w:rsidRDefault="00D27C17">
            <w:pPr>
              <w:pStyle w:val="TableParagraph"/>
              <w:spacing w:before="130"/>
              <w:ind w:left="10"/>
              <w:rPr>
                <w:b/>
                <w:i/>
                <w:sz w:val="20"/>
              </w:rPr>
            </w:pPr>
            <w:r>
              <w:rPr>
                <w:b/>
                <w:i/>
                <w:sz w:val="20"/>
              </w:rPr>
              <w:t>Consolidated Operating Results 2020 vs. 2019</w:t>
            </w:r>
          </w:p>
        </w:tc>
        <w:tc>
          <w:tcPr>
            <w:tcW w:w="1256" w:type="dxa"/>
            <w:tcBorders>
              <w:bottom w:val="single" w:sz="18" w:space="0" w:color="000000"/>
            </w:tcBorders>
          </w:tcPr>
          <w:p w14:paraId="7326BC1E" w14:textId="77777777" w:rsidR="00EF3DFB" w:rsidRDefault="00EF3DFB">
            <w:pPr>
              <w:pStyle w:val="TableParagraph"/>
              <w:rPr>
                <w:sz w:val="18"/>
              </w:rPr>
            </w:pPr>
          </w:p>
        </w:tc>
        <w:tc>
          <w:tcPr>
            <w:tcW w:w="2594" w:type="dxa"/>
            <w:tcBorders>
              <w:bottom w:val="single" w:sz="18" w:space="0" w:color="000000"/>
            </w:tcBorders>
          </w:tcPr>
          <w:p w14:paraId="7326BC1F" w14:textId="77777777" w:rsidR="00EF3DFB" w:rsidRDefault="00EF3DFB">
            <w:pPr>
              <w:pStyle w:val="TableParagraph"/>
              <w:rPr>
                <w:sz w:val="18"/>
              </w:rPr>
            </w:pPr>
          </w:p>
          <w:p w14:paraId="7326BC20" w14:textId="77777777" w:rsidR="00EF3DFB" w:rsidRDefault="00EF3DFB">
            <w:pPr>
              <w:pStyle w:val="TableParagraph"/>
              <w:rPr>
                <w:sz w:val="18"/>
              </w:rPr>
            </w:pPr>
          </w:p>
          <w:p w14:paraId="7326BC21" w14:textId="77777777" w:rsidR="00EF3DFB" w:rsidRDefault="00EF3DFB">
            <w:pPr>
              <w:pStyle w:val="TableParagraph"/>
              <w:rPr>
                <w:sz w:val="18"/>
              </w:rPr>
            </w:pPr>
          </w:p>
          <w:p w14:paraId="7326BC22" w14:textId="77777777" w:rsidR="00EF3DFB" w:rsidRDefault="00EF3DFB">
            <w:pPr>
              <w:pStyle w:val="TableParagraph"/>
              <w:spacing w:before="2"/>
              <w:rPr>
                <w:sz w:val="14"/>
              </w:rPr>
            </w:pPr>
          </w:p>
          <w:p w14:paraId="7326BC23" w14:textId="77777777" w:rsidR="00EF3DFB" w:rsidRDefault="00D27C17">
            <w:pPr>
              <w:pStyle w:val="TableParagraph"/>
              <w:spacing w:line="171" w:lineRule="exact"/>
              <w:ind w:left="261"/>
              <w:rPr>
                <w:b/>
                <w:sz w:val="16"/>
              </w:rPr>
            </w:pPr>
            <w:r>
              <w:rPr>
                <w:b/>
                <w:sz w:val="16"/>
              </w:rPr>
              <w:t>Years Ended December 31,</w:t>
            </w:r>
          </w:p>
        </w:tc>
        <w:tc>
          <w:tcPr>
            <w:tcW w:w="980" w:type="dxa"/>
            <w:tcBorders>
              <w:bottom w:val="single" w:sz="18" w:space="0" w:color="000000"/>
            </w:tcBorders>
          </w:tcPr>
          <w:p w14:paraId="7326BC24" w14:textId="77777777" w:rsidR="00EF3DFB" w:rsidRDefault="00EF3DFB">
            <w:pPr>
              <w:pStyle w:val="TableParagraph"/>
              <w:rPr>
                <w:sz w:val="18"/>
              </w:rPr>
            </w:pPr>
          </w:p>
        </w:tc>
      </w:tr>
      <w:tr w:rsidR="00EF3DFB" w14:paraId="7326BC2A" w14:textId="77777777">
        <w:trPr>
          <w:trHeight w:val="222"/>
        </w:trPr>
        <w:tc>
          <w:tcPr>
            <w:tcW w:w="5790" w:type="dxa"/>
          </w:tcPr>
          <w:p w14:paraId="7326BC26" w14:textId="77777777" w:rsidR="00EF3DFB" w:rsidRDefault="00D27C17">
            <w:pPr>
              <w:pStyle w:val="TableParagraph"/>
              <w:spacing w:before="18" w:line="184" w:lineRule="exact"/>
              <w:ind w:left="62"/>
              <w:rPr>
                <w:b/>
                <w:sz w:val="16"/>
              </w:rPr>
            </w:pPr>
            <w:r>
              <w:rPr>
                <w:b/>
                <w:sz w:val="16"/>
              </w:rPr>
              <w:t>(in millions, except per share data)</w:t>
            </w:r>
          </w:p>
        </w:tc>
        <w:tc>
          <w:tcPr>
            <w:tcW w:w="1256" w:type="dxa"/>
            <w:tcBorders>
              <w:top w:val="single" w:sz="18" w:space="0" w:color="000000"/>
              <w:bottom w:val="single" w:sz="8" w:space="0" w:color="000000"/>
            </w:tcBorders>
          </w:tcPr>
          <w:p w14:paraId="7326BC27" w14:textId="77777777" w:rsidR="00EF3DFB" w:rsidRDefault="00D27C17">
            <w:pPr>
              <w:pStyle w:val="TableParagraph"/>
              <w:spacing w:before="18" w:line="184" w:lineRule="exact"/>
              <w:ind w:left="3" w:right="38"/>
              <w:jc w:val="center"/>
              <w:rPr>
                <w:b/>
                <w:sz w:val="16"/>
              </w:rPr>
            </w:pPr>
            <w:r>
              <w:rPr>
                <w:b/>
                <w:sz w:val="16"/>
              </w:rPr>
              <w:t>2020</w:t>
            </w:r>
          </w:p>
        </w:tc>
        <w:tc>
          <w:tcPr>
            <w:tcW w:w="2594" w:type="dxa"/>
            <w:tcBorders>
              <w:top w:val="single" w:sz="18" w:space="0" w:color="000000"/>
              <w:bottom w:val="single" w:sz="8" w:space="0" w:color="000000"/>
            </w:tcBorders>
          </w:tcPr>
          <w:p w14:paraId="7326BC28" w14:textId="77777777" w:rsidR="00EF3DFB" w:rsidRDefault="00D27C17">
            <w:pPr>
              <w:pStyle w:val="TableParagraph"/>
              <w:tabs>
                <w:tab w:val="left" w:pos="1581"/>
              </w:tabs>
              <w:spacing w:before="18" w:line="184" w:lineRule="exact"/>
              <w:ind w:left="468"/>
              <w:rPr>
                <w:b/>
                <w:sz w:val="16"/>
              </w:rPr>
            </w:pPr>
            <w:r>
              <w:rPr>
                <w:b/>
                <w:sz w:val="16"/>
              </w:rPr>
              <w:t>2019</w:t>
            </w:r>
            <w:r>
              <w:rPr>
                <w:b/>
                <w:sz w:val="16"/>
              </w:rPr>
              <w:tab/>
              <w:t>$</w:t>
            </w:r>
            <w:r>
              <w:rPr>
                <w:b/>
                <w:spacing w:val="-1"/>
                <w:sz w:val="16"/>
              </w:rPr>
              <w:t xml:space="preserve"> </w:t>
            </w:r>
            <w:r>
              <w:rPr>
                <w:b/>
                <w:sz w:val="16"/>
              </w:rPr>
              <w:t>Change</w:t>
            </w:r>
          </w:p>
        </w:tc>
        <w:tc>
          <w:tcPr>
            <w:tcW w:w="980" w:type="dxa"/>
            <w:tcBorders>
              <w:top w:val="single" w:sz="18" w:space="0" w:color="000000"/>
              <w:bottom w:val="single" w:sz="8" w:space="0" w:color="000000"/>
            </w:tcBorders>
          </w:tcPr>
          <w:p w14:paraId="7326BC29" w14:textId="77777777" w:rsidR="00EF3DFB" w:rsidRDefault="00D27C17">
            <w:pPr>
              <w:pStyle w:val="TableParagraph"/>
              <w:spacing w:before="18" w:line="184" w:lineRule="exact"/>
              <w:ind w:left="96" w:right="99"/>
              <w:jc w:val="center"/>
              <w:rPr>
                <w:b/>
                <w:sz w:val="16"/>
              </w:rPr>
            </w:pPr>
            <w:r>
              <w:rPr>
                <w:b/>
                <w:sz w:val="16"/>
              </w:rPr>
              <w:t>% Change</w:t>
            </w:r>
          </w:p>
        </w:tc>
      </w:tr>
      <w:tr w:rsidR="00EF3DFB" w14:paraId="7326BC2F" w14:textId="77777777">
        <w:trPr>
          <w:trHeight w:val="275"/>
        </w:trPr>
        <w:tc>
          <w:tcPr>
            <w:tcW w:w="5790" w:type="dxa"/>
            <w:shd w:val="clear" w:color="auto" w:fill="CCEDFF"/>
          </w:tcPr>
          <w:p w14:paraId="7326BC2B" w14:textId="77777777" w:rsidR="00EF3DFB" w:rsidRDefault="00D27C17">
            <w:pPr>
              <w:pStyle w:val="TableParagraph"/>
              <w:spacing w:before="5"/>
              <w:ind w:left="62"/>
              <w:rPr>
                <w:sz w:val="20"/>
              </w:rPr>
            </w:pPr>
            <w:r>
              <w:rPr>
                <w:sz w:val="20"/>
              </w:rPr>
              <w:t>Net sales</w:t>
            </w:r>
          </w:p>
        </w:tc>
        <w:tc>
          <w:tcPr>
            <w:tcW w:w="1256" w:type="dxa"/>
            <w:tcBorders>
              <w:top w:val="single" w:sz="8" w:space="0" w:color="000000"/>
            </w:tcBorders>
            <w:shd w:val="clear" w:color="auto" w:fill="CCEDFF"/>
          </w:tcPr>
          <w:p w14:paraId="7326BC2C" w14:textId="77777777" w:rsidR="00EF3DFB" w:rsidRDefault="00D27C17">
            <w:pPr>
              <w:pStyle w:val="TableParagraph"/>
              <w:tabs>
                <w:tab w:val="left" w:pos="511"/>
              </w:tabs>
              <w:spacing w:before="15"/>
              <w:ind w:left="62"/>
              <w:rPr>
                <w:sz w:val="20"/>
              </w:rPr>
            </w:pPr>
            <w:r>
              <w:rPr>
                <w:sz w:val="20"/>
              </w:rPr>
              <w:t>$</w:t>
            </w:r>
            <w:r>
              <w:rPr>
                <w:sz w:val="20"/>
              </w:rPr>
              <w:tab/>
              <w:t>9,385</w:t>
            </w:r>
          </w:p>
        </w:tc>
        <w:tc>
          <w:tcPr>
            <w:tcW w:w="2594" w:type="dxa"/>
            <w:tcBorders>
              <w:top w:val="single" w:sz="8" w:space="0" w:color="000000"/>
            </w:tcBorders>
            <w:shd w:val="clear" w:color="auto" w:fill="CCEDFF"/>
          </w:tcPr>
          <w:p w14:paraId="7326BC2D" w14:textId="77777777" w:rsidR="00EF3DFB" w:rsidRDefault="00D27C17">
            <w:pPr>
              <w:pStyle w:val="TableParagraph"/>
              <w:tabs>
                <w:tab w:val="left" w:pos="530"/>
                <w:tab w:val="left" w:pos="1356"/>
                <w:tab w:val="left" w:pos="2055"/>
              </w:tabs>
              <w:spacing w:before="15"/>
              <w:ind w:left="81"/>
              <w:rPr>
                <w:sz w:val="20"/>
              </w:rPr>
            </w:pPr>
            <w:r>
              <w:rPr>
                <w:sz w:val="20"/>
              </w:rPr>
              <w:t>$</w:t>
            </w:r>
            <w:r>
              <w:rPr>
                <w:sz w:val="20"/>
              </w:rPr>
              <w:tab/>
              <w:t>9,715</w:t>
            </w:r>
            <w:r>
              <w:rPr>
                <w:sz w:val="20"/>
              </w:rPr>
              <w:tab/>
              <w:t>$</w:t>
            </w:r>
            <w:r>
              <w:rPr>
                <w:sz w:val="20"/>
              </w:rPr>
              <w:tab/>
              <w:t>(330)</w:t>
            </w:r>
          </w:p>
        </w:tc>
        <w:tc>
          <w:tcPr>
            <w:tcW w:w="980" w:type="dxa"/>
            <w:tcBorders>
              <w:top w:val="single" w:sz="8" w:space="0" w:color="000000"/>
            </w:tcBorders>
            <w:shd w:val="clear" w:color="auto" w:fill="CCEDFF"/>
          </w:tcPr>
          <w:p w14:paraId="7326BC2E" w14:textId="77777777" w:rsidR="00EF3DFB" w:rsidRDefault="00D27C17">
            <w:pPr>
              <w:pStyle w:val="TableParagraph"/>
              <w:spacing w:before="5"/>
              <w:ind w:left="96" w:right="64"/>
              <w:jc w:val="center"/>
              <w:rPr>
                <w:sz w:val="20"/>
              </w:rPr>
            </w:pPr>
            <w:r>
              <w:rPr>
                <w:sz w:val="20"/>
              </w:rPr>
              <w:t>(3.4)%</w:t>
            </w:r>
          </w:p>
        </w:tc>
      </w:tr>
      <w:tr w:rsidR="00EF3DFB" w14:paraId="7326BC34" w14:textId="77777777">
        <w:trPr>
          <w:trHeight w:val="285"/>
        </w:trPr>
        <w:tc>
          <w:tcPr>
            <w:tcW w:w="5790" w:type="dxa"/>
          </w:tcPr>
          <w:p w14:paraId="7326BC30" w14:textId="77777777" w:rsidR="00EF3DFB" w:rsidRDefault="00D27C17">
            <w:pPr>
              <w:pStyle w:val="TableParagraph"/>
              <w:spacing w:before="15"/>
              <w:ind w:left="62"/>
              <w:rPr>
                <w:sz w:val="20"/>
              </w:rPr>
            </w:pPr>
            <w:r>
              <w:rPr>
                <w:sz w:val="20"/>
              </w:rPr>
              <w:t>Gross profit</w:t>
            </w:r>
          </w:p>
        </w:tc>
        <w:tc>
          <w:tcPr>
            <w:tcW w:w="1256" w:type="dxa"/>
          </w:tcPr>
          <w:p w14:paraId="7326BC31" w14:textId="77777777" w:rsidR="00EF3DFB" w:rsidRDefault="00D27C17">
            <w:pPr>
              <w:pStyle w:val="TableParagraph"/>
              <w:spacing w:before="25"/>
              <w:ind w:left="511"/>
              <w:rPr>
                <w:sz w:val="20"/>
              </w:rPr>
            </w:pPr>
            <w:r>
              <w:rPr>
                <w:sz w:val="20"/>
              </w:rPr>
              <w:t>3,079</w:t>
            </w:r>
          </w:p>
        </w:tc>
        <w:tc>
          <w:tcPr>
            <w:tcW w:w="2594" w:type="dxa"/>
          </w:tcPr>
          <w:p w14:paraId="7326BC32" w14:textId="77777777" w:rsidR="00EF3DFB" w:rsidRDefault="00D27C17">
            <w:pPr>
              <w:pStyle w:val="TableParagraph"/>
              <w:tabs>
                <w:tab w:val="left" w:pos="1524"/>
              </w:tabs>
              <w:spacing w:before="25"/>
              <w:ind w:right="104"/>
              <w:jc w:val="right"/>
              <w:rPr>
                <w:sz w:val="20"/>
              </w:rPr>
            </w:pPr>
            <w:r>
              <w:rPr>
                <w:sz w:val="20"/>
              </w:rPr>
              <w:t>3,219</w:t>
            </w:r>
            <w:r>
              <w:rPr>
                <w:sz w:val="20"/>
              </w:rPr>
              <w:tab/>
              <w:t>(140)</w:t>
            </w:r>
          </w:p>
        </w:tc>
        <w:tc>
          <w:tcPr>
            <w:tcW w:w="980" w:type="dxa"/>
          </w:tcPr>
          <w:p w14:paraId="7326BC33" w14:textId="77777777" w:rsidR="00EF3DFB" w:rsidRDefault="00D27C17">
            <w:pPr>
              <w:pStyle w:val="TableParagraph"/>
              <w:spacing w:before="15"/>
              <w:ind w:left="96" w:right="64"/>
              <w:jc w:val="center"/>
              <w:rPr>
                <w:sz w:val="20"/>
              </w:rPr>
            </w:pPr>
            <w:r>
              <w:rPr>
                <w:sz w:val="20"/>
              </w:rPr>
              <w:t>(4.3)%</w:t>
            </w:r>
          </w:p>
        </w:tc>
      </w:tr>
      <w:tr w:rsidR="00EF3DFB" w14:paraId="7326BC39" w14:textId="77777777">
        <w:trPr>
          <w:trHeight w:val="285"/>
        </w:trPr>
        <w:tc>
          <w:tcPr>
            <w:tcW w:w="5790" w:type="dxa"/>
            <w:shd w:val="clear" w:color="auto" w:fill="CCEDFF"/>
          </w:tcPr>
          <w:p w14:paraId="7326BC35" w14:textId="77777777" w:rsidR="00EF3DFB" w:rsidRDefault="00D27C17">
            <w:pPr>
              <w:pStyle w:val="TableParagraph"/>
              <w:spacing w:before="15"/>
              <w:ind w:left="422"/>
              <w:rPr>
                <w:i/>
                <w:sz w:val="20"/>
              </w:rPr>
            </w:pPr>
            <w:r>
              <w:rPr>
                <w:i/>
                <w:sz w:val="20"/>
              </w:rPr>
              <w:t>Gross margin</w:t>
            </w:r>
          </w:p>
        </w:tc>
        <w:tc>
          <w:tcPr>
            <w:tcW w:w="1256" w:type="dxa"/>
            <w:shd w:val="clear" w:color="auto" w:fill="CCEDFF"/>
          </w:tcPr>
          <w:p w14:paraId="7326BC36" w14:textId="77777777" w:rsidR="00EF3DFB" w:rsidRDefault="00D27C17">
            <w:pPr>
              <w:pStyle w:val="TableParagraph"/>
              <w:spacing w:before="15"/>
              <w:ind w:right="60"/>
              <w:jc w:val="right"/>
              <w:rPr>
                <w:i/>
                <w:sz w:val="20"/>
              </w:rPr>
            </w:pPr>
            <w:r>
              <w:rPr>
                <w:i/>
                <w:sz w:val="20"/>
              </w:rPr>
              <w:t>32.8 %</w:t>
            </w:r>
          </w:p>
        </w:tc>
        <w:tc>
          <w:tcPr>
            <w:tcW w:w="2594" w:type="dxa"/>
            <w:shd w:val="clear" w:color="auto" w:fill="CCEDFF"/>
          </w:tcPr>
          <w:p w14:paraId="7326BC37" w14:textId="77777777" w:rsidR="00EF3DFB" w:rsidRDefault="00D27C17">
            <w:pPr>
              <w:pStyle w:val="TableParagraph"/>
              <w:spacing w:before="15"/>
              <w:ind w:left="630"/>
              <w:rPr>
                <w:i/>
                <w:sz w:val="20"/>
              </w:rPr>
            </w:pPr>
            <w:r>
              <w:rPr>
                <w:i/>
                <w:sz w:val="20"/>
              </w:rPr>
              <w:t>33.1 %</w:t>
            </w:r>
          </w:p>
        </w:tc>
        <w:tc>
          <w:tcPr>
            <w:tcW w:w="980" w:type="dxa"/>
            <w:shd w:val="clear" w:color="auto" w:fill="CCEDFF"/>
          </w:tcPr>
          <w:p w14:paraId="7326BC38" w14:textId="77777777" w:rsidR="00EF3DFB" w:rsidRDefault="00EF3DFB">
            <w:pPr>
              <w:pStyle w:val="TableParagraph"/>
              <w:rPr>
                <w:sz w:val="18"/>
              </w:rPr>
            </w:pPr>
          </w:p>
        </w:tc>
      </w:tr>
      <w:tr w:rsidR="00EF3DFB" w14:paraId="7326BC3E" w14:textId="77777777">
        <w:trPr>
          <w:trHeight w:val="285"/>
        </w:trPr>
        <w:tc>
          <w:tcPr>
            <w:tcW w:w="5790" w:type="dxa"/>
          </w:tcPr>
          <w:p w14:paraId="7326BC3A" w14:textId="77777777" w:rsidR="00EF3DFB" w:rsidRDefault="00EF3DFB">
            <w:pPr>
              <w:pStyle w:val="TableParagraph"/>
              <w:rPr>
                <w:sz w:val="18"/>
              </w:rPr>
            </w:pPr>
          </w:p>
        </w:tc>
        <w:tc>
          <w:tcPr>
            <w:tcW w:w="1256" w:type="dxa"/>
          </w:tcPr>
          <w:p w14:paraId="7326BC3B" w14:textId="77777777" w:rsidR="00EF3DFB" w:rsidRDefault="00EF3DFB">
            <w:pPr>
              <w:pStyle w:val="TableParagraph"/>
              <w:rPr>
                <w:sz w:val="18"/>
              </w:rPr>
            </w:pPr>
          </w:p>
        </w:tc>
        <w:tc>
          <w:tcPr>
            <w:tcW w:w="2594" w:type="dxa"/>
          </w:tcPr>
          <w:p w14:paraId="7326BC3C" w14:textId="77777777" w:rsidR="00EF3DFB" w:rsidRDefault="00EF3DFB">
            <w:pPr>
              <w:pStyle w:val="TableParagraph"/>
              <w:rPr>
                <w:sz w:val="18"/>
              </w:rPr>
            </w:pPr>
          </w:p>
        </w:tc>
        <w:tc>
          <w:tcPr>
            <w:tcW w:w="980" w:type="dxa"/>
          </w:tcPr>
          <w:p w14:paraId="7326BC3D" w14:textId="77777777" w:rsidR="00EF3DFB" w:rsidRDefault="00EF3DFB">
            <w:pPr>
              <w:pStyle w:val="TableParagraph"/>
              <w:rPr>
                <w:sz w:val="18"/>
              </w:rPr>
            </w:pPr>
          </w:p>
        </w:tc>
      </w:tr>
      <w:tr w:rsidR="00EF3DFB" w14:paraId="7326BC43" w14:textId="77777777">
        <w:trPr>
          <w:trHeight w:val="285"/>
        </w:trPr>
        <w:tc>
          <w:tcPr>
            <w:tcW w:w="5790" w:type="dxa"/>
            <w:shd w:val="clear" w:color="auto" w:fill="CCEDFF"/>
          </w:tcPr>
          <w:p w14:paraId="7326BC3F" w14:textId="77777777" w:rsidR="00EF3DFB" w:rsidRDefault="00D27C17">
            <w:pPr>
              <w:pStyle w:val="TableParagraph"/>
              <w:spacing w:before="15"/>
              <w:ind w:left="62"/>
              <w:rPr>
                <w:sz w:val="20"/>
              </w:rPr>
            </w:pPr>
            <w:r>
              <w:rPr>
                <w:sz w:val="20"/>
              </w:rPr>
              <w:t>Operating loss</w:t>
            </w:r>
          </w:p>
        </w:tc>
        <w:tc>
          <w:tcPr>
            <w:tcW w:w="1256" w:type="dxa"/>
            <w:shd w:val="clear" w:color="auto" w:fill="CCEDFF"/>
          </w:tcPr>
          <w:p w14:paraId="7326BC40" w14:textId="77777777" w:rsidR="00EF3DFB" w:rsidRDefault="00D27C17">
            <w:pPr>
              <w:pStyle w:val="TableParagraph"/>
              <w:spacing w:before="25"/>
              <w:ind w:left="595"/>
              <w:rPr>
                <w:sz w:val="20"/>
              </w:rPr>
            </w:pPr>
            <w:r>
              <w:rPr>
                <w:sz w:val="20"/>
              </w:rPr>
              <w:t>(634)</w:t>
            </w:r>
          </w:p>
        </w:tc>
        <w:tc>
          <w:tcPr>
            <w:tcW w:w="2594" w:type="dxa"/>
            <w:shd w:val="clear" w:color="auto" w:fill="CCEDFF"/>
          </w:tcPr>
          <w:p w14:paraId="7326BC41" w14:textId="77777777" w:rsidR="00EF3DFB" w:rsidRDefault="00D27C17">
            <w:pPr>
              <w:pStyle w:val="TableParagraph"/>
              <w:tabs>
                <w:tab w:val="left" w:pos="1441"/>
              </w:tabs>
              <w:spacing w:before="25"/>
              <w:ind w:right="104"/>
              <w:jc w:val="right"/>
              <w:rPr>
                <w:sz w:val="20"/>
              </w:rPr>
            </w:pPr>
            <w:r>
              <w:rPr>
                <w:sz w:val="20"/>
              </w:rPr>
              <w:t>(482)</w:t>
            </w:r>
            <w:r>
              <w:rPr>
                <w:sz w:val="20"/>
              </w:rPr>
              <w:tab/>
              <w:t>(152)</w:t>
            </w:r>
          </w:p>
        </w:tc>
        <w:tc>
          <w:tcPr>
            <w:tcW w:w="980" w:type="dxa"/>
            <w:shd w:val="clear" w:color="auto" w:fill="CCEDFF"/>
          </w:tcPr>
          <w:p w14:paraId="7326BC42" w14:textId="77777777" w:rsidR="00EF3DFB" w:rsidRDefault="00D27C17">
            <w:pPr>
              <w:pStyle w:val="TableParagraph"/>
              <w:spacing w:before="15"/>
              <w:ind w:left="96" w:right="64"/>
              <w:jc w:val="center"/>
              <w:rPr>
                <w:sz w:val="20"/>
              </w:rPr>
            </w:pPr>
            <w:r>
              <w:rPr>
                <w:sz w:val="20"/>
              </w:rPr>
              <w:t>(31.5)%</w:t>
            </w:r>
          </w:p>
        </w:tc>
      </w:tr>
      <w:tr w:rsidR="00EF3DFB" w14:paraId="7326BC48" w14:textId="77777777">
        <w:trPr>
          <w:trHeight w:val="285"/>
        </w:trPr>
        <w:tc>
          <w:tcPr>
            <w:tcW w:w="5790" w:type="dxa"/>
          </w:tcPr>
          <w:p w14:paraId="7326BC44" w14:textId="77777777" w:rsidR="00EF3DFB" w:rsidRDefault="00D27C17">
            <w:pPr>
              <w:pStyle w:val="TableParagraph"/>
              <w:spacing w:before="15"/>
              <w:ind w:left="422"/>
              <w:rPr>
                <w:i/>
                <w:sz w:val="20"/>
              </w:rPr>
            </w:pPr>
            <w:r>
              <w:rPr>
                <w:i/>
                <w:sz w:val="20"/>
              </w:rPr>
              <w:t>Operating margin</w:t>
            </w:r>
          </w:p>
        </w:tc>
        <w:tc>
          <w:tcPr>
            <w:tcW w:w="1256" w:type="dxa"/>
          </w:tcPr>
          <w:p w14:paraId="7326BC45" w14:textId="77777777" w:rsidR="00EF3DFB" w:rsidRDefault="00D27C17">
            <w:pPr>
              <w:pStyle w:val="TableParagraph"/>
              <w:spacing w:before="15"/>
              <w:ind w:right="60"/>
              <w:jc w:val="right"/>
              <w:rPr>
                <w:i/>
                <w:sz w:val="20"/>
              </w:rPr>
            </w:pPr>
            <w:r>
              <w:rPr>
                <w:i/>
                <w:sz w:val="20"/>
              </w:rPr>
              <w:t>(6.8)%</w:t>
            </w:r>
          </w:p>
        </w:tc>
        <w:tc>
          <w:tcPr>
            <w:tcW w:w="2594" w:type="dxa"/>
          </w:tcPr>
          <w:p w14:paraId="7326BC46" w14:textId="77777777" w:rsidR="00EF3DFB" w:rsidRDefault="00D27C17">
            <w:pPr>
              <w:pStyle w:val="TableParagraph"/>
              <w:spacing w:before="15"/>
              <w:ind w:left="664"/>
              <w:rPr>
                <w:i/>
                <w:sz w:val="20"/>
              </w:rPr>
            </w:pPr>
            <w:r>
              <w:rPr>
                <w:i/>
                <w:sz w:val="20"/>
              </w:rPr>
              <w:t>(5.0)%</w:t>
            </w:r>
          </w:p>
        </w:tc>
        <w:tc>
          <w:tcPr>
            <w:tcW w:w="980" w:type="dxa"/>
          </w:tcPr>
          <w:p w14:paraId="7326BC47" w14:textId="77777777" w:rsidR="00EF3DFB" w:rsidRDefault="00EF3DFB">
            <w:pPr>
              <w:pStyle w:val="TableParagraph"/>
              <w:rPr>
                <w:sz w:val="18"/>
              </w:rPr>
            </w:pPr>
          </w:p>
        </w:tc>
      </w:tr>
      <w:tr w:rsidR="00EF3DFB" w14:paraId="7326BC4D" w14:textId="77777777">
        <w:trPr>
          <w:trHeight w:val="285"/>
        </w:trPr>
        <w:tc>
          <w:tcPr>
            <w:tcW w:w="5790" w:type="dxa"/>
            <w:shd w:val="clear" w:color="auto" w:fill="CCEDFF"/>
          </w:tcPr>
          <w:p w14:paraId="7326BC49" w14:textId="77777777" w:rsidR="00EF3DFB" w:rsidRDefault="00EF3DFB">
            <w:pPr>
              <w:pStyle w:val="TableParagraph"/>
              <w:rPr>
                <w:sz w:val="18"/>
              </w:rPr>
            </w:pPr>
          </w:p>
        </w:tc>
        <w:tc>
          <w:tcPr>
            <w:tcW w:w="1256" w:type="dxa"/>
            <w:shd w:val="clear" w:color="auto" w:fill="CCEDFF"/>
          </w:tcPr>
          <w:p w14:paraId="7326BC4A" w14:textId="77777777" w:rsidR="00EF3DFB" w:rsidRDefault="00EF3DFB">
            <w:pPr>
              <w:pStyle w:val="TableParagraph"/>
              <w:rPr>
                <w:sz w:val="18"/>
              </w:rPr>
            </w:pPr>
          </w:p>
        </w:tc>
        <w:tc>
          <w:tcPr>
            <w:tcW w:w="2594" w:type="dxa"/>
            <w:shd w:val="clear" w:color="auto" w:fill="CCEDFF"/>
          </w:tcPr>
          <w:p w14:paraId="7326BC4B" w14:textId="77777777" w:rsidR="00EF3DFB" w:rsidRDefault="00EF3DFB">
            <w:pPr>
              <w:pStyle w:val="TableParagraph"/>
              <w:rPr>
                <w:sz w:val="18"/>
              </w:rPr>
            </w:pPr>
          </w:p>
        </w:tc>
        <w:tc>
          <w:tcPr>
            <w:tcW w:w="980" w:type="dxa"/>
            <w:shd w:val="clear" w:color="auto" w:fill="CCEDFF"/>
          </w:tcPr>
          <w:p w14:paraId="7326BC4C" w14:textId="77777777" w:rsidR="00EF3DFB" w:rsidRDefault="00EF3DFB">
            <w:pPr>
              <w:pStyle w:val="TableParagraph"/>
              <w:rPr>
                <w:sz w:val="18"/>
              </w:rPr>
            </w:pPr>
          </w:p>
        </w:tc>
      </w:tr>
      <w:tr w:rsidR="00EF3DFB" w14:paraId="7326BC52" w14:textId="77777777">
        <w:trPr>
          <w:trHeight w:val="285"/>
        </w:trPr>
        <w:tc>
          <w:tcPr>
            <w:tcW w:w="5790" w:type="dxa"/>
          </w:tcPr>
          <w:p w14:paraId="7326BC4E" w14:textId="77777777" w:rsidR="00EF3DFB" w:rsidRDefault="00D27C17">
            <w:pPr>
              <w:pStyle w:val="TableParagraph"/>
              <w:spacing w:before="15"/>
              <w:ind w:left="62"/>
              <w:rPr>
                <w:sz w:val="20"/>
              </w:rPr>
            </w:pPr>
            <w:r>
              <w:rPr>
                <w:sz w:val="20"/>
              </w:rPr>
              <w:t>Interest expense, net</w:t>
            </w:r>
          </w:p>
        </w:tc>
        <w:tc>
          <w:tcPr>
            <w:tcW w:w="1256" w:type="dxa"/>
          </w:tcPr>
          <w:p w14:paraId="7326BC4F" w14:textId="77777777" w:rsidR="00EF3DFB" w:rsidRDefault="00D27C17">
            <w:pPr>
              <w:pStyle w:val="TableParagraph"/>
              <w:spacing w:before="25"/>
              <w:ind w:left="661"/>
              <w:rPr>
                <w:sz w:val="20"/>
              </w:rPr>
            </w:pPr>
            <w:r>
              <w:rPr>
                <w:sz w:val="20"/>
              </w:rPr>
              <w:t>274</w:t>
            </w:r>
          </w:p>
        </w:tc>
        <w:tc>
          <w:tcPr>
            <w:tcW w:w="2594" w:type="dxa"/>
          </w:tcPr>
          <w:p w14:paraId="7326BC50" w14:textId="77777777" w:rsidR="00EF3DFB" w:rsidRDefault="00D27C17">
            <w:pPr>
              <w:pStyle w:val="TableParagraph"/>
              <w:tabs>
                <w:tab w:val="left" w:pos="1474"/>
              </w:tabs>
              <w:spacing w:before="25"/>
              <w:ind w:right="104"/>
              <w:jc w:val="right"/>
              <w:rPr>
                <w:sz w:val="20"/>
              </w:rPr>
            </w:pPr>
            <w:r>
              <w:rPr>
                <w:sz w:val="20"/>
              </w:rPr>
              <w:t>303</w:t>
            </w:r>
            <w:r>
              <w:rPr>
                <w:sz w:val="20"/>
              </w:rPr>
              <w:tab/>
              <w:t>(29)</w:t>
            </w:r>
          </w:p>
        </w:tc>
        <w:tc>
          <w:tcPr>
            <w:tcW w:w="980" w:type="dxa"/>
          </w:tcPr>
          <w:p w14:paraId="7326BC51" w14:textId="77777777" w:rsidR="00EF3DFB" w:rsidRDefault="00D27C17">
            <w:pPr>
              <w:pStyle w:val="TableParagraph"/>
              <w:spacing w:before="15"/>
              <w:ind w:left="96" w:right="64"/>
              <w:jc w:val="center"/>
              <w:rPr>
                <w:sz w:val="20"/>
              </w:rPr>
            </w:pPr>
            <w:r>
              <w:rPr>
                <w:sz w:val="20"/>
              </w:rPr>
              <w:t>(9.6)%</w:t>
            </w:r>
          </w:p>
        </w:tc>
      </w:tr>
      <w:tr w:rsidR="00EF3DFB" w14:paraId="7326BC57" w14:textId="77777777">
        <w:trPr>
          <w:trHeight w:val="285"/>
        </w:trPr>
        <w:tc>
          <w:tcPr>
            <w:tcW w:w="5790" w:type="dxa"/>
            <w:shd w:val="clear" w:color="auto" w:fill="CCEDFF"/>
          </w:tcPr>
          <w:p w14:paraId="7326BC53" w14:textId="77777777" w:rsidR="00EF3DFB" w:rsidRDefault="00D27C17">
            <w:pPr>
              <w:pStyle w:val="TableParagraph"/>
              <w:spacing w:before="15"/>
              <w:ind w:left="62"/>
              <w:rPr>
                <w:sz w:val="20"/>
              </w:rPr>
            </w:pPr>
            <w:r>
              <w:rPr>
                <w:sz w:val="20"/>
              </w:rPr>
              <w:t>Loss on extinguishment of debt</w:t>
            </w:r>
          </w:p>
        </w:tc>
        <w:tc>
          <w:tcPr>
            <w:tcW w:w="1256" w:type="dxa"/>
            <w:shd w:val="clear" w:color="auto" w:fill="CCEDFF"/>
          </w:tcPr>
          <w:p w14:paraId="7326BC54" w14:textId="77777777" w:rsidR="00EF3DFB" w:rsidRDefault="00D27C17">
            <w:pPr>
              <w:pStyle w:val="TableParagraph"/>
              <w:spacing w:before="25"/>
              <w:ind w:left="761"/>
              <w:rPr>
                <w:sz w:val="20"/>
              </w:rPr>
            </w:pPr>
            <w:r>
              <w:rPr>
                <w:sz w:val="20"/>
              </w:rPr>
              <w:t>20</w:t>
            </w:r>
          </w:p>
        </w:tc>
        <w:tc>
          <w:tcPr>
            <w:tcW w:w="2594" w:type="dxa"/>
            <w:shd w:val="clear" w:color="auto" w:fill="CCEDFF"/>
          </w:tcPr>
          <w:p w14:paraId="7326BC55" w14:textId="77777777" w:rsidR="00EF3DFB" w:rsidRDefault="00D27C17">
            <w:pPr>
              <w:pStyle w:val="TableParagraph"/>
              <w:tabs>
                <w:tab w:val="left" w:pos="1474"/>
              </w:tabs>
              <w:spacing w:before="25"/>
              <w:ind w:right="104"/>
              <w:jc w:val="right"/>
              <w:rPr>
                <w:sz w:val="20"/>
              </w:rPr>
            </w:pPr>
            <w:r>
              <w:rPr>
                <w:sz w:val="20"/>
              </w:rPr>
              <w:t>28</w:t>
            </w:r>
            <w:r>
              <w:rPr>
                <w:sz w:val="20"/>
              </w:rPr>
              <w:tab/>
              <w:t>(8)</w:t>
            </w:r>
          </w:p>
        </w:tc>
        <w:tc>
          <w:tcPr>
            <w:tcW w:w="980" w:type="dxa"/>
            <w:shd w:val="clear" w:color="auto" w:fill="CCEDFF"/>
          </w:tcPr>
          <w:p w14:paraId="7326BC56" w14:textId="77777777" w:rsidR="00EF3DFB" w:rsidRDefault="00D27C17">
            <w:pPr>
              <w:pStyle w:val="TableParagraph"/>
              <w:spacing w:before="15"/>
              <w:ind w:left="96" w:right="64"/>
              <w:jc w:val="center"/>
              <w:rPr>
                <w:sz w:val="20"/>
              </w:rPr>
            </w:pPr>
            <w:r>
              <w:rPr>
                <w:sz w:val="20"/>
              </w:rPr>
              <w:t>(28.6)%</w:t>
            </w:r>
          </w:p>
        </w:tc>
      </w:tr>
      <w:tr w:rsidR="00EF3DFB" w14:paraId="7326BC5C" w14:textId="77777777">
        <w:trPr>
          <w:trHeight w:val="285"/>
        </w:trPr>
        <w:tc>
          <w:tcPr>
            <w:tcW w:w="5790" w:type="dxa"/>
          </w:tcPr>
          <w:p w14:paraId="7326BC58" w14:textId="77777777" w:rsidR="00EF3DFB" w:rsidRDefault="00D27C17">
            <w:pPr>
              <w:pStyle w:val="TableParagraph"/>
              <w:spacing w:before="15"/>
              <w:ind w:left="62"/>
              <w:rPr>
                <w:sz w:val="20"/>
              </w:rPr>
            </w:pPr>
            <w:r>
              <w:rPr>
                <w:sz w:val="20"/>
              </w:rPr>
              <w:t>Other expense, net</w:t>
            </w:r>
          </w:p>
        </w:tc>
        <w:tc>
          <w:tcPr>
            <w:tcW w:w="1256" w:type="dxa"/>
          </w:tcPr>
          <w:p w14:paraId="7326BC59" w14:textId="77777777" w:rsidR="00EF3DFB" w:rsidRDefault="00D27C17">
            <w:pPr>
              <w:pStyle w:val="TableParagraph"/>
              <w:spacing w:before="25"/>
              <w:ind w:left="761"/>
              <w:rPr>
                <w:sz w:val="20"/>
              </w:rPr>
            </w:pPr>
            <w:r>
              <w:rPr>
                <w:sz w:val="20"/>
              </w:rPr>
              <w:t>78</w:t>
            </w:r>
          </w:p>
        </w:tc>
        <w:tc>
          <w:tcPr>
            <w:tcW w:w="2594" w:type="dxa"/>
          </w:tcPr>
          <w:p w14:paraId="7326BC5A" w14:textId="77777777" w:rsidR="00EF3DFB" w:rsidRDefault="00D27C17">
            <w:pPr>
              <w:pStyle w:val="TableParagraph"/>
              <w:tabs>
                <w:tab w:val="left" w:pos="1441"/>
              </w:tabs>
              <w:spacing w:before="25"/>
              <w:ind w:right="169"/>
              <w:jc w:val="right"/>
              <w:rPr>
                <w:sz w:val="20"/>
              </w:rPr>
            </w:pPr>
            <w:r>
              <w:rPr>
                <w:sz w:val="20"/>
              </w:rPr>
              <w:t>39</w:t>
            </w:r>
            <w:r>
              <w:rPr>
                <w:sz w:val="20"/>
              </w:rPr>
              <w:tab/>
              <w:t>39</w:t>
            </w:r>
          </w:p>
        </w:tc>
        <w:tc>
          <w:tcPr>
            <w:tcW w:w="980" w:type="dxa"/>
          </w:tcPr>
          <w:p w14:paraId="7326BC5B" w14:textId="77777777" w:rsidR="00EF3DFB" w:rsidRDefault="00D27C17">
            <w:pPr>
              <w:pStyle w:val="TableParagraph"/>
              <w:spacing w:before="15"/>
              <w:ind w:left="96" w:right="64"/>
              <w:jc w:val="center"/>
              <w:rPr>
                <w:sz w:val="20"/>
              </w:rPr>
            </w:pPr>
            <w:r>
              <w:rPr>
                <w:sz w:val="20"/>
              </w:rPr>
              <w:t>100.0%</w:t>
            </w:r>
          </w:p>
        </w:tc>
      </w:tr>
      <w:tr w:rsidR="00EF3DFB" w14:paraId="7326BC61" w14:textId="77777777">
        <w:trPr>
          <w:trHeight w:val="285"/>
        </w:trPr>
        <w:tc>
          <w:tcPr>
            <w:tcW w:w="5790" w:type="dxa"/>
            <w:shd w:val="clear" w:color="auto" w:fill="CCEDFF"/>
          </w:tcPr>
          <w:p w14:paraId="7326BC5D" w14:textId="77777777" w:rsidR="00EF3DFB" w:rsidRDefault="00D27C17">
            <w:pPr>
              <w:pStyle w:val="TableParagraph"/>
              <w:spacing w:before="15"/>
              <w:ind w:left="62"/>
              <w:rPr>
                <w:sz w:val="20"/>
              </w:rPr>
            </w:pPr>
            <w:r>
              <w:rPr>
                <w:sz w:val="20"/>
              </w:rPr>
              <w:t>Loss before income taxes</w:t>
            </w:r>
          </w:p>
        </w:tc>
        <w:tc>
          <w:tcPr>
            <w:tcW w:w="1256" w:type="dxa"/>
            <w:shd w:val="clear" w:color="auto" w:fill="CCEDFF"/>
          </w:tcPr>
          <w:p w14:paraId="7326BC5E" w14:textId="77777777" w:rsidR="00EF3DFB" w:rsidRDefault="00D27C17">
            <w:pPr>
              <w:pStyle w:val="TableParagraph"/>
              <w:spacing w:before="25"/>
              <w:ind w:left="445"/>
              <w:rPr>
                <w:sz w:val="20"/>
              </w:rPr>
            </w:pPr>
            <w:r>
              <w:rPr>
                <w:sz w:val="20"/>
              </w:rPr>
              <w:t>(1,006)</w:t>
            </w:r>
          </w:p>
        </w:tc>
        <w:tc>
          <w:tcPr>
            <w:tcW w:w="2594" w:type="dxa"/>
            <w:shd w:val="clear" w:color="auto" w:fill="CCEDFF"/>
          </w:tcPr>
          <w:p w14:paraId="7326BC5F" w14:textId="77777777" w:rsidR="00EF3DFB" w:rsidRDefault="00D27C17">
            <w:pPr>
              <w:pStyle w:val="TableParagraph"/>
              <w:tabs>
                <w:tab w:val="left" w:pos="1441"/>
              </w:tabs>
              <w:spacing w:before="25"/>
              <w:ind w:right="104"/>
              <w:jc w:val="right"/>
              <w:rPr>
                <w:sz w:val="20"/>
              </w:rPr>
            </w:pPr>
            <w:r>
              <w:rPr>
                <w:sz w:val="20"/>
              </w:rPr>
              <w:t>(852)</w:t>
            </w:r>
            <w:r>
              <w:rPr>
                <w:sz w:val="20"/>
              </w:rPr>
              <w:tab/>
              <w:t>(154)</w:t>
            </w:r>
          </w:p>
        </w:tc>
        <w:tc>
          <w:tcPr>
            <w:tcW w:w="980" w:type="dxa"/>
            <w:shd w:val="clear" w:color="auto" w:fill="CCEDFF"/>
          </w:tcPr>
          <w:p w14:paraId="7326BC60" w14:textId="77777777" w:rsidR="00EF3DFB" w:rsidRDefault="00D27C17">
            <w:pPr>
              <w:pStyle w:val="TableParagraph"/>
              <w:spacing w:before="15"/>
              <w:ind w:left="96" w:right="64"/>
              <w:jc w:val="center"/>
              <w:rPr>
                <w:sz w:val="20"/>
              </w:rPr>
            </w:pPr>
            <w:r>
              <w:rPr>
                <w:sz w:val="20"/>
              </w:rPr>
              <w:t>(18.1)%</w:t>
            </w:r>
          </w:p>
        </w:tc>
      </w:tr>
      <w:tr w:rsidR="00EF3DFB" w14:paraId="7326BC66" w14:textId="77777777">
        <w:trPr>
          <w:trHeight w:val="285"/>
        </w:trPr>
        <w:tc>
          <w:tcPr>
            <w:tcW w:w="5790" w:type="dxa"/>
          </w:tcPr>
          <w:p w14:paraId="7326BC62" w14:textId="77777777" w:rsidR="00EF3DFB" w:rsidRDefault="00D27C17">
            <w:pPr>
              <w:pStyle w:val="TableParagraph"/>
              <w:spacing w:before="15"/>
              <w:ind w:left="62"/>
              <w:rPr>
                <w:sz w:val="20"/>
              </w:rPr>
            </w:pPr>
            <w:r>
              <w:rPr>
                <w:sz w:val="20"/>
              </w:rPr>
              <w:t>Income tax benefit</w:t>
            </w:r>
          </w:p>
        </w:tc>
        <w:tc>
          <w:tcPr>
            <w:tcW w:w="1256" w:type="dxa"/>
          </w:tcPr>
          <w:p w14:paraId="7326BC63" w14:textId="77777777" w:rsidR="00EF3DFB" w:rsidRDefault="00D27C17">
            <w:pPr>
              <w:pStyle w:val="TableParagraph"/>
              <w:spacing w:before="25"/>
              <w:ind w:left="595"/>
              <w:rPr>
                <w:sz w:val="20"/>
              </w:rPr>
            </w:pPr>
            <w:r>
              <w:rPr>
                <w:sz w:val="20"/>
              </w:rPr>
              <w:t>(236)</w:t>
            </w:r>
          </w:p>
        </w:tc>
        <w:tc>
          <w:tcPr>
            <w:tcW w:w="2594" w:type="dxa"/>
          </w:tcPr>
          <w:p w14:paraId="7326BC64" w14:textId="77777777" w:rsidR="00EF3DFB" w:rsidRDefault="00D27C17">
            <w:pPr>
              <w:pStyle w:val="TableParagraph"/>
              <w:tabs>
                <w:tab w:val="left" w:pos="2122"/>
              </w:tabs>
              <w:spacing w:before="25"/>
              <w:ind w:left="464"/>
              <w:rPr>
                <w:sz w:val="20"/>
              </w:rPr>
            </w:pPr>
            <w:r>
              <w:rPr>
                <w:sz w:val="20"/>
              </w:rPr>
              <w:t>(1,038)</w:t>
            </w:r>
            <w:r>
              <w:rPr>
                <w:sz w:val="20"/>
              </w:rPr>
              <w:tab/>
              <w:t>802</w:t>
            </w:r>
          </w:p>
        </w:tc>
        <w:tc>
          <w:tcPr>
            <w:tcW w:w="980" w:type="dxa"/>
          </w:tcPr>
          <w:p w14:paraId="7326BC65" w14:textId="77777777" w:rsidR="00EF3DFB" w:rsidRDefault="00D27C17">
            <w:pPr>
              <w:pStyle w:val="TableParagraph"/>
              <w:spacing w:before="15"/>
              <w:ind w:left="96" w:right="64"/>
              <w:jc w:val="center"/>
              <w:rPr>
                <w:sz w:val="20"/>
              </w:rPr>
            </w:pPr>
            <w:r>
              <w:rPr>
                <w:sz w:val="20"/>
              </w:rPr>
              <w:t>77.3%</w:t>
            </w:r>
          </w:p>
        </w:tc>
      </w:tr>
      <w:tr w:rsidR="00EF3DFB" w14:paraId="7326BC6B" w14:textId="77777777">
        <w:trPr>
          <w:trHeight w:val="285"/>
        </w:trPr>
        <w:tc>
          <w:tcPr>
            <w:tcW w:w="5790" w:type="dxa"/>
            <w:shd w:val="clear" w:color="auto" w:fill="CCEDFF"/>
          </w:tcPr>
          <w:p w14:paraId="7326BC67" w14:textId="77777777" w:rsidR="00EF3DFB" w:rsidRDefault="00D27C17">
            <w:pPr>
              <w:pStyle w:val="TableParagraph"/>
              <w:spacing w:before="15"/>
              <w:ind w:left="422"/>
              <w:rPr>
                <w:i/>
                <w:sz w:val="20"/>
              </w:rPr>
            </w:pPr>
            <w:r>
              <w:rPr>
                <w:i/>
                <w:sz w:val="20"/>
              </w:rPr>
              <w:t>Income tax rate</w:t>
            </w:r>
          </w:p>
        </w:tc>
        <w:tc>
          <w:tcPr>
            <w:tcW w:w="1256" w:type="dxa"/>
            <w:shd w:val="clear" w:color="auto" w:fill="CCEDFF"/>
          </w:tcPr>
          <w:p w14:paraId="7326BC68" w14:textId="77777777" w:rsidR="00EF3DFB" w:rsidRDefault="00D27C17">
            <w:pPr>
              <w:pStyle w:val="TableParagraph"/>
              <w:spacing w:before="15"/>
              <w:ind w:right="60"/>
              <w:jc w:val="right"/>
              <w:rPr>
                <w:i/>
                <w:sz w:val="20"/>
              </w:rPr>
            </w:pPr>
            <w:r>
              <w:rPr>
                <w:i/>
                <w:sz w:val="20"/>
              </w:rPr>
              <w:t>23.5 %</w:t>
            </w:r>
          </w:p>
        </w:tc>
        <w:tc>
          <w:tcPr>
            <w:tcW w:w="2594" w:type="dxa"/>
            <w:shd w:val="clear" w:color="auto" w:fill="CCEDFF"/>
          </w:tcPr>
          <w:p w14:paraId="7326BC69" w14:textId="77777777" w:rsidR="00EF3DFB" w:rsidRDefault="00D27C17">
            <w:pPr>
              <w:pStyle w:val="TableParagraph"/>
              <w:spacing w:before="15"/>
              <w:ind w:left="530"/>
              <w:rPr>
                <w:i/>
                <w:sz w:val="20"/>
              </w:rPr>
            </w:pPr>
            <w:r>
              <w:rPr>
                <w:i/>
                <w:sz w:val="20"/>
              </w:rPr>
              <w:t>121.9 %</w:t>
            </w:r>
          </w:p>
        </w:tc>
        <w:tc>
          <w:tcPr>
            <w:tcW w:w="980" w:type="dxa"/>
            <w:shd w:val="clear" w:color="auto" w:fill="CCEDFF"/>
          </w:tcPr>
          <w:p w14:paraId="7326BC6A" w14:textId="77777777" w:rsidR="00EF3DFB" w:rsidRDefault="00EF3DFB">
            <w:pPr>
              <w:pStyle w:val="TableParagraph"/>
              <w:rPr>
                <w:sz w:val="18"/>
              </w:rPr>
            </w:pPr>
          </w:p>
        </w:tc>
      </w:tr>
      <w:tr w:rsidR="00EF3DFB" w14:paraId="7326BC70" w14:textId="77777777">
        <w:trPr>
          <w:trHeight w:val="285"/>
        </w:trPr>
        <w:tc>
          <w:tcPr>
            <w:tcW w:w="5790" w:type="dxa"/>
          </w:tcPr>
          <w:p w14:paraId="7326BC6C" w14:textId="77777777" w:rsidR="00EF3DFB" w:rsidRDefault="00EF3DFB">
            <w:pPr>
              <w:pStyle w:val="TableParagraph"/>
              <w:rPr>
                <w:sz w:val="18"/>
              </w:rPr>
            </w:pPr>
          </w:p>
        </w:tc>
        <w:tc>
          <w:tcPr>
            <w:tcW w:w="1256" w:type="dxa"/>
          </w:tcPr>
          <w:p w14:paraId="7326BC6D" w14:textId="77777777" w:rsidR="00EF3DFB" w:rsidRDefault="00EF3DFB">
            <w:pPr>
              <w:pStyle w:val="TableParagraph"/>
              <w:rPr>
                <w:sz w:val="18"/>
              </w:rPr>
            </w:pPr>
          </w:p>
        </w:tc>
        <w:tc>
          <w:tcPr>
            <w:tcW w:w="2594" w:type="dxa"/>
          </w:tcPr>
          <w:p w14:paraId="7326BC6E" w14:textId="77777777" w:rsidR="00EF3DFB" w:rsidRDefault="00EF3DFB">
            <w:pPr>
              <w:pStyle w:val="TableParagraph"/>
              <w:rPr>
                <w:sz w:val="18"/>
              </w:rPr>
            </w:pPr>
          </w:p>
        </w:tc>
        <w:tc>
          <w:tcPr>
            <w:tcW w:w="980" w:type="dxa"/>
          </w:tcPr>
          <w:p w14:paraId="7326BC6F" w14:textId="77777777" w:rsidR="00EF3DFB" w:rsidRDefault="00EF3DFB">
            <w:pPr>
              <w:pStyle w:val="TableParagraph"/>
              <w:rPr>
                <w:sz w:val="18"/>
              </w:rPr>
            </w:pPr>
          </w:p>
        </w:tc>
      </w:tr>
      <w:tr w:rsidR="00EF3DFB" w14:paraId="7326BC75" w14:textId="77777777">
        <w:trPr>
          <w:trHeight w:val="285"/>
        </w:trPr>
        <w:tc>
          <w:tcPr>
            <w:tcW w:w="5790" w:type="dxa"/>
            <w:shd w:val="clear" w:color="auto" w:fill="CCEDFF"/>
          </w:tcPr>
          <w:p w14:paraId="7326BC71" w14:textId="77777777" w:rsidR="00EF3DFB" w:rsidRDefault="00D27C17">
            <w:pPr>
              <w:pStyle w:val="TableParagraph"/>
              <w:spacing w:before="15"/>
              <w:ind w:left="62"/>
              <w:rPr>
                <w:sz w:val="20"/>
              </w:rPr>
            </w:pPr>
            <w:r>
              <w:rPr>
                <w:sz w:val="20"/>
              </w:rPr>
              <w:t>Diluted earnings (loss) per share - continuing operations</w:t>
            </w:r>
          </w:p>
        </w:tc>
        <w:tc>
          <w:tcPr>
            <w:tcW w:w="1256" w:type="dxa"/>
            <w:shd w:val="clear" w:color="auto" w:fill="CCEDFF"/>
          </w:tcPr>
          <w:p w14:paraId="7326BC72" w14:textId="77777777" w:rsidR="00EF3DFB" w:rsidRDefault="00D27C17">
            <w:pPr>
              <w:pStyle w:val="TableParagraph"/>
              <w:tabs>
                <w:tab w:val="left" w:pos="545"/>
              </w:tabs>
              <w:spacing w:before="25"/>
              <w:ind w:left="62"/>
              <w:rPr>
                <w:sz w:val="20"/>
              </w:rPr>
            </w:pPr>
            <w:r>
              <w:rPr>
                <w:sz w:val="20"/>
              </w:rPr>
              <w:t>$</w:t>
            </w:r>
            <w:r>
              <w:rPr>
                <w:sz w:val="20"/>
              </w:rPr>
              <w:tab/>
              <w:t>(1.82)</w:t>
            </w:r>
          </w:p>
        </w:tc>
        <w:tc>
          <w:tcPr>
            <w:tcW w:w="2594" w:type="dxa"/>
            <w:shd w:val="clear" w:color="auto" w:fill="CCEDFF"/>
          </w:tcPr>
          <w:p w14:paraId="7326BC73" w14:textId="77777777" w:rsidR="00EF3DFB" w:rsidRDefault="00D27C17">
            <w:pPr>
              <w:pStyle w:val="TableParagraph"/>
              <w:tabs>
                <w:tab w:val="left" w:pos="630"/>
              </w:tabs>
              <w:spacing w:before="25"/>
              <w:ind w:left="81"/>
              <w:rPr>
                <w:sz w:val="20"/>
              </w:rPr>
            </w:pPr>
            <w:r>
              <w:rPr>
                <w:sz w:val="20"/>
              </w:rPr>
              <w:t>$</w:t>
            </w:r>
            <w:r>
              <w:rPr>
                <w:sz w:val="20"/>
              </w:rPr>
              <w:tab/>
              <w:t>0.44</w:t>
            </w:r>
          </w:p>
        </w:tc>
        <w:tc>
          <w:tcPr>
            <w:tcW w:w="980" w:type="dxa"/>
            <w:shd w:val="clear" w:color="auto" w:fill="CCEDFF"/>
          </w:tcPr>
          <w:p w14:paraId="7326BC74" w14:textId="77777777" w:rsidR="00EF3DFB" w:rsidRDefault="00EF3DFB">
            <w:pPr>
              <w:pStyle w:val="TableParagraph"/>
              <w:rPr>
                <w:sz w:val="18"/>
              </w:rPr>
            </w:pPr>
          </w:p>
        </w:tc>
      </w:tr>
      <w:tr w:rsidR="00EF3DFB" w14:paraId="7326BC7A" w14:textId="77777777">
        <w:trPr>
          <w:trHeight w:val="255"/>
        </w:trPr>
        <w:tc>
          <w:tcPr>
            <w:tcW w:w="5790" w:type="dxa"/>
          </w:tcPr>
          <w:p w14:paraId="7326BC76" w14:textId="77777777" w:rsidR="00EF3DFB" w:rsidRDefault="00D27C17">
            <w:pPr>
              <w:pStyle w:val="TableParagraph"/>
              <w:spacing w:before="15" w:line="220" w:lineRule="exact"/>
              <w:ind w:left="62"/>
              <w:rPr>
                <w:sz w:val="20"/>
              </w:rPr>
            </w:pPr>
            <w:r>
              <w:rPr>
                <w:sz w:val="20"/>
              </w:rPr>
              <w:t>Diluted earnings (loss) per share - discontinued operations</w:t>
            </w:r>
          </w:p>
        </w:tc>
        <w:tc>
          <w:tcPr>
            <w:tcW w:w="1256" w:type="dxa"/>
          </w:tcPr>
          <w:p w14:paraId="7326BC77" w14:textId="77777777" w:rsidR="00EF3DFB" w:rsidRDefault="00D27C17">
            <w:pPr>
              <w:pStyle w:val="TableParagraph"/>
              <w:spacing w:before="25" w:line="210" w:lineRule="exact"/>
              <w:ind w:left="761"/>
              <w:rPr>
                <w:sz w:val="20"/>
              </w:rPr>
            </w:pPr>
            <w:r>
              <w:rPr>
                <w:sz w:val="20"/>
              </w:rPr>
              <w:t>—</w:t>
            </w:r>
          </w:p>
        </w:tc>
        <w:tc>
          <w:tcPr>
            <w:tcW w:w="2594" w:type="dxa"/>
          </w:tcPr>
          <w:p w14:paraId="7326BC78" w14:textId="77777777" w:rsidR="00EF3DFB" w:rsidRDefault="00D27C17">
            <w:pPr>
              <w:pStyle w:val="TableParagraph"/>
              <w:spacing w:before="25" w:line="210" w:lineRule="exact"/>
              <w:ind w:left="564"/>
              <w:rPr>
                <w:sz w:val="20"/>
              </w:rPr>
            </w:pPr>
            <w:r>
              <w:rPr>
                <w:sz w:val="20"/>
              </w:rPr>
              <w:t>(0.19)</w:t>
            </w:r>
          </w:p>
        </w:tc>
        <w:tc>
          <w:tcPr>
            <w:tcW w:w="980" w:type="dxa"/>
          </w:tcPr>
          <w:p w14:paraId="7326BC79" w14:textId="77777777" w:rsidR="00EF3DFB" w:rsidRDefault="00EF3DFB">
            <w:pPr>
              <w:pStyle w:val="TableParagraph"/>
              <w:rPr>
                <w:sz w:val="18"/>
              </w:rPr>
            </w:pPr>
          </w:p>
        </w:tc>
      </w:tr>
      <w:tr w:rsidR="00EF3DFB" w14:paraId="7326BC7D" w14:textId="77777777">
        <w:trPr>
          <w:trHeight w:val="474"/>
        </w:trPr>
        <w:tc>
          <w:tcPr>
            <w:tcW w:w="10620" w:type="dxa"/>
            <w:gridSpan w:val="4"/>
            <w:shd w:val="clear" w:color="auto" w:fill="CCEDFF"/>
          </w:tcPr>
          <w:p w14:paraId="7326BC7B" w14:textId="77777777" w:rsidR="00EF3DFB" w:rsidRDefault="00D27C17">
            <w:pPr>
              <w:pStyle w:val="TableParagraph"/>
              <w:tabs>
                <w:tab w:val="left" w:pos="5852"/>
                <w:tab w:val="left" w:pos="6335"/>
                <w:tab w:val="left" w:pos="7127"/>
                <w:tab w:val="right" w:pos="8026"/>
              </w:tabs>
              <w:spacing w:before="72" w:line="129" w:lineRule="auto"/>
              <w:ind w:left="62"/>
              <w:rPr>
                <w:b/>
                <w:sz w:val="20"/>
              </w:rPr>
            </w:pPr>
            <w:r>
              <w:rPr>
                <w:b/>
                <w:sz w:val="20"/>
              </w:rPr>
              <w:t>Diluted earnings (loss) per share - attributable</w:t>
            </w:r>
            <w:r>
              <w:rPr>
                <w:b/>
                <w:spacing w:val="-21"/>
                <w:sz w:val="20"/>
              </w:rPr>
              <w:t xml:space="preserve"> </w:t>
            </w:r>
            <w:r>
              <w:rPr>
                <w:b/>
                <w:sz w:val="20"/>
              </w:rPr>
              <w:t>to</w:t>
            </w:r>
            <w:r>
              <w:rPr>
                <w:b/>
                <w:spacing w:val="-3"/>
                <w:sz w:val="20"/>
              </w:rPr>
              <w:t xml:space="preserve"> </w:t>
            </w:r>
            <w:r>
              <w:rPr>
                <w:b/>
                <w:sz w:val="20"/>
              </w:rPr>
              <w:t>common</w:t>
            </w:r>
            <w:r>
              <w:rPr>
                <w:b/>
                <w:sz w:val="20"/>
              </w:rPr>
              <w:tab/>
            </w:r>
            <w:r>
              <w:rPr>
                <w:b/>
                <w:position w:val="-9"/>
                <w:sz w:val="20"/>
              </w:rPr>
              <w:t>$</w:t>
            </w:r>
            <w:r>
              <w:rPr>
                <w:b/>
                <w:position w:val="-9"/>
                <w:sz w:val="20"/>
              </w:rPr>
              <w:tab/>
              <w:t>(1.82)</w:t>
            </w:r>
            <w:r>
              <w:rPr>
                <w:b/>
                <w:position w:val="-9"/>
                <w:sz w:val="20"/>
              </w:rPr>
              <w:tab/>
              <w:t>$</w:t>
            </w:r>
            <w:r>
              <w:rPr>
                <w:b/>
                <w:position w:val="-9"/>
                <w:sz w:val="20"/>
              </w:rPr>
              <w:tab/>
              <w:t>0.25</w:t>
            </w:r>
          </w:p>
          <w:p w14:paraId="7326BC7C" w14:textId="77777777" w:rsidR="00EF3DFB" w:rsidRDefault="00D27C17">
            <w:pPr>
              <w:pStyle w:val="TableParagraph"/>
              <w:spacing w:line="156" w:lineRule="exact"/>
              <w:ind w:left="62"/>
              <w:rPr>
                <w:b/>
                <w:sz w:val="20"/>
              </w:rPr>
            </w:pPr>
            <w:r>
              <w:rPr>
                <w:b/>
                <w:sz w:val="20"/>
              </w:rPr>
              <w:t>shareholders</w:t>
            </w:r>
          </w:p>
        </w:tc>
      </w:tr>
    </w:tbl>
    <w:p w14:paraId="7326BC7E" w14:textId="24323508" w:rsidR="00EF3DFB" w:rsidRDefault="00D27C17">
      <w:pPr>
        <w:spacing w:line="20" w:lineRule="exact"/>
        <w:ind w:left="5970"/>
        <w:rPr>
          <w:sz w:val="2"/>
        </w:rPr>
      </w:pPr>
      <w:r>
        <w:rPr>
          <w:noProof/>
          <w:sz w:val="2"/>
        </w:rPr>
        <mc:AlternateContent>
          <mc:Choice Requires="wpg">
            <w:drawing>
              <wp:inline distT="0" distB="0" distL="0" distR="0" wp14:anchorId="7326D6DB" wp14:editId="541E29B0">
                <wp:extent cx="762000" cy="12700"/>
                <wp:effectExtent l="12700" t="1905" r="6350" b="4445"/>
                <wp:docPr id="548"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549" name="Line 532"/>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9E3905" id="Group 531"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">
                <v:line id="Line 532"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6DD" wp14:editId="430046EF">
                <wp:extent cx="762000" cy="12700"/>
                <wp:effectExtent l="12700" t="1905" r="6350" b="4445"/>
                <wp:docPr id="546"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547" name="Line 530"/>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8F8F85" id="Group 529"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CctaLmJwIAANsEAAAOAAAAAAAAAAAAAAAAAC4CAABkcnMvZTJvRG9jLnht&#10;bFBLAQItABQABgAIAAAAIQDqJm4U2QAAAAMBAAAPAAAAAAAAAAAAAAAAAIEEAABkcnMvZG93bnJl&#10;di54bWxQSwUGAAAAAAQABADzAAAAhwUAAAAA&#10;">
                <v:line id="Line 530"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" strokeweight="1pt"/>
                <w10:anchorlock/>
              </v:group>
            </w:pict>
          </mc:Fallback>
        </mc:AlternateContent>
      </w:r>
    </w:p>
    <w:p w14:paraId="7326BC7F" w14:textId="77777777" w:rsidR="00EF3DFB" w:rsidRDefault="00EF3DFB">
      <w:pPr>
        <w:pStyle w:val="BodyText"/>
        <w:spacing w:before="7"/>
        <w:rPr>
          <w:sz w:val="23"/>
        </w:rPr>
      </w:pPr>
    </w:p>
    <w:p w14:paraId="7326BC80" w14:textId="20F2B702" w:rsidR="00EF3DFB" w:rsidRDefault="00D27C17">
      <w:pPr>
        <w:pStyle w:val="BodyText"/>
        <w:spacing w:line="249" w:lineRule="auto"/>
        <w:ind w:left="190" w:right="169"/>
        <w:jc w:val="both"/>
      </w:pPr>
      <w:r>
        <w:rPr>
          <w:noProof/>
        </w:rPr>
        <mc:AlternateContent>
          <mc:Choice Requires="wpg">
            <w:drawing>
              <wp:anchor distT="0" distB="0" distL="114300" distR="114300" simplePos="0" relativeHeight="502905032" behindDoc="1" locked="0" layoutInCell="1" allowOverlap="1" wp14:anchorId="7326D6DF" wp14:editId="79FAAE04">
                <wp:simplePos x="0" y="0"/>
                <wp:positionH relativeFrom="page">
                  <wp:posOffset>4191000</wp:posOffset>
                </wp:positionH>
                <wp:positionV relativeFrom="paragraph">
                  <wp:posOffset>-487045</wp:posOffset>
                </wp:positionV>
                <wp:extent cx="762000" cy="12700"/>
                <wp:effectExtent l="9525" t="3810" r="9525" b="2540"/>
                <wp:wrapNone/>
                <wp:docPr id="543"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6600" y="-767"/>
                          <a:chExt cx="1200" cy="20"/>
                        </a:xfrm>
                      </wpg:grpSpPr>
                      <wps:wsp>
                        <wps:cNvPr id="544" name="Line 528"/>
                        <wps:cNvCnPr>
                          <a:cxnSpLocks noChangeShapeType="1"/>
                        </wps:cNvCnPr>
                        <wps:spPr bwMode="auto">
                          <a:xfrm>
                            <a:off x="6600" y="-757"/>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527"/>
                        <wps:cNvCnPr>
                          <a:cxnSpLocks noChangeShapeType="1"/>
                        </wps:cNvCnPr>
                        <wps:spPr bwMode="auto">
                          <a:xfrm>
                            <a:off x="6600" y="-757"/>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A5BEF" id="Group 526" o:spid="_x0000_s1026" style="position:absolute;margin-left:330pt;margin-top:-38.35pt;width:60pt;height:1pt;z-index:-411448;mso-position-horizontal-relative:page" coordorigin="6600,-767"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">
                <v:line id="Line 528" o:spid="_x0000_s1027" style="position:absolute;visibility:visible;mso-wrap-style:square" from="6600,-757" to="780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line id="Line 527" o:spid="_x0000_s1028" style="position:absolute;visibility:visible;mso-wrap-style:square" from="6600,-757" to="780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" strokeweight="1pt"/>
                <w10:wrap anchorx="page"/>
              </v:group>
            </w:pict>
          </mc:Fallback>
        </mc:AlternateContent>
      </w:r>
      <w:r>
        <w:rPr>
          <w:noProof/>
        </w:rPr>
        <mc:AlternateContent>
          <mc:Choice Requires="wpg">
            <w:drawing>
              <wp:anchor distT="0" distB="0" distL="114300" distR="114300" simplePos="0" relativeHeight="502905056" behindDoc="1" locked="0" layoutInCell="1" allowOverlap="1" wp14:anchorId="7326D6E0" wp14:editId="4C034656">
                <wp:simplePos x="0" y="0"/>
                <wp:positionH relativeFrom="page">
                  <wp:posOffset>5000625</wp:posOffset>
                </wp:positionH>
                <wp:positionV relativeFrom="paragraph">
                  <wp:posOffset>-487045</wp:posOffset>
                </wp:positionV>
                <wp:extent cx="762000" cy="12700"/>
                <wp:effectExtent l="9525" t="3810" r="9525" b="2540"/>
                <wp:wrapNone/>
                <wp:docPr id="540"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7875" y="-767"/>
                          <a:chExt cx="1200" cy="20"/>
                        </a:xfrm>
                      </wpg:grpSpPr>
                      <wps:wsp>
                        <wps:cNvPr id="541" name="Line 525"/>
                        <wps:cNvCnPr>
                          <a:cxnSpLocks noChangeShapeType="1"/>
                        </wps:cNvCnPr>
                        <wps:spPr bwMode="auto">
                          <a:xfrm>
                            <a:off x="7875" y="-757"/>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524"/>
                        <wps:cNvCnPr>
                          <a:cxnSpLocks noChangeShapeType="1"/>
                        </wps:cNvCnPr>
                        <wps:spPr bwMode="auto">
                          <a:xfrm>
                            <a:off x="7875" y="-757"/>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7DD9E" id="Group 523" o:spid="_x0000_s1026" style="position:absolute;margin-left:393.75pt;margin-top:-38.35pt;width:60pt;height:1pt;z-index:-411424;mso-position-horizontal-relative:page" coordorigin="7875,-767"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">
                <v:line id="Line 525" o:spid="_x0000_s1027" style="position:absolute;visibility:visible;mso-wrap-style:square" from="7875,-757" to="907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line id="Line 524" o:spid="_x0000_s1028" style="position:absolute;visibility:visible;mso-wrap-style:square" from="7875,-757" to="907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" strokeweight="1pt"/>
                <w10:wrap anchorx="page"/>
              </v:group>
            </w:pict>
          </mc:Fallback>
        </mc:AlternateContent>
      </w:r>
      <w:r>
        <w:t xml:space="preserve">Net sales for 2020 decreased </w:t>
      </w:r>
      <w:r>
        <w:t>3%, due to a decline in sales within Learning and Development and Outdoor and Recreation segments. The Learning and Development segment was impacted by changes in consumer purchasing patterns as well as delays and limited opening of schools and offices cau</w:t>
      </w:r>
      <w:r>
        <w:t xml:space="preserve">sed by the COVID-19 pandemic. Net sales in the Outdoor and Recreation segment were  impacted by lower overall demand. The net sales decline was partially offset by growth in the Appliances and Cookware, Commercial Solutions and Home Solutions segments due </w:t>
      </w:r>
      <w:r>
        <w:t>to an increase in demand, notably through online channels. Changes in foreign currency unfavorably impacted net sales by $108 million, or</w:t>
      </w:r>
      <w:r>
        <w:rPr>
          <w:spacing w:val="-5"/>
        </w:rPr>
        <w:t xml:space="preserve"> </w:t>
      </w:r>
      <w:r>
        <w:t>1%.</w:t>
      </w:r>
    </w:p>
    <w:p w14:paraId="7326BC81" w14:textId="77777777" w:rsidR="00EF3DFB" w:rsidRDefault="00EF3DFB">
      <w:pPr>
        <w:pStyle w:val="BodyText"/>
        <w:spacing w:before="3"/>
        <w:rPr>
          <w:sz w:val="21"/>
        </w:rPr>
      </w:pPr>
    </w:p>
    <w:p w14:paraId="7326BC82" w14:textId="77777777" w:rsidR="00EF3DFB" w:rsidRDefault="00D27C17">
      <w:pPr>
        <w:pStyle w:val="BodyText"/>
        <w:spacing w:before="1" w:line="249" w:lineRule="auto"/>
        <w:ind w:left="190" w:right="168"/>
        <w:jc w:val="both"/>
      </w:pPr>
      <w:r>
        <w:t>Gross profit for 2020 decreased 4% and gross profit margin declined to 32.8% as compared with 33.1% in the prior year period. The gross margin decline was driven by higher costs associated with lower sales volume and certain temporary manufacturing closure</w:t>
      </w:r>
      <w:r>
        <w:t>s, primarily during the first half of the year, as well as business unit mix and inflation related to input costs. The decline in gross margin also reflected increased costs across most of its business units related to the COVID-19 pandemic, including incr</w:t>
      </w:r>
      <w:r>
        <w:t xml:space="preserve">eased employee costs, such as expanded benefits and frontline incentives, and other costs, such as procurement of personal protective equipment. The gross profit decline was partially offset by the cumulative depreciation expense recorded during the prior </w:t>
      </w:r>
      <w:r>
        <w:t>year, as a result of the Company’s decision to retain the Commercial Business, as well as gross productivity and lower product recall costs. Changes in foreign currency exchange rates unfavorably impacted gross profit by $25 million, or 1%.</w:t>
      </w:r>
    </w:p>
    <w:p w14:paraId="7326BC83" w14:textId="77777777" w:rsidR="00EF3DFB" w:rsidRDefault="00EF3DFB">
      <w:pPr>
        <w:pStyle w:val="BodyText"/>
        <w:spacing w:before="4"/>
        <w:rPr>
          <w:sz w:val="21"/>
        </w:rPr>
      </w:pPr>
    </w:p>
    <w:p w14:paraId="7326BC84" w14:textId="77777777" w:rsidR="00EF3DFB" w:rsidRDefault="00D27C17">
      <w:pPr>
        <w:pStyle w:val="BodyText"/>
        <w:spacing w:before="1" w:line="249" w:lineRule="auto"/>
        <w:ind w:left="190" w:right="169"/>
        <w:jc w:val="both"/>
      </w:pPr>
      <w:r>
        <w:t>All of the Company's manufacturing and distribution facilities are operating at or near capacity and its facilities have replenished most of the inventory levels that were depleted by lost production during the temporary closure period, however, the Compan</w:t>
      </w:r>
      <w:r>
        <w:t>y does continue to face intermittent supply and labor shortages, capacity constraints, and transportation and logistical challenges, which have negatively impacted net sales growth, and expects this to persist until the conditions improve globally. While t</w:t>
      </w:r>
      <w:r>
        <w:t>he negative effects from the COVID-19 pandemic in the first half of 2020 were material to the Company's operating results, the Company saw positive momentum during the second half of the year. At this time, the Company is unable to predict any further impa</w:t>
      </w:r>
      <w:r>
        <w:t xml:space="preserve">ct, both in terms of severity and duration, that the COVID-19 global pandemic will have on its businesses, customers and suppliers. While the Company has deployed cost containment initiatives to mitigate the impact of the pandemic, such actions may not be </w:t>
      </w:r>
      <w:r>
        <w:t>sufficient to mitigate the entire impact. The Company will continue to monitor developments, including government requirements and recommendations to evaluate possible further cessation or extensions of its operations.</w:t>
      </w:r>
    </w:p>
    <w:p w14:paraId="7326BC85" w14:textId="77777777" w:rsidR="00EF3DFB" w:rsidRDefault="00EF3DFB">
      <w:pPr>
        <w:pStyle w:val="BodyText"/>
        <w:spacing w:before="6"/>
        <w:rPr>
          <w:sz w:val="21"/>
        </w:rPr>
      </w:pPr>
    </w:p>
    <w:p w14:paraId="7326BC86" w14:textId="77777777" w:rsidR="00EF3DFB" w:rsidRDefault="00D27C17">
      <w:pPr>
        <w:spacing w:before="1" w:line="249" w:lineRule="auto"/>
        <w:ind w:left="190" w:right="170"/>
        <w:jc w:val="both"/>
        <w:rPr>
          <w:sz w:val="20"/>
        </w:rPr>
      </w:pPr>
      <w:r>
        <w:rPr>
          <w:sz w:val="20"/>
        </w:rPr>
        <w:t xml:space="preserve">See </w:t>
      </w:r>
      <w:r>
        <w:rPr>
          <w:i/>
          <w:sz w:val="20"/>
        </w:rPr>
        <w:t>Recent Developments, Critical Ac</w:t>
      </w:r>
      <w:r>
        <w:rPr>
          <w:i/>
          <w:sz w:val="20"/>
        </w:rPr>
        <w:t xml:space="preserve">counting Estimates </w:t>
      </w:r>
      <w:r>
        <w:rPr>
          <w:sz w:val="20"/>
        </w:rPr>
        <w:t xml:space="preserve">and </w:t>
      </w:r>
      <w:r>
        <w:rPr>
          <w:i/>
          <w:sz w:val="20"/>
        </w:rPr>
        <w:t xml:space="preserve">Footnote 1 in the Notes to Consolidated Financial Statements </w:t>
      </w:r>
      <w:r>
        <w:rPr>
          <w:sz w:val="20"/>
        </w:rPr>
        <w:t>for further information.</w:t>
      </w:r>
    </w:p>
    <w:p w14:paraId="7326BC87" w14:textId="77777777" w:rsidR="00EF3DFB" w:rsidRDefault="00EF3DFB">
      <w:pPr>
        <w:spacing w:line="249" w:lineRule="auto"/>
        <w:jc w:val="both"/>
        <w:rPr>
          <w:sz w:val="20"/>
        </w:rPr>
        <w:sectPr w:rsidR="00EF3DFB">
          <w:pgSz w:w="12240" w:h="15840"/>
          <w:pgMar w:top="600" w:right="640" w:bottom="480" w:left="620" w:header="0" w:footer="291" w:gutter="0"/>
          <w:cols w:space="720"/>
        </w:sectPr>
      </w:pPr>
    </w:p>
    <w:p w14:paraId="7326BC88" w14:textId="77777777" w:rsidR="00EF3DFB" w:rsidRDefault="00D27C17">
      <w:pPr>
        <w:pStyle w:val="BodyText"/>
        <w:spacing w:before="72"/>
        <w:ind w:left="190"/>
      </w:pPr>
      <w:r>
        <w:lastRenderedPageBreak/>
        <w:t>Notable items impacting operating loss for 2020 and 2019 are as follows:</w:t>
      </w:r>
    </w:p>
    <w:p w14:paraId="7326BC89" w14:textId="77777777" w:rsidR="00EF3DFB" w:rsidRDefault="00EF3DFB">
      <w:pPr>
        <w:pStyle w:val="BodyText"/>
        <w:spacing w:before="2"/>
        <w:rPr>
          <w:sz w:val="9"/>
        </w:rPr>
      </w:pPr>
    </w:p>
    <w:p w14:paraId="7326BC8A" w14:textId="77777777" w:rsidR="00EF3DFB" w:rsidRDefault="00D27C17">
      <w:pPr>
        <w:spacing w:before="93" w:after="11"/>
        <w:ind w:left="8319"/>
        <w:rPr>
          <w:b/>
          <w:sz w:val="16"/>
        </w:rPr>
      </w:pPr>
      <w:r>
        <w:rPr>
          <w:b/>
          <w:sz w:val="16"/>
        </w:rPr>
        <w:t>Years Ended December 31,</w:t>
      </w:r>
    </w:p>
    <w:p w14:paraId="7326BC8B" w14:textId="0438A43F" w:rsidR="00EF3DFB" w:rsidRDefault="00D27C17">
      <w:pPr>
        <w:pStyle w:val="BodyText"/>
        <w:spacing w:line="40" w:lineRule="exact"/>
        <w:ind w:left="7625"/>
        <w:rPr>
          <w:sz w:val="4"/>
        </w:rPr>
      </w:pPr>
      <w:r>
        <w:rPr>
          <w:noProof/>
          <w:sz w:val="4"/>
        </w:rPr>
        <mc:AlternateContent>
          <mc:Choice Requires="wpg">
            <w:drawing>
              <wp:inline distT="0" distB="0" distL="0" distR="0" wp14:anchorId="7326D6E1" wp14:editId="7BE7BC88">
                <wp:extent cx="2009775" cy="25400"/>
                <wp:effectExtent l="15875" t="4445" r="12700" b="8255"/>
                <wp:docPr id="537"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25400"/>
                          <a:chOff x="0" y="0"/>
                          <a:chExt cx="3165" cy="40"/>
                        </a:xfrm>
                      </wpg:grpSpPr>
                      <wps:wsp>
                        <wps:cNvPr id="538" name="Line 522"/>
                        <wps:cNvCnPr>
                          <a:cxnSpLocks noChangeShapeType="1"/>
                        </wps:cNvCnPr>
                        <wps:spPr bwMode="auto">
                          <a:xfrm>
                            <a:off x="0" y="20"/>
                            <a:ext cx="3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521"/>
                        <wps:cNvCnPr>
                          <a:cxnSpLocks noChangeShapeType="1"/>
                        </wps:cNvCnPr>
                        <wps:spPr bwMode="auto">
                          <a:xfrm>
                            <a:off x="0" y="20"/>
                            <a:ext cx="31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FD6654" id="Group 520" o:spid="_x0000_s1026" style="width:158.25pt;height:2pt;mso-position-horizontal-relative:char;mso-position-vertical-relative:line" coordsize="31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">
                <v:line id="Line 522" o:spid="_x0000_s1027" style="position:absolute;visibility:visible;mso-wrap-style:square" from="0,20" to="3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QiwQAAANwAAAAPAAAAZHJzL2Rvd25yZXYueG1sRE/LisIw&#10;FN0PzD+EOzA7TZ1B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BUTFCLBAAAA3AAAAA8AAAAA&#10;AAAAAAAAAAAABwIAAGRycy9kb3ducmV2LnhtbFBLBQYAAAAAAwADALcAAAD1AgAAAAA=&#10;" strokeweight="0"/>
                <v:line id="Line 521" o:spid="_x0000_s1028" style="position:absolute;visibility:visible;mso-wrap-style:square" from="0,20" to="3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" strokeweight="2pt"/>
                <w10:anchorlock/>
              </v:group>
            </w:pict>
          </mc:Fallback>
        </mc:AlternateContent>
      </w:r>
    </w:p>
    <w:p w14:paraId="7326BC8C" w14:textId="77777777" w:rsidR="00EF3DFB" w:rsidRDefault="00D27C17">
      <w:pPr>
        <w:tabs>
          <w:tab w:val="left" w:pos="7987"/>
          <w:tab w:val="left" w:pos="9067"/>
          <w:tab w:val="left" w:pos="10004"/>
        </w:tabs>
        <w:spacing w:after="30"/>
        <w:ind w:left="242"/>
        <w:rPr>
          <w:b/>
          <w:sz w:val="16"/>
        </w:rPr>
      </w:pPr>
      <w:r>
        <w:rPr>
          <w:b/>
          <w:position w:val="1"/>
          <w:sz w:val="20"/>
        </w:rPr>
        <w:t>(in</w:t>
      </w:r>
      <w:r>
        <w:rPr>
          <w:b/>
          <w:spacing w:val="-4"/>
          <w:position w:val="1"/>
          <w:sz w:val="20"/>
        </w:rPr>
        <w:t xml:space="preserve"> </w:t>
      </w:r>
      <w:r>
        <w:rPr>
          <w:b/>
          <w:position w:val="1"/>
          <w:sz w:val="20"/>
        </w:rPr>
        <w:t>millions)</w:t>
      </w:r>
      <w:r>
        <w:rPr>
          <w:b/>
          <w:position w:val="1"/>
          <w:sz w:val="20"/>
        </w:rPr>
        <w:tab/>
      </w:r>
      <w:r>
        <w:rPr>
          <w:b/>
          <w:sz w:val="16"/>
        </w:rPr>
        <w:t>2020</w:t>
      </w:r>
      <w:r>
        <w:rPr>
          <w:b/>
          <w:sz w:val="16"/>
        </w:rPr>
        <w:tab/>
        <w:t>2019</w:t>
      </w:r>
      <w:r>
        <w:rPr>
          <w:b/>
          <w:sz w:val="16"/>
        </w:rPr>
        <w:tab/>
        <w:t>$</w:t>
      </w:r>
      <w:r>
        <w:rPr>
          <w:b/>
          <w:spacing w:val="-1"/>
          <w:sz w:val="16"/>
        </w:rPr>
        <w:t xml:space="preserve"> </w:t>
      </w:r>
      <w:r>
        <w:rPr>
          <w:b/>
          <w:sz w:val="16"/>
        </w:rPr>
        <w:t>Change</w:t>
      </w:r>
    </w:p>
    <w:tbl>
      <w:tblPr>
        <w:tblW w:w="0" w:type="auto"/>
        <w:tblInd w:w="190" w:type="dxa"/>
        <w:tblLayout w:type="fixed"/>
        <w:tblCellMar>
          <w:left w:w="0" w:type="dxa"/>
          <w:right w:w="0" w:type="dxa"/>
        </w:tblCellMar>
        <w:tblLook w:val="01E0" w:firstRow="1" w:lastRow="1" w:firstColumn="1" w:lastColumn="1" w:noHBand="0" w:noVBand="0"/>
      </w:tblPr>
      <w:tblGrid>
        <w:gridCol w:w="7359"/>
        <w:gridCol w:w="1124"/>
        <w:gridCol w:w="1080"/>
        <w:gridCol w:w="1057"/>
      </w:tblGrid>
      <w:tr w:rsidR="00EF3DFB" w14:paraId="7326BC91" w14:textId="77777777">
        <w:trPr>
          <w:trHeight w:val="290"/>
        </w:trPr>
        <w:tc>
          <w:tcPr>
            <w:tcW w:w="7359" w:type="dxa"/>
            <w:shd w:val="clear" w:color="auto" w:fill="CCEDFF"/>
          </w:tcPr>
          <w:p w14:paraId="7326BC8D" w14:textId="77777777" w:rsidR="00EF3DFB" w:rsidRDefault="00D27C17">
            <w:pPr>
              <w:pStyle w:val="TableParagraph"/>
              <w:spacing w:before="30"/>
              <w:ind w:left="52"/>
              <w:rPr>
                <w:sz w:val="20"/>
              </w:rPr>
            </w:pPr>
            <w:r>
              <w:rPr>
                <w:sz w:val="20"/>
              </w:rPr>
              <w:t>Impairment of goodwill and intangible assets (See Footnote 7)</w:t>
            </w:r>
          </w:p>
        </w:tc>
        <w:tc>
          <w:tcPr>
            <w:tcW w:w="1124" w:type="dxa"/>
            <w:tcBorders>
              <w:top w:val="single" w:sz="8" w:space="0" w:color="000000"/>
            </w:tcBorders>
            <w:shd w:val="clear" w:color="auto" w:fill="CCEDFF"/>
          </w:tcPr>
          <w:p w14:paraId="7326BC8E" w14:textId="77777777" w:rsidR="00EF3DFB" w:rsidRDefault="00D27C17">
            <w:pPr>
              <w:pStyle w:val="TableParagraph"/>
              <w:tabs>
                <w:tab w:val="left" w:pos="420"/>
              </w:tabs>
              <w:spacing w:before="30"/>
              <w:ind w:right="102"/>
              <w:jc w:val="right"/>
              <w:rPr>
                <w:sz w:val="20"/>
              </w:rPr>
            </w:pPr>
            <w:r>
              <w:rPr>
                <w:sz w:val="20"/>
              </w:rPr>
              <w:t>$</w:t>
            </w:r>
            <w:r>
              <w:rPr>
                <w:sz w:val="20"/>
              </w:rPr>
              <w:tab/>
              <w:t>1,491</w:t>
            </w:r>
          </w:p>
        </w:tc>
        <w:tc>
          <w:tcPr>
            <w:tcW w:w="1080" w:type="dxa"/>
            <w:tcBorders>
              <w:top w:val="single" w:sz="8" w:space="0" w:color="000000"/>
            </w:tcBorders>
            <w:shd w:val="clear" w:color="auto" w:fill="CCEDFF"/>
          </w:tcPr>
          <w:p w14:paraId="7326BC8F" w14:textId="77777777" w:rsidR="00EF3DFB" w:rsidRDefault="00D27C17">
            <w:pPr>
              <w:pStyle w:val="TableParagraph"/>
              <w:tabs>
                <w:tab w:val="left" w:pos="420"/>
              </w:tabs>
              <w:spacing w:before="30"/>
              <w:ind w:right="102"/>
              <w:jc w:val="right"/>
              <w:rPr>
                <w:sz w:val="20"/>
              </w:rPr>
            </w:pPr>
            <w:r>
              <w:rPr>
                <w:sz w:val="20"/>
              </w:rPr>
              <w:t>$</w:t>
            </w:r>
            <w:r>
              <w:rPr>
                <w:sz w:val="20"/>
              </w:rPr>
              <w:tab/>
              <w:t>1,213</w:t>
            </w:r>
          </w:p>
        </w:tc>
        <w:tc>
          <w:tcPr>
            <w:tcW w:w="1057" w:type="dxa"/>
            <w:tcBorders>
              <w:top w:val="single" w:sz="8" w:space="0" w:color="000000"/>
            </w:tcBorders>
            <w:shd w:val="clear" w:color="auto" w:fill="CCEDFF"/>
          </w:tcPr>
          <w:p w14:paraId="7326BC90" w14:textId="77777777" w:rsidR="00EF3DFB" w:rsidRDefault="00D27C17">
            <w:pPr>
              <w:pStyle w:val="TableParagraph"/>
              <w:tabs>
                <w:tab w:val="left" w:pos="675"/>
              </w:tabs>
              <w:spacing w:before="30"/>
              <w:ind w:left="104"/>
              <w:rPr>
                <w:sz w:val="20"/>
              </w:rPr>
            </w:pPr>
            <w:r>
              <w:rPr>
                <w:sz w:val="20"/>
              </w:rPr>
              <w:t>$</w:t>
            </w:r>
            <w:r>
              <w:rPr>
                <w:sz w:val="20"/>
              </w:rPr>
              <w:tab/>
              <w:t>278</w:t>
            </w:r>
          </w:p>
        </w:tc>
      </w:tr>
      <w:tr w:rsidR="00EF3DFB" w14:paraId="7326BC96" w14:textId="77777777">
        <w:trPr>
          <w:trHeight w:val="300"/>
        </w:trPr>
        <w:tc>
          <w:tcPr>
            <w:tcW w:w="7359" w:type="dxa"/>
          </w:tcPr>
          <w:p w14:paraId="7326BC92" w14:textId="77777777" w:rsidR="00EF3DFB" w:rsidRDefault="00D27C17">
            <w:pPr>
              <w:pStyle w:val="TableParagraph"/>
              <w:spacing w:before="40"/>
              <w:ind w:left="52"/>
              <w:rPr>
                <w:sz w:val="20"/>
              </w:rPr>
            </w:pPr>
            <w:r>
              <w:rPr>
                <w:sz w:val="20"/>
              </w:rPr>
              <w:t>Restructuring and restructuring related (See Footnote 4) (a)</w:t>
            </w:r>
          </w:p>
        </w:tc>
        <w:tc>
          <w:tcPr>
            <w:tcW w:w="1124" w:type="dxa"/>
          </w:tcPr>
          <w:p w14:paraId="7326BC93" w14:textId="77777777" w:rsidR="00EF3DFB" w:rsidRDefault="00D27C17">
            <w:pPr>
              <w:pStyle w:val="TableParagraph"/>
              <w:spacing w:before="40"/>
              <w:ind w:right="102"/>
              <w:jc w:val="right"/>
              <w:rPr>
                <w:sz w:val="20"/>
              </w:rPr>
            </w:pPr>
            <w:r>
              <w:rPr>
                <w:sz w:val="20"/>
              </w:rPr>
              <w:t>44</w:t>
            </w:r>
          </w:p>
        </w:tc>
        <w:tc>
          <w:tcPr>
            <w:tcW w:w="1080" w:type="dxa"/>
          </w:tcPr>
          <w:p w14:paraId="7326BC94" w14:textId="77777777" w:rsidR="00EF3DFB" w:rsidRDefault="00D27C17">
            <w:pPr>
              <w:pStyle w:val="TableParagraph"/>
              <w:spacing w:before="40"/>
              <w:ind w:right="102"/>
              <w:jc w:val="right"/>
              <w:rPr>
                <w:sz w:val="20"/>
              </w:rPr>
            </w:pPr>
            <w:r>
              <w:rPr>
                <w:sz w:val="20"/>
              </w:rPr>
              <w:t>82</w:t>
            </w:r>
          </w:p>
        </w:tc>
        <w:tc>
          <w:tcPr>
            <w:tcW w:w="1057" w:type="dxa"/>
          </w:tcPr>
          <w:p w14:paraId="7326BC95" w14:textId="77777777" w:rsidR="00EF3DFB" w:rsidRDefault="00D27C17">
            <w:pPr>
              <w:pStyle w:val="TableParagraph"/>
              <w:spacing w:before="40"/>
              <w:ind w:right="14"/>
              <w:jc w:val="right"/>
              <w:rPr>
                <w:sz w:val="20"/>
              </w:rPr>
            </w:pPr>
            <w:r>
              <w:rPr>
                <w:sz w:val="20"/>
              </w:rPr>
              <w:t>(38)</w:t>
            </w:r>
          </w:p>
        </w:tc>
      </w:tr>
      <w:tr w:rsidR="00EF3DFB" w14:paraId="7326BC9B" w14:textId="77777777">
        <w:trPr>
          <w:trHeight w:val="285"/>
        </w:trPr>
        <w:tc>
          <w:tcPr>
            <w:tcW w:w="7359" w:type="dxa"/>
            <w:shd w:val="clear" w:color="auto" w:fill="CCEDFF"/>
          </w:tcPr>
          <w:p w14:paraId="7326BC97" w14:textId="77777777" w:rsidR="00EF3DFB" w:rsidRDefault="00D27C17">
            <w:pPr>
              <w:pStyle w:val="TableParagraph"/>
              <w:spacing w:before="25"/>
              <w:ind w:left="52"/>
              <w:rPr>
                <w:sz w:val="20"/>
              </w:rPr>
            </w:pPr>
            <w:r>
              <w:rPr>
                <w:sz w:val="20"/>
              </w:rPr>
              <w:t>Held for sale depreciation and amortization catch-up adjustments (See Footnotes 6 and 7)</w:t>
            </w:r>
          </w:p>
        </w:tc>
        <w:tc>
          <w:tcPr>
            <w:tcW w:w="1124" w:type="dxa"/>
            <w:shd w:val="clear" w:color="auto" w:fill="CCEDFF"/>
          </w:tcPr>
          <w:p w14:paraId="7326BC98" w14:textId="77777777" w:rsidR="00EF3DFB" w:rsidRDefault="00D27C17">
            <w:pPr>
              <w:pStyle w:val="TableParagraph"/>
              <w:spacing w:before="25"/>
              <w:ind w:right="102"/>
              <w:jc w:val="right"/>
              <w:rPr>
                <w:sz w:val="20"/>
              </w:rPr>
            </w:pPr>
            <w:r>
              <w:rPr>
                <w:sz w:val="20"/>
              </w:rPr>
              <w:t>—</w:t>
            </w:r>
          </w:p>
        </w:tc>
        <w:tc>
          <w:tcPr>
            <w:tcW w:w="1080" w:type="dxa"/>
            <w:shd w:val="clear" w:color="auto" w:fill="CCEDFF"/>
          </w:tcPr>
          <w:p w14:paraId="7326BC99" w14:textId="77777777" w:rsidR="00EF3DFB" w:rsidRDefault="00D27C17">
            <w:pPr>
              <w:pStyle w:val="TableParagraph"/>
              <w:spacing w:before="25"/>
              <w:ind w:right="102"/>
              <w:jc w:val="right"/>
              <w:rPr>
                <w:sz w:val="20"/>
              </w:rPr>
            </w:pPr>
            <w:r>
              <w:rPr>
                <w:sz w:val="20"/>
              </w:rPr>
              <w:t>57</w:t>
            </w:r>
          </w:p>
        </w:tc>
        <w:tc>
          <w:tcPr>
            <w:tcW w:w="1057" w:type="dxa"/>
            <w:shd w:val="clear" w:color="auto" w:fill="CCEDFF"/>
          </w:tcPr>
          <w:p w14:paraId="7326BC9A" w14:textId="77777777" w:rsidR="00EF3DFB" w:rsidRDefault="00D27C17">
            <w:pPr>
              <w:pStyle w:val="TableParagraph"/>
              <w:spacing w:before="25"/>
              <w:ind w:right="14"/>
              <w:jc w:val="right"/>
              <w:rPr>
                <w:sz w:val="20"/>
              </w:rPr>
            </w:pPr>
            <w:r>
              <w:rPr>
                <w:sz w:val="20"/>
              </w:rPr>
              <w:t>(57)</w:t>
            </w:r>
          </w:p>
        </w:tc>
      </w:tr>
      <w:tr w:rsidR="00EF3DFB" w14:paraId="7326BCA0" w14:textId="77777777">
        <w:trPr>
          <w:trHeight w:val="300"/>
        </w:trPr>
        <w:tc>
          <w:tcPr>
            <w:tcW w:w="7359" w:type="dxa"/>
          </w:tcPr>
          <w:p w14:paraId="7326BC9C" w14:textId="77777777" w:rsidR="00EF3DFB" w:rsidRDefault="00D27C17">
            <w:pPr>
              <w:pStyle w:val="TableParagraph"/>
              <w:spacing w:before="40"/>
              <w:ind w:left="52"/>
              <w:rPr>
                <w:sz w:val="20"/>
              </w:rPr>
            </w:pPr>
            <w:r>
              <w:rPr>
                <w:sz w:val="20"/>
              </w:rPr>
              <w:t>Product recall costs (See Footnote 18)</w:t>
            </w:r>
          </w:p>
        </w:tc>
        <w:tc>
          <w:tcPr>
            <w:tcW w:w="1124" w:type="dxa"/>
          </w:tcPr>
          <w:p w14:paraId="7326BC9D" w14:textId="77777777" w:rsidR="00EF3DFB" w:rsidRDefault="00D27C17">
            <w:pPr>
              <w:pStyle w:val="TableParagraph"/>
              <w:spacing w:before="40"/>
              <w:ind w:right="102"/>
              <w:jc w:val="right"/>
              <w:rPr>
                <w:sz w:val="20"/>
              </w:rPr>
            </w:pPr>
            <w:r>
              <w:rPr>
                <w:sz w:val="20"/>
              </w:rPr>
              <w:t>2</w:t>
            </w:r>
          </w:p>
        </w:tc>
        <w:tc>
          <w:tcPr>
            <w:tcW w:w="1080" w:type="dxa"/>
          </w:tcPr>
          <w:p w14:paraId="7326BC9E" w14:textId="77777777" w:rsidR="00EF3DFB" w:rsidRDefault="00D27C17">
            <w:pPr>
              <w:pStyle w:val="TableParagraph"/>
              <w:spacing w:before="40"/>
              <w:ind w:right="102"/>
              <w:jc w:val="right"/>
              <w:rPr>
                <w:sz w:val="20"/>
              </w:rPr>
            </w:pPr>
            <w:r>
              <w:rPr>
                <w:sz w:val="20"/>
              </w:rPr>
              <w:t>20</w:t>
            </w:r>
          </w:p>
        </w:tc>
        <w:tc>
          <w:tcPr>
            <w:tcW w:w="1057" w:type="dxa"/>
          </w:tcPr>
          <w:p w14:paraId="7326BC9F" w14:textId="77777777" w:rsidR="00EF3DFB" w:rsidRDefault="00D27C17">
            <w:pPr>
              <w:pStyle w:val="TableParagraph"/>
              <w:spacing w:before="40"/>
              <w:ind w:right="14"/>
              <w:jc w:val="right"/>
              <w:rPr>
                <w:sz w:val="20"/>
              </w:rPr>
            </w:pPr>
            <w:r>
              <w:rPr>
                <w:sz w:val="20"/>
              </w:rPr>
              <w:t>(18)</w:t>
            </w:r>
          </w:p>
        </w:tc>
      </w:tr>
      <w:tr w:rsidR="00EF3DFB" w14:paraId="7326BCA5" w14:textId="77777777">
        <w:trPr>
          <w:trHeight w:val="300"/>
        </w:trPr>
        <w:tc>
          <w:tcPr>
            <w:tcW w:w="7359" w:type="dxa"/>
            <w:shd w:val="clear" w:color="auto" w:fill="CCEDFF"/>
          </w:tcPr>
          <w:p w14:paraId="7326BCA1" w14:textId="77777777" w:rsidR="00EF3DFB" w:rsidRDefault="00D27C17">
            <w:pPr>
              <w:pStyle w:val="TableParagraph"/>
              <w:spacing w:before="40"/>
              <w:ind w:left="52"/>
              <w:rPr>
                <w:sz w:val="20"/>
              </w:rPr>
            </w:pPr>
            <w:r>
              <w:rPr>
                <w:sz w:val="20"/>
              </w:rPr>
              <w:t>Transactions and related costs</w:t>
            </w:r>
          </w:p>
        </w:tc>
        <w:tc>
          <w:tcPr>
            <w:tcW w:w="1124" w:type="dxa"/>
            <w:shd w:val="clear" w:color="auto" w:fill="CCEDFF"/>
          </w:tcPr>
          <w:p w14:paraId="7326BCA2" w14:textId="77777777" w:rsidR="00EF3DFB" w:rsidRDefault="00D27C17">
            <w:pPr>
              <w:pStyle w:val="TableParagraph"/>
              <w:spacing w:before="40"/>
              <w:ind w:right="102"/>
              <w:jc w:val="right"/>
              <w:rPr>
                <w:sz w:val="20"/>
              </w:rPr>
            </w:pPr>
            <w:r>
              <w:rPr>
                <w:sz w:val="20"/>
              </w:rPr>
              <w:t>4</w:t>
            </w:r>
          </w:p>
        </w:tc>
        <w:tc>
          <w:tcPr>
            <w:tcW w:w="1080" w:type="dxa"/>
            <w:shd w:val="clear" w:color="auto" w:fill="CCEDFF"/>
          </w:tcPr>
          <w:p w14:paraId="7326BCA3" w14:textId="77777777" w:rsidR="00EF3DFB" w:rsidRDefault="00D27C17">
            <w:pPr>
              <w:pStyle w:val="TableParagraph"/>
              <w:spacing w:before="40"/>
              <w:ind w:right="102"/>
              <w:jc w:val="right"/>
              <w:rPr>
                <w:sz w:val="20"/>
              </w:rPr>
            </w:pPr>
            <w:r>
              <w:rPr>
                <w:sz w:val="20"/>
              </w:rPr>
              <w:t>30</w:t>
            </w:r>
          </w:p>
        </w:tc>
        <w:tc>
          <w:tcPr>
            <w:tcW w:w="1057" w:type="dxa"/>
            <w:shd w:val="clear" w:color="auto" w:fill="CCEDFF"/>
          </w:tcPr>
          <w:p w14:paraId="7326BCA4" w14:textId="77777777" w:rsidR="00EF3DFB" w:rsidRDefault="00D27C17">
            <w:pPr>
              <w:pStyle w:val="TableParagraph"/>
              <w:spacing w:before="40"/>
              <w:ind w:right="14"/>
              <w:jc w:val="right"/>
              <w:rPr>
                <w:sz w:val="20"/>
              </w:rPr>
            </w:pPr>
            <w:r>
              <w:rPr>
                <w:sz w:val="20"/>
              </w:rPr>
              <w:t>(26)</w:t>
            </w:r>
          </w:p>
        </w:tc>
      </w:tr>
    </w:tbl>
    <w:p w14:paraId="7326BCA6" w14:textId="77777777" w:rsidR="00EF3DFB" w:rsidRDefault="00EF3DFB">
      <w:pPr>
        <w:pStyle w:val="BodyText"/>
        <w:spacing w:before="2"/>
        <w:rPr>
          <w:b/>
          <w:sz w:val="26"/>
        </w:rPr>
      </w:pPr>
    </w:p>
    <w:p w14:paraId="7326BCA7" w14:textId="77777777" w:rsidR="00EF3DFB" w:rsidRDefault="00D27C17">
      <w:pPr>
        <w:spacing w:line="249" w:lineRule="auto"/>
        <w:ind w:left="730" w:right="170" w:hanging="540"/>
        <w:jc w:val="both"/>
        <w:rPr>
          <w:sz w:val="16"/>
        </w:rPr>
      </w:pPr>
      <w:r>
        <w:rPr>
          <w:sz w:val="16"/>
        </w:rPr>
        <w:t>(a) Restructuring-related costs reported in cost of products sold and selling, general and administrative expenses (“SG&amp;A”) for 2020 were $4 million and $19 million, respectively, and primarily relate to facility closures. Restructuring-related costs repor</w:t>
      </w:r>
      <w:r>
        <w:rPr>
          <w:sz w:val="16"/>
        </w:rPr>
        <w:t>ted in cost of products sold and SG&amp;A for 2019 were $16 million and $39 million, respectively, and primarily relate to accelerated depreciation associated with restructuring</w:t>
      </w:r>
      <w:r>
        <w:rPr>
          <w:spacing w:val="-4"/>
          <w:sz w:val="16"/>
        </w:rPr>
        <w:t xml:space="preserve"> </w:t>
      </w:r>
      <w:r>
        <w:rPr>
          <w:sz w:val="16"/>
        </w:rPr>
        <w:t>activities.</w:t>
      </w:r>
    </w:p>
    <w:p w14:paraId="7326BCA8" w14:textId="77777777" w:rsidR="00EF3DFB" w:rsidRDefault="00EF3DFB">
      <w:pPr>
        <w:pStyle w:val="BodyText"/>
        <w:rPr>
          <w:sz w:val="16"/>
        </w:rPr>
      </w:pPr>
    </w:p>
    <w:p w14:paraId="7326BCA9" w14:textId="77777777" w:rsidR="00EF3DFB" w:rsidRDefault="00D27C17">
      <w:pPr>
        <w:pStyle w:val="BodyText"/>
        <w:spacing w:before="1" w:line="249" w:lineRule="auto"/>
        <w:ind w:left="190" w:right="167"/>
        <w:jc w:val="both"/>
      </w:pPr>
      <w:r>
        <w:t xml:space="preserve">Operating loss increased to $634 million in 2020 as compared to $482 </w:t>
      </w:r>
      <w:r>
        <w:t>million in 2019. Operating loss included non-cash impairment charges of goodwill and certain indefinite-lived intangible assets of $1.5 billion recorded in 2020 as compared to $1.2 billion of non-cash impairment charges of goodwill and certain indefinite-l</w:t>
      </w:r>
      <w:r>
        <w:t>ived intangible assets recorded in 2019, which included non-cash impairment charges of goodwill for businesses previously classified as held for sale. This performance was partially offset by productivity improvement from various initiatives, lower restruc</w:t>
      </w:r>
      <w:r>
        <w:t>turing and restructuring-related charges, lower overhead costs and discretionary spending, including advertising and promotional costs, cumulative depreciation expense recorded during the prior year, as a result of the Company’s decision to retain the Comm</w:t>
      </w:r>
      <w:r>
        <w:t xml:space="preserve">ercial Business, lower transaction and related costs associated with the completion of the Accelerated Transformation Plan (“ATP”) in the prior year and lower costs associated with a 2019 product recall in the Outdoor and Recreation segment. See </w:t>
      </w:r>
      <w:r>
        <w:rPr>
          <w:i/>
        </w:rPr>
        <w:t xml:space="preserve">Footnotes </w:t>
      </w:r>
      <w:r>
        <w:rPr>
          <w:i/>
        </w:rPr>
        <w:t xml:space="preserve">7 and 18 of the Notes to Consolidated Financial Statements </w:t>
      </w:r>
      <w:r>
        <w:t>for further information.</w:t>
      </w:r>
    </w:p>
    <w:p w14:paraId="7326BCAA" w14:textId="77777777" w:rsidR="00EF3DFB" w:rsidRDefault="00EF3DFB">
      <w:pPr>
        <w:pStyle w:val="BodyText"/>
        <w:spacing w:before="6"/>
        <w:rPr>
          <w:sz w:val="21"/>
        </w:rPr>
      </w:pPr>
    </w:p>
    <w:p w14:paraId="7326BCAB" w14:textId="77777777" w:rsidR="00EF3DFB" w:rsidRDefault="00D27C17">
      <w:pPr>
        <w:pStyle w:val="BodyText"/>
        <w:spacing w:line="249" w:lineRule="auto"/>
        <w:ind w:left="190" w:right="170"/>
        <w:jc w:val="both"/>
      </w:pPr>
      <w:r>
        <w:t xml:space="preserve">Interest expense, net for 2020 decreased primarily due to lower debt levels, slightly offset by the higher rate as a result of previously disclosed debt ratings downgrades. See </w:t>
      </w:r>
      <w:r>
        <w:rPr>
          <w:i/>
        </w:rPr>
        <w:t xml:space="preserve">Footnote 9 of the Notes to Consolidated Financial Statements </w:t>
      </w:r>
      <w:r>
        <w:t>for further inform</w:t>
      </w:r>
      <w:r>
        <w:t>ation. The weighted average interest rate for 2020 and 2019 was approximately 4.6% and 4.4%, respectively.</w:t>
      </w:r>
    </w:p>
    <w:p w14:paraId="7326BCAC" w14:textId="77777777" w:rsidR="00EF3DFB" w:rsidRDefault="00EF3DFB">
      <w:pPr>
        <w:pStyle w:val="BodyText"/>
        <w:spacing w:before="1"/>
        <w:rPr>
          <w:sz w:val="21"/>
        </w:rPr>
      </w:pPr>
    </w:p>
    <w:p w14:paraId="7326BCAD" w14:textId="77777777" w:rsidR="00EF3DFB" w:rsidRDefault="00D27C17">
      <w:pPr>
        <w:spacing w:line="249" w:lineRule="auto"/>
        <w:ind w:left="190" w:right="168"/>
        <w:jc w:val="both"/>
        <w:rPr>
          <w:sz w:val="20"/>
        </w:rPr>
      </w:pPr>
      <w:r>
        <w:rPr>
          <w:sz w:val="20"/>
        </w:rPr>
        <w:t>The</w:t>
      </w:r>
      <w:r>
        <w:rPr>
          <w:spacing w:val="-2"/>
          <w:sz w:val="20"/>
        </w:rPr>
        <w:t xml:space="preserve"> </w:t>
      </w:r>
      <w:r>
        <w:rPr>
          <w:sz w:val="20"/>
        </w:rPr>
        <w:t>loss</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extinguishment</w:t>
      </w:r>
      <w:r>
        <w:rPr>
          <w:spacing w:val="-2"/>
          <w:sz w:val="20"/>
        </w:rPr>
        <w:t xml:space="preserve"> </w:t>
      </w:r>
      <w:r>
        <w:rPr>
          <w:sz w:val="20"/>
        </w:rPr>
        <w:t>of</w:t>
      </w:r>
      <w:r>
        <w:rPr>
          <w:spacing w:val="-2"/>
          <w:sz w:val="20"/>
        </w:rPr>
        <w:t xml:space="preserve"> </w:t>
      </w:r>
      <w:r>
        <w:rPr>
          <w:sz w:val="20"/>
        </w:rPr>
        <w:t>debt</w:t>
      </w:r>
      <w:r>
        <w:rPr>
          <w:spacing w:val="-2"/>
          <w:sz w:val="20"/>
        </w:rPr>
        <w:t xml:space="preserve"> </w:t>
      </w:r>
      <w:r>
        <w:rPr>
          <w:sz w:val="20"/>
        </w:rPr>
        <w:t>of</w:t>
      </w:r>
      <w:r>
        <w:rPr>
          <w:spacing w:val="-2"/>
          <w:sz w:val="20"/>
        </w:rPr>
        <w:t xml:space="preserve"> </w:t>
      </w:r>
      <w:r>
        <w:rPr>
          <w:sz w:val="20"/>
        </w:rPr>
        <w:t>$20</w:t>
      </w:r>
      <w:r>
        <w:rPr>
          <w:spacing w:val="-2"/>
          <w:sz w:val="20"/>
        </w:rPr>
        <w:t xml:space="preserve"> </w:t>
      </w:r>
      <w:r>
        <w:rPr>
          <w:sz w:val="20"/>
        </w:rPr>
        <w:t>million</w:t>
      </w:r>
      <w:r>
        <w:rPr>
          <w:spacing w:val="-2"/>
          <w:sz w:val="20"/>
        </w:rPr>
        <w:t xml:space="preserve"> </w:t>
      </w:r>
      <w:r>
        <w:rPr>
          <w:sz w:val="20"/>
        </w:rPr>
        <w:t>and</w:t>
      </w:r>
      <w:r>
        <w:rPr>
          <w:spacing w:val="-2"/>
          <w:sz w:val="20"/>
        </w:rPr>
        <w:t xml:space="preserve"> </w:t>
      </w:r>
      <w:r>
        <w:rPr>
          <w:sz w:val="20"/>
        </w:rPr>
        <w:t>$28</w:t>
      </w:r>
      <w:r>
        <w:rPr>
          <w:spacing w:val="-2"/>
          <w:sz w:val="20"/>
        </w:rPr>
        <w:t xml:space="preserve"> </w:t>
      </w:r>
      <w:r>
        <w:rPr>
          <w:sz w:val="20"/>
        </w:rPr>
        <w:t>million</w:t>
      </w:r>
      <w:r>
        <w:rPr>
          <w:spacing w:val="-2"/>
          <w:sz w:val="20"/>
        </w:rPr>
        <w:t xml:space="preserve"> </w:t>
      </w:r>
      <w:r>
        <w:rPr>
          <w:sz w:val="20"/>
        </w:rPr>
        <w:t>for</w:t>
      </w:r>
      <w:r>
        <w:rPr>
          <w:spacing w:val="-2"/>
          <w:sz w:val="20"/>
        </w:rPr>
        <w:t xml:space="preserve"> </w:t>
      </w:r>
      <w:r>
        <w:rPr>
          <w:sz w:val="20"/>
        </w:rPr>
        <w:t>2020</w:t>
      </w:r>
      <w:r>
        <w:rPr>
          <w:spacing w:val="-2"/>
          <w:sz w:val="20"/>
        </w:rPr>
        <w:t xml:space="preserve"> </w:t>
      </w:r>
      <w:r>
        <w:rPr>
          <w:sz w:val="20"/>
        </w:rPr>
        <w:t>and</w:t>
      </w:r>
      <w:r>
        <w:rPr>
          <w:spacing w:val="-2"/>
          <w:sz w:val="20"/>
        </w:rPr>
        <w:t xml:space="preserve"> </w:t>
      </w:r>
      <w:r>
        <w:rPr>
          <w:sz w:val="20"/>
        </w:rPr>
        <w:t>2019,</w:t>
      </w:r>
      <w:r>
        <w:rPr>
          <w:spacing w:val="-2"/>
          <w:sz w:val="20"/>
        </w:rPr>
        <w:t xml:space="preserve"> </w:t>
      </w:r>
      <w:r>
        <w:rPr>
          <w:sz w:val="20"/>
        </w:rPr>
        <w:t>respectively,</w:t>
      </w:r>
      <w:r>
        <w:rPr>
          <w:spacing w:val="-2"/>
          <w:sz w:val="20"/>
        </w:rPr>
        <w:t xml:space="preserve"> </w:t>
      </w:r>
      <w:r>
        <w:rPr>
          <w:sz w:val="20"/>
        </w:rPr>
        <w:t>are</w:t>
      </w:r>
      <w:r>
        <w:rPr>
          <w:spacing w:val="-2"/>
          <w:sz w:val="20"/>
        </w:rPr>
        <w:t xml:space="preserve"> </w:t>
      </w:r>
      <w:r>
        <w:rPr>
          <w:sz w:val="20"/>
        </w:rPr>
        <w:t>related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 xml:space="preserve">Company’s tender offer of </w:t>
      </w:r>
      <w:r>
        <w:rPr>
          <w:sz w:val="20"/>
        </w:rPr>
        <w:t xml:space="preserve">certain of its senior notes and debt redemptions. See </w:t>
      </w:r>
      <w:r>
        <w:rPr>
          <w:i/>
          <w:sz w:val="20"/>
        </w:rPr>
        <w:t xml:space="preserve">Footnote 9 of the Notes to the Consolidated Financial Statements </w:t>
      </w:r>
      <w:r>
        <w:rPr>
          <w:sz w:val="20"/>
        </w:rPr>
        <w:t>for further</w:t>
      </w:r>
      <w:r>
        <w:rPr>
          <w:spacing w:val="-2"/>
          <w:sz w:val="20"/>
        </w:rPr>
        <w:t xml:space="preserve"> </w:t>
      </w:r>
      <w:r>
        <w:rPr>
          <w:sz w:val="20"/>
        </w:rPr>
        <w:t>information.</w:t>
      </w:r>
    </w:p>
    <w:p w14:paraId="7326BCAE" w14:textId="77777777" w:rsidR="00EF3DFB" w:rsidRDefault="00EF3DFB">
      <w:pPr>
        <w:pStyle w:val="BodyText"/>
        <w:spacing w:before="4"/>
        <w:rPr>
          <w:sz w:val="18"/>
        </w:rPr>
      </w:pPr>
    </w:p>
    <w:p w14:paraId="7326BCAF" w14:textId="77777777" w:rsidR="00EF3DFB" w:rsidRDefault="00EF3DFB">
      <w:pPr>
        <w:rPr>
          <w:sz w:val="18"/>
        </w:rPr>
        <w:sectPr w:rsidR="00EF3DFB">
          <w:footerReference w:type="default" r:id="rId15"/>
          <w:pgSz w:w="12240" w:h="15840"/>
          <w:pgMar w:top="840" w:right="640" w:bottom="480" w:left="620" w:header="0" w:footer="291" w:gutter="0"/>
          <w:pgNumType w:start="30"/>
          <w:cols w:space="720"/>
        </w:sectPr>
      </w:pPr>
    </w:p>
    <w:p w14:paraId="7326BCB0" w14:textId="77777777" w:rsidR="00EF3DFB" w:rsidRDefault="00D27C17">
      <w:pPr>
        <w:pStyle w:val="BodyText"/>
        <w:spacing w:before="92"/>
        <w:ind w:left="190"/>
      </w:pPr>
      <w:r>
        <w:t>Other expense, net, for 2020 and 2019 include the following items:</w:t>
      </w:r>
    </w:p>
    <w:p w14:paraId="7326BCB1" w14:textId="77777777" w:rsidR="00EF3DFB" w:rsidRDefault="00D27C17">
      <w:pPr>
        <w:pStyle w:val="BodyText"/>
        <w:rPr>
          <w:sz w:val="18"/>
        </w:rPr>
      </w:pPr>
      <w:r>
        <w:br w:type="column"/>
      </w:r>
    </w:p>
    <w:p w14:paraId="7326BCB2" w14:textId="77777777" w:rsidR="00EF3DFB" w:rsidRDefault="00EF3DFB">
      <w:pPr>
        <w:pStyle w:val="BodyText"/>
        <w:spacing w:before="6"/>
        <w:rPr>
          <w:sz w:val="22"/>
        </w:rPr>
      </w:pPr>
    </w:p>
    <w:p w14:paraId="7326BCB3" w14:textId="77777777" w:rsidR="00EF3DFB" w:rsidRDefault="00D27C17">
      <w:pPr>
        <w:ind w:left="190"/>
        <w:rPr>
          <w:b/>
          <w:sz w:val="16"/>
        </w:rPr>
      </w:pPr>
      <w:r>
        <w:rPr>
          <w:b/>
          <w:sz w:val="16"/>
        </w:rPr>
        <w:t>Years Ended December 31,</w:t>
      </w:r>
    </w:p>
    <w:p w14:paraId="7326BCB4" w14:textId="77777777" w:rsidR="00EF3DFB" w:rsidRDefault="00EF3DFB">
      <w:pPr>
        <w:rPr>
          <w:sz w:val="16"/>
        </w:rPr>
        <w:sectPr w:rsidR="00EF3DFB">
          <w:type w:val="continuous"/>
          <w:pgSz w:w="12240" w:h="15840"/>
          <w:pgMar w:top="760" w:right="640" w:bottom="280" w:left="620" w:header="720" w:footer="720" w:gutter="0"/>
          <w:cols w:num="2" w:space="720" w:equalWidth="0">
            <w:col w:w="5592" w:space="2496"/>
            <w:col w:w="2892"/>
          </w:cols>
        </w:sectPr>
      </w:pPr>
    </w:p>
    <w:p w14:paraId="7326BCB5" w14:textId="77777777" w:rsidR="00EF3DFB" w:rsidRDefault="00EF3DFB">
      <w:pPr>
        <w:pStyle w:val="BodyText"/>
        <w:spacing w:before="7"/>
        <w:rPr>
          <w:b/>
          <w:sz w:val="2"/>
        </w:rPr>
      </w:pPr>
    </w:p>
    <w:tbl>
      <w:tblPr>
        <w:tblW w:w="0" w:type="auto"/>
        <w:tblInd w:w="190" w:type="dxa"/>
        <w:tblLayout w:type="fixed"/>
        <w:tblCellMar>
          <w:left w:w="0" w:type="dxa"/>
          <w:right w:w="0" w:type="dxa"/>
        </w:tblCellMar>
        <w:tblLook w:val="01E0" w:firstRow="1" w:lastRow="1" w:firstColumn="1" w:lastColumn="1" w:noHBand="0" w:noVBand="0"/>
      </w:tblPr>
      <w:tblGrid>
        <w:gridCol w:w="7335"/>
        <w:gridCol w:w="1143"/>
        <w:gridCol w:w="519"/>
        <w:gridCol w:w="1162"/>
        <w:gridCol w:w="463"/>
      </w:tblGrid>
      <w:tr w:rsidR="00EF3DFB" w14:paraId="7326BCBB" w14:textId="77777777">
        <w:trPr>
          <w:trHeight w:val="277"/>
        </w:trPr>
        <w:tc>
          <w:tcPr>
            <w:tcW w:w="7335" w:type="dxa"/>
          </w:tcPr>
          <w:p w14:paraId="7326BCB6" w14:textId="77777777" w:rsidR="00EF3DFB" w:rsidRDefault="00D27C17">
            <w:pPr>
              <w:pStyle w:val="TableParagraph"/>
              <w:spacing w:before="17"/>
              <w:ind w:left="52"/>
              <w:rPr>
                <w:b/>
                <w:sz w:val="20"/>
              </w:rPr>
            </w:pPr>
            <w:r>
              <w:rPr>
                <w:b/>
                <w:sz w:val="20"/>
              </w:rPr>
              <w:t>(in millions)</w:t>
            </w:r>
          </w:p>
        </w:tc>
        <w:tc>
          <w:tcPr>
            <w:tcW w:w="1143" w:type="dxa"/>
            <w:tcBorders>
              <w:top w:val="single" w:sz="18" w:space="0" w:color="000000"/>
            </w:tcBorders>
          </w:tcPr>
          <w:p w14:paraId="7326BCB7" w14:textId="77777777" w:rsidR="00EF3DFB" w:rsidRDefault="00D27C17">
            <w:pPr>
              <w:pStyle w:val="TableParagraph"/>
              <w:spacing w:before="63"/>
              <w:ind w:left="642"/>
              <w:rPr>
                <w:b/>
                <w:sz w:val="16"/>
              </w:rPr>
            </w:pPr>
            <w:r>
              <w:rPr>
                <w:b/>
                <w:sz w:val="16"/>
              </w:rPr>
              <w:t>2020</w:t>
            </w:r>
          </w:p>
        </w:tc>
        <w:tc>
          <w:tcPr>
            <w:tcW w:w="519" w:type="dxa"/>
            <w:tcBorders>
              <w:top w:val="single" w:sz="18" w:space="0" w:color="000000"/>
            </w:tcBorders>
          </w:tcPr>
          <w:p w14:paraId="7326BCB8" w14:textId="77777777" w:rsidR="00EF3DFB" w:rsidRDefault="00EF3DFB">
            <w:pPr>
              <w:pStyle w:val="TableParagraph"/>
              <w:rPr>
                <w:sz w:val="18"/>
              </w:rPr>
            </w:pPr>
          </w:p>
        </w:tc>
        <w:tc>
          <w:tcPr>
            <w:tcW w:w="1162" w:type="dxa"/>
            <w:tcBorders>
              <w:top w:val="single" w:sz="18" w:space="0" w:color="000000"/>
            </w:tcBorders>
          </w:tcPr>
          <w:p w14:paraId="7326BCB9" w14:textId="77777777" w:rsidR="00EF3DFB" w:rsidRDefault="00D27C17">
            <w:pPr>
              <w:pStyle w:val="TableParagraph"/>
              <w:spacing w:before="63"/>
              <w:ind w:left="660"/>
              <w:rPr>
                <w:b/>
                <w:sz w:val="16"/>
              </w:rPr>
            </w:pPr>
            <w:r>
              <w:rPr>
                <w:b/>
                <w:sz w:val="16"/>
              </w:rPr>
              <w:t>2019</w:t>
            </w:r>
          </w:p>
        </w:tc>
        <w:tc>
          <w:tcPr>
            <w:tcW w:w="463" w:type="dxa"/>
            <w:tcBorders>
              <w:top w:val="single" w:sz="18" w:space="0" w:color="000000"/>
            </w:tcBorders>
          </w:tcPr>
          <w:p w14:paraId="7326BCBA" w14:textId="77777777" w:rsidR="00EF3DFB" w:rsidRDefault="00EF3DFB">
            <w:pPr>
              <w:pStyle w:val="TableParagraph"/>
              <w:rPr>
                <w:sz w:val="18"/>
              </w:rPr>
            </w:pPr>
          </w:p>
        </w:tc>
      </w:tr>
      <w:tr w:rsidR="00EF3DFB" w14:paraId="7326BCC1" w14:textId="77777777">
        <w:trPr>
          <w:trHeight w:val="300"/>
        </w:trPr>
        <w:tc>
          <w:tcPr>
            <w:tcW w:w="7335" w:type="dxa"/>
            <w:shd w:val="clear" w:color="auto" w:fill="CCEDFF"/>
          </w:tcPr>
          <w:p w14:paraId="7326BCBC" w14:textId="77777777" w:rsidR="00EF3DFB" w:rsidRDefault="00D27C17">
            <w:pPr>
              <w:pStyle w:val="TableParagraph"/>
              <w:spacing w:before="40"/>
              <w:ind w:left="52"/>
              <w:rPr>
                <w:sz w:val="20"/>
              </w:rPr>
            </w:pPr>
            <w:r>
              <w:rPr>
                <w:sz w:val="20"/>
              </w:rPr>
              <w:t>Pension settlement and non-service costs, net (See Footnote 11)</w:t>
            </w:r>
          </w:p>
        </w:tc>
        <w:tc>
          <w:tcPr>
            <w:tcW w:w="1143" w:type="dxa"/>
            <w:shd w:val="clear" w:color="auto" w:fill="CCEDFF"/>
          </w:tcPr>
          <w:p w14:paraId="7326BCBD" w14:textId="77777777" w:rsidR="00EF3DFB" w:rsidRDefault="00D27C17">
            <w:pPr>
              <w:pStyle w:val="TableParagraph"/>
              <w:spacing w:before="40"/>
              <w:ind w:left="52"/>
              <w:rPr>
                <w:sz w:val="20"/>
              </w:rPr>
            </w:pPr>
            <w:r>
              <w:rPr>
                <w:sz w:val="20"/>
              </w:rPr>
              <w:t>$</w:t>
            </w:r>
          </w:p>
        </w:tc>
        <w:tc>
          <w:tcPr>
            <w:tcW w:w="519" w:type="dxa"/>
            <w:shd w:val="clear" w:color="auto" w:fill="CCEDFF"/>
          </w:tcPr>
          <w:p w14:paraId="7326BCBE" w14:textId="77777777" w:rsidR="00EF3DFB" w:rsidRDefault="00D27C17">
            <w:pPr>
              <w:pStyle w:val="TableParagraph"/>
              <w:spacing w:before="40"/>
              <w:ind w:left="180"/>
              <w:rPr>
                <w:sz w:val="20"/>
              </w:rPr>
            </w:pPr>
            <w:r>
              <w:rPr>
                <w:sz w:val="20"/>
              </w:rPr>
              <w:t>53</w:t>
            </w:r>
          </w:p>
        </w:tc>
        <w:tc>
          <w:tcPr>
            <w:tcW w:w="1162" w:type="dxa"/>
            <w:shd w:val="clear" w:color="auto" w:fill="CCEDFF"/>
          </w:tcPr>
          <w:p w14:paraId="7326BCBF" w14:textId="77777777" w:rsidR="00EF3DFB" w:rsidRDefault="00D27C17">
            <w:pPr>
              <w:pStyle w:val="TableParagraph"/>
              <w:spacing w:before="40"/>
              <w:ind w:left="70"/>
              <w:rPr>
                <w:sz w:val="20"/>
              </w:rPr>
            </w:pPr>
            <w:r>
              <w:rPr>
                <w:sz w:val="20"/>
              </w:rPr>
              <w:t>$</w:t>
            </w:r>
          </w:p>
        </w:tc>
        <w:tc>
          <w:tcPr>
            <w:tcW w:w="463" w:type="dxa"/>
            <w:shd w:val="clear" w:color="auto" w:fill="CCEDFF"/>
          </w:tcPr>
          <w:p w14:paraId="7326BCC0" w14:textId="77777777" w:rsidR="00EF3DFB" w:rsidRDefault="00D27C17">
            <w:pPr>
              <w:pStyle w:val="TableParagraph"/>
              <w:spacing w:before="40"/>
              <w:ind w:right="81"/>
              <w:jc w:val="right"/>
              <w:rPr>
                <w:sz w:val="20"/>
              </w:rPr>
            </w:pPr>
            <w:r>
              <w:rPr>
                <w:sz w:val="20"/>
              </w:rPr>
              <w:t>1</w:t>
            </w:r>
          </w:p>
        </w:tc>
      </w:tr>
      <w:tr w:rsidR="00EF3DFB" w14:paraId="7326BCC7" w14:textId="77777777">
        <w:trPr>
          <w:trHeight w:val="300"/>
        </w:trPr>
        <w:tc>
          <w:tcPr>
            <w:tcW w:w="7335" w:type="dxa"/>
          </w:tcPr>
          <w:p w14:paraId="7326BCC2" w14:textId="77777777" w:rsidR="00EF3DFB" w:rsidRDefault="00D27C17">
            <w:pPr>
              <w:pStyle w:val="TableParagraph"/>
              <w:spacing w:before="40"/>
              <w:ind w:left="52"/>
              <w:rPr>
                <w:sz w:val="20"/>
              </w:rPr>
            </w:pPr>
            <w:r>
              <w:rPr>
                <w:sz w:val="20"/>
              </w:rPr>
              <w:t>Foreign exchange losses, net (See Footnote 10)</w:t>
            </w:r>
          </w:p>
        </w:tc>
        <w:tc>
          <w:tcPr>
            <w:tcW w:w="1143" w:type="dxa"/>
          </w:tcPr>
          <w:p w14:paraId="7326BCC3" w14:textId="77777777" w:rsidR="00EF3DFB" w:rsidRDefault="00EF3DFB">
            <w:pPr>
              <w:pStyle w:val="TableParagraph"/>
              <w:rPr>
                <w:sz w:val="18"/>
              </w:rPr>
            </w:pPr>
          </w:p>
        </w:tc>
        <w:tc>
          <w:tcPr>
            <w:tcW w:w="519" w:type="dxa"/>
          </w:tcPr>
          <w:p w14:paraId="7326BCC4" w14:textId="77777777" w:rsidR="00EF3DFB" w:rsidRDefault="00D27C17">
            <w:pPr>
              <w:pStyle w:val="TableParagraph"/>
              <w:spacing w:before="40"/>
              <w:ind w:left="180"/>
              <w:rPr>
                <w:sz w:val="20"/>
              </w:rPr>
            </w:pPr>
            <w:r>
              <w:rPr>
                <w:sz w:val="20"/>
              </w:rPr>
              <w:t>17</w:t>
            </w:r>
          </w:p>
        </w:tc>
        <w:tc>
          <w:tcPr>
            <w:tcW w:w="1162" w:type="dxa"/>
          </w:tcPr>
          <w:p w14:paraId="7326BCC5" w14:textId="77777777" w:rsidR="00EF3DFB" w:rsidRDefault="00EF3DFB">
            <w:pPr>
              <w:pStyle w:val="TableParagraph"/>
              <w:rPr>
                <w:sz w:val="18"/>
              </w:rPr>
            </w:pPr>
          </w:p>
        </w:tc>
        <w:tc>
          <w:tcPr>
            <w:tcW w:w="463" w:type="dxa"/>
          </w:tcPr>
          <w:p w14:paraId="7326BCC6" w14:textId="77777777" w:rsidR="00EF3DFB" w:rsidRDefault="00D27C17">
            <w:pPr>
              <w:pStyle w:val="TableParagraph"/>
              <w:spacing w:before="40"/>
              <w:ind w:right="81"/>
              <w:jc w:val="right"/>
              <w:rPr>
                <w:sz w:val="20"/>
              </w:rPr>
            </w:pPr>
            <w:r>
              <w:rPr>
                <w:sz w:val="20"/>
              </w:rPr>
              <w:t>13</w:t>
            </w:r>
          </w:p>
        </w:tc>
      </w:tr>
      <w:tr w:rsidR="00EF3DFB" w14:paraId="7326BCCD" w14:textId="77777777">
        <w:trPr>
          <w:trHeight w:val="300"/>
        </w:trPr>
        <w:tc>
          <w:tcPr>
            <w:tcW w:w="7335" w:type="dxa"/>
            <w:shd w:val="clear" w:color="auto" w:fill="CCEDFF"/>
          </w:tcPr>
          <w:p w14:paraId="7326BCC8" w14:textId="77777777" w:rsidR="00EF3DFB" w:rsidRDefault="00D27C17">
            <w:pPr>
              <w:pStyle w:val="TableParagraph"/>
              <w:spacing w:before="40"/>
              <w:ind w:left="52"/>
              <w:rPr>
                <w:sz w:val="20"/>
              </w:rPr>
            </w:pPr>
            <w:r>
              <w:rPr>
                <w:sz w:val="20"/>
              </w:rPr>
              <w:t>Fair value equity adjustments (See Footnote 16)</w:t>
            </w:r>
          </w:p>
        </w:tc>
        <w:tc>
          <w:tcPr>
            <w:tcW w:w="1143" w:type="dxa"/>
            <w:shd w:val="clear" w:color="auto" w:fill="CCEDFF"/>
          </w:tcPr>
          <w:p w14:paraId="7326BCC9" w14:textId="77777777" w:rsidR="00EF3DFB" w:rsidRDefault="00EF3DFB">
            <w:pPr>
              <w:pStyle w:val="TableParagraph"/>
              <w:rPr>
                <w:sz w:val="18"/>
              </w:rPr>
            </w:pPr>
          </w:p>
        </w:tc>
        <w:tc>
          <w:tcPr>
            <w:tcW w:w="519" w:type="dxa"/>
            <w:shd w:val="clear" w:color="auto" w:fill="CCEDFF"/>
          </w:tcPr>
          <w:p w14:paraId="7326BCCA" w14:textId="77777777" w:rsidR="00EF3DFB" w:rsidRDefault="00D27C17">
            <w:pPr>
              <w:pStyle w:val="TableParagraph"/>
              <w:spacing w:before="40"/>
              <w:ind w:left="180"/>
              <w:rPr>
                <w:sz w:val="20"/>
              </w:rPr>
            </w:pPr>
            <w:r>
              <w:rPr>
                <w:sz w:val="20"/>
              </w:rPr>
              <w:t>—</w:t>
            </w:r>
          </w:p>
        </w:tc>
        <w:tc>
          <w:tcPr>
            <w:tcW w:w="1162" w:type="dxa"/>
            <w:shd w:val="clear" w:color="auto" w:fill="CCEDFF"/>
          </w:tcPr>
          <w:p w14:paraId="7326BCCB" w14:textId="77777777" w:rsidR="00EF3DFB" w:rsidRDefault="00EF3DFB">
            <w:pPr>
              <w:pStyle w:val="TableParagraph"/>
              <w:rPr>
                <w:sz w:val="18"/>
              </w:rPr>
            </w:pPr>
          </w:p>
        </w:tc>
        <w:tc>
          <w:tcPr>
            <w:tcW w:w="463" w:type="dxa"/>
            <w:shd w:val="clear" w:color="auto" w:fill="CCEDFF"/>
          </w:tcPr>
          <w:p w14:paraId="7326BCCC" w14:textId="77777777" w:rsidR="00EF3DFB" w:rsidRDefault="00D27C17">
            <w:pPr>
              <w:pStyle w:val="TableParagraph"/>
              <w:spacing w:before="40"/>
              <w:ind w:right="81"/>
              <w:jc w:val="right"/>
              <w:rPr>
                <w:sz w:val="20"/>
              </w:rPr>
            </w:pPr>
            <w:r>
              <w:rPr>
                <w:sz w:val="20"/>
              </w:rPr>
              <w:t>21</w:t>
            </w:r>
          </w:p>
        </w:tc>
      </w:tr>
      <w:tr w:rsidR="00EF3DFB" w14:paraId="7326BCD3" w14:textId="77777777">
        <w:trPr>
          <w:trHeight w:val="300"/>
        </w:trPr>
        <w:tc>
          <w:tcPr>
            <w:tcW w:w="7335" w:type="dxa"/>
          </w:tcPr>
          <w:p w14:paraId="7326BCCE" w14:textId="77777777" w:rsidR="00EF3DFB" w:rsidRDefault="00D27C17">
            <w:pPr>
              <w:pStyle w:val="TableParagraph"/>
              <w:spacing w:before="40"/>
              <w:ind w:left="52"/>
              <w:rPr>
                <w:sz w:val="20"/>
              </w:rPr>
            </w:pPr>
            <w:r>
              <w:rPr>
                <w:sz w:val="20"/>
              </w:rPr>
              <w:t>Loss on disposition of businesses, net</w:t>
            </w:r>
          </w:p>
        </w:tc>
        <w:tc>
          <w:tcPr>
            <w:tcW w:w="1143" w:type="dxa"/>
          </w:tcPr>
          <w:p w14:paraId="7326BCCF" w14:textId="77777777" w:rsidR="00EF3DFB" w:rsidRDefault="00EF3DFB">
            <w:pPr>
              <w:pStyle w:val="TableParagraph"/>
              <w:rPr>
                <w:sz w:val="18"/>
              </w:rPr>
            </w:pPr>
          </w:p>
        </w:tc>
        <w:tc>
          <w:tcPr>
            <w:tcW w:w="519" w:type="dxa"/>
          </w:tcPr>
          <w:p w14:paraId="7326BCD0" w14:textId="77777777" w:rsidR="00EF3DFB" w:rsidRDefault="00D27C17">
            <w:pPr>
              <w:pStyle w:val="TableParagraph"/>
              <w:spacing w:before="40"/>
              <w:ind w:left="280"/>
              <w:rPr>
                <w:sz w:val="20"/>
              </w:rPr>
            </w:pPr>
            <w:r>
              <w:rPr>
                <w:sz w:val="20"/>
              </w:rPr>
              <w:t>9</w:t>
            </w:r>
          </w:p>
        </w:tc>
        <w:tc>
          <w:tcPr>
            <w:tcW w:w="1162" w:type="dxa"/>
          </w:tcPr>
          <w:p w14:paraId="7326BCD1" w14:textId="77777777" w:rsidR="00EF3DFB" w:rsidRDefault="00EF3DFB">
            <w:pPr>
              <w:pStyle w:val="TableParagraph"/>
              <w:rPr>
                <w:sz w:val="18"/>
              </w:rPr>
            </w:pPr>
          </w:p>
        </w:tc>
        <w:tc>
          <w:tcPr>
            <w:tcW w:w="463" w:type="dxa"/>
          </w:tcPr>
          <w:p w14:paraId="7326BCD2" w14:textId="77777777" w:rsidR="00EF3DFB" w:rsidRDefault="00D27C17">
            <w:pPr>
              <w:pStyle w:val="TableParagraph"/>
              <w:spacing w:before="40"/>
              <w:ind w:right="81"/>
              <w:jc w:val="right"/>
              <w:rPr>
                <w:sz w:val="20"/>
              </w:rPr>
            </w:pPr>
            <w:r>
              <w:rPr>
                <w:sz w:val="20"/>
              </w:rPr>
              <w:t>—</w:t>
            </w:r>
          </w:p>
        </w:tc>
      </w:tr>
      <w:tr w:rsidR="00EF3DFB" w14:paraId="7326BCD9" w14:textId="77777777">
        <w:trPr>
          <w:trHeight w:val="290"/>
        </w:trPr>
        <w:tc>
          <w:tcPr>
            <w:tcW w:w="7335" w:type="dxa"/>
            <w:shd w:val="clear" w:color="auto" w:fill="CCEDFF"/>
          </w:tcPr>
          <w:p w14:paraId="7326BCD4" w14:textId="77777777" w:rsidR="00EF3DFB" w:rsidRDefault="00D27C17">
            <w:pPr>
              <w:pStyle w:val="TableParagraph"/>
              <w:spacing w:before="40" w:line="230" w:lineRule="exact"/>
              <w:ind w:left="52"/>
              <w:rPr>
                <w:sz w:val="20"/>
              </w:rPr>
            </w:pPr>
            <w:r>
              <w:rPr>
                <w:sz w:val="20"/>
              </w:rPr>
              <w:t>Other</w:t>
            </w:r>
          </w:p>
        </w:tc>
        <w:tc>
          <w:tcPr>
            <w:tcW w:w="1143" w:type="dxa"/>
            <w:tcBorders>
              <w:bottom w:val="single" w:sz="8" w:space="0" w:color="000000"/>
            </w:tcBorders>
            <w:shd w:val="clear" w:color="auto" w:fill="CCEDFF"/>
          </w:tcPr>
          <w:p w14:paraId="7326BCD5" w14:textId="77777777" w:rsidR="00EF3DFB" w:rsidRDefault="00EF3DFB">
            <w:pPr>
              <w:pStyle w:val="TableParagraph"/>
              <w:rPr>
                <w:sz w:val="18"/>
              </w:rPr>
            </w:pPr>
          </w:p>
        </w:tc>
        <w:tc>
          <w:tcPr>
            <w:tcW w:w="519" w:type="dxa"/>
            <w:tcBorders>
              <w:bottom w:val="single" w:sz="8" w:space="0" w:color="000000"/>
            </w:tcBorders>
            <w:shd w:val="clear" w:color="auto" w:fill="CCEDFF"/>
          </w:tcPr>
          <w:p w14:paraId="7326BCD6" w14:textId="77777777" w:rsidR="00EF3DFB" w:rsidRDefault="00D27C17">
            <w:pPr>
              <w:pStyle w:val="TableParagraph"/>
              <w:spacing w:before="40" w:line="230" w:lineRule="exact"/>
              <w:ind w:left="213"/>
              <w:rPr>
                <w:sz w:val="20"/>
              </w:rPr>
            </w:pPr>
            <w:r>
              <w:rPr>
                <w:sz w:val="20"/>
              </w:rPr>
              <w:t>(1)</w:t>
            </w:r>
          </w:p>
        </w:tc>
        <w:tc>
          <w:tcPr>
            <w:tcW w:w="1162" w:type="dxa"/>
            <w:tcBorders>
              <w:bottom w:val="single" w:sz="8" w:space="0" w:color="000000"/>
            </w:tcBorders>
            <w:shd w:val="clear" w:color="auto" w:fill="CCEDFF"/>
          </w:tcPr>
          <w:p w14:paraId="7326BCD7" w14:textId="77777777" w:rsidR="00EF3DFB" w:rsidRDefault="00EF3DFB">
            <w:pPr>
              <w:pStyle w:val="TableParagraph"/>
              <w:rPr>
                <w:sz w:val="18"/>
              </w:rPr>
            </w:pPr>
          </w:p>
        </w:tc>
        <w:tc>
          <w:tcPr>
            <w:tcW w:w="463" w:type="dxa"/>
            <w:tcBorders>
              <w:bottom w:val="single" w:sz="8" w:space="0" w:color="000000"/>
            </w:tcBorders>
            <w:shd w:val="clear" w:color="auto" w:fill="CCEDFF"/>
          </w:tcPr>
          <w:p w14:paraId="7326BCD8" w14:textId="77777777" w:rsidR="00EF3DFB" w:rsidRDefault="00D27C17">
            <w:pPr>
              <w:pStyle w:val="TableParagraph"/>
              <w:spacing w:before="40" w:line="230" w:lineRule="exact"/>
              <w:ind w:right="81"/>
              <w:jc w:val="right"/>
              <w:rPr>
                <w:sz w:val="20"/>
              </w:rPr>
            </w:pPr>
            <w:r>
              <w:rPr>
                <w:sz w:val="20"/>
              </w:rPr>
              <w:t>4</w:t>
            </w:r>
          </w:p>
        </w:tc>
      </w:tr>
    </w:tbl>
    <w:p w14:paraId="7326BCDA" w14:textId="3A991F7A" w:rsidR="00EF3DFB" w:rsidRDefault="00D27C17">
      <w:pPr>
        <w:pStyle w:val="BodyText"/>
        <w:tabs>
          <w:tab w:val="left" w:pos="1270"/>
          <w:tab w:val="left" w:pos="1679"/>
          <w:tab w:val="left" w:pos="2950"/>
        </w:tabs>
        <w:spacing w:before="20"/>
        <w:ind w:right="249"/>
        <w:jc w:val="right"/>
      </w:pPr>
      <w:r>
        <w:rPr>
          <w:noProof/>
        </w:rPr>
        <mc:AlternateContent>
          <mc:Choice Requires="wps">
            <w:drawing>
              <wp:anchor distT="0" distB="0" distL="0" distR="0" simplePos="0" relativeHeight="1528" behindDoc="0" locked="0" layoutInCell="1" allowOverlap="1" wp14:anchorId="7326D6E3" wp14:editId="34FF20C6">
                <wp:simplePos x="0" y="0"/>
                <wp:positionH relativeFrom="page">
                  <wp:posOffset>5172075</wp:posOffset>
                </wp:positionH>
                <wp:positionV relativeFrom="paragraph">
                  <wp:posOffset>190500</wp:posOffset>
                </wp:positionV>
                <wp:extent cx="1019175" cy="0"/>
                <wp:effectExtent l="9525" t="13335" r="9525" b="15240"/>
                <wp:wrapTopAndBottom/>
                <wp:docPr id="53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736C" id="Line 519"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7.2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" strokeweight="1pt">
                <w10:wrap type="topAndBottom" anchorx="page"/>
              </v:line>
            </w:pict>
          </mc:Fallback>
        </mc:AlternateContent>
      </w:r>
      <w:r>
        <w:rPr>
          <w:noProof/>
        </w:rPr>
        <mc:AlternateContent>
          <mc:Choice Requires="wps">
            <w:drawing>
              <wp:anchor distT="0" distB="0" distL="0" distR="0" simplePos="0" relativeHeight="1552" behindDoc="0" locked="0" layoutInCell="1" allowOverlap="1" wp14:anchorId="7326D6E4" wp14:editId="7AF9B80A">
                <wp:simplePos x="0" y="0"/>
                <wp:positionH relativeFrom="page">
                  <wp:posOffset>6238875</wp:posOffset>
                </wp:positionH>
                <wp:positionV relativeFrom="paragraph">
                  <wp:posOffset>190500</wp:posOffset>
                </wp:positionV>
                <wp:extent cx="1019175" cy="0"/>
                <wp:effectExtent l="9525" t="13335" r="9525" b="15240"/>
                <wp:wrapTopAndBottom/>
                <wp:docPr id="535"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10AC" id="Line 518"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1.25pt,15pt" to="5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" strokeweight="1pt">
                <w10:wrap type="topAndBottom" anchorx="page"/>
              </v:line>
            </w:pict>
          </mc:Fallback>
        </mc:AlternateContent>
      </w:r>
      <w:r>
        <w:rPr>
          <w:u w:val="single"/>
        </w:rPr>
        <w:t>$</w:t>
      </w:r>
      <w:r>
        <w:rPr>
          <w:u w:val="single"/>
        </w:rPr>
        <w:tab/>
        <w:t>78</w:t>
      </w:r>
      <w:r>
        <w:tab/>
      </w:r>
      <w:r>
        <w:rPr>
          <w:u w:val="single"/>
        </w:rPr>
        <w:t>$</w:t>
      </w:r>
      <w:r>
        <w:rPr>
          <w:u w:val="single"/>
        </w:rPr>
        <w:tab/>
        <w:t>39</w:t>
      </w:r>
    </w:p>
    <w:p w14:paraId="7326BCDB" w14:textId="77777777" w:rsidR="00EF3DFB" w:rsidRDefault="00EF3DFB">
      <w:pPr>
        <w:pStyle w:val="BodyText"/>
        <w:spacing w:before="3"/>
        <w:rPr>
          <w:sz w:val="12"/>
        </w:rPr>
      </w:pPr>
    </w:p>
    <w:p w14:paraId="7326BCDC" w14:textId="77777777" w:rsidR="00EF3DFB" w:rsidRDefault="00D27C17">
      <w:pPr>
        <w:pStyle w:val="BodyText"/>
        <w:spacing w:before="92" w:line="249" w:lineRule="auto"/>
        <w:ind w:left="190" w:right="169"/>
        <w:jc w:val="both"/>
      </w:pPr>
      <w:r>
        <w:t>Income tax benefit for 2020 was $236 million as compared to $1.0 billion in 2019. The effective tax rate for 2020 was 23.5% as compared to 121.9% in 2019. The income tax benefit for 2020 primarily relates to the impact of goodwill impairment charges, discr</w:t>
      </w:r>
      <w:r>
        <w:t>ete tax benefits associated with the execution of certain tax planning strategies, $53 million for a reduction in valuation allowance related to integration of certain U.S. operations, partially offset by $54 million for a reduction of an uncertain tax pos</w:t>
      </w:r>
      <w:r>
        <w:t>ition due to a statute of limitation expiration, $47 million deferred tax effects associated with certain outside basis differences and tax expense of $27 million related to a change in the tax status of certain entities upon Internal Revenue Service appro</w:t>
      </w:r>
      <w:r>
        <w:t>val. The income tax benefit for 2019 primarily relates to a benefit of $522 million related to the deferred tax effects associated with the internal realignment of certain intellectual property rights, a benefit of $227 million associated with a taxable lo</w:t>
      </w:r>
      <w:r>
        <w:t xml:space="preserve">ss related to the impairment of certain assets and the pre-tax net loss for the year. See </w:t>
      </w:r>
      <w:r>
        <w:rPr>
          <w:i/>
        </w:rPr>
        <w:t xml:space="preserve">Footnote 12 of the Notes to Consolidated Financial Statements </w:t>
      </w:r>
      <w:r>
        <w:t>for information.</w:t>
      </w:r>
    </w:p>
    <w:p w14:paraId="7326BCDD"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105"/>
        <w:gridCol w:w="1151"/>
        <w:gridCol w:w="2384"/>
        <w:gridCol w:w="980"/>
      </w:tblGrid>
      <w:tr w:rsidR="00EF3DFB" w14:paraId="7326BCE8" w14:textId="77777777">
        <w:trPr>
          <w:trHeight w:val="1149"/>
        </w:trPr>
        <w:tc>
          <w:tcPr>
            <w:tcW w:w="6105" w:type="dxa"/>
          </w:tcPr>
          <w:p w14:paraId="7326BCDE" w14:textId="77777777" w:rsidR="00EF3DFB" w:rsidRDefault="00D27C17">
            <w:pPr>
              <w:pStyle w:val="TableParagraph"/>
              <w:spacing w:line="221" w:lineRule="exact"/>
              <w:ind w:left="50"/>
              <w:rPr>
                <w:b/>
                <w:i/>
                <w:sz w:val="20"/>
              </w:rPr>
            </w:pPr>
            <w:r>
              <w:rPr>
                <w:b/>
                <w:i/>
                <w:sz w:val="20"/>
              </w:rPr>
              <w:lastRenderedPageBreak/>
              <w:t>Business Segment Operating Results 2020 vs. 2019</w:t>
            </w:r>
          </w:p>
          <w:p w14:paraId="7326BCDF" w14:textId="77777777" w:rsidR="00EF3DFB" w:rsidRDefault="00EF3DFB">
            <w:pPr>
              <w:pStyle w:val="TableParagraph"/>
              <w:spacing w:before="5"/>
              <w:rPr>
                <w:sz w:val="21"/>
              </w:rPr>
            </w:pPr>
          </w:p>
          <w:p w14:paraId="7326BCE0" w14:textId="77777777" w:rsidR="00EF3DFB" w:rsidRDefault="00D27C17">
            <w:pPr>
              <w:pStyle w:val="TableParagraph"/>
              <w:rPr>
                <w:b/>
                <w:sz w:val="20"/>
              </w:rPr>
            </w:pPr>
            <w:r>
              <w:rPr>
                <w:b/>
                <w:sz w:val="20"/>
              </w:rPr>
              <w:t>Appliances and Cookware</w:t>
            </w:r>
          </w:p>
        </w:tc>
        <w:tc>
          <w:tcPr>
            <w:tcW w:w="1151" w:type="dxa"/>
            <w:tcBorders>
              <w:bottom w:val="single" w:sz="8" w:space="0" w:color="000000"/>
            </w:tcBorders>
          </w:tcPr>
          <w:p w14:paraId="7326BCE1" w14:textId="77777777" w:rsidR="00EF3DFB" w:rsidRDefault="00EF3DFB">
            <w:pPr>
              <w:pStyle w:val="TableParagraph"/>
              <w:rPr>
                <w:sz w:val="18"/>
              </w:rPr>
            </w:pPr>
          </w:p>
        </w:tc>
        <w:tc>
          <w:tcPr>
            <w:tcW w:w="2384" w:type="dxa"/>
            <w:tcBorders>
              <w:bottom w:val="single" w:sz="8" w:space="0" w:color="000000"/>
            </w:tcBorders>
          </w:tcPr>
          <w:p w14:paraId="7326BCE2" w14:textId="77777777" w:rsidR="00EF3DFB" w:rsidRDefault="00EF3DFB">
            <w:pPr>
              <w:pStyle w:val="TableParagraph"/>
              <w:rPr>
                <w:sz w:val="18"/>
              </w:rPr>
            </w:pPr>
          </w:p>
          <w:p w14:paraId="7326BCE3" w14:textId="77777777" w:rsidR="00EF3DFB" w:rsidRDefault="00EF3DFB">
            <w:pPr>
              <w:pStyle w:val="TableParagraph"/>
              <w:rPr>
                <w:sz w:val="18"/>
              </w:rPr>
            </w:pPr>
          </w:p>
          <w:p w14:paraId="7326BCE4" w14:textId="77777777" w:rsidR="00EF3DFB" w:rsidRDefault="00EF3DFB">
            <w:pPr>
              <w:pStyle w:val="TableParagraph"/>
              <w:rPr>
                <w:sz w:val="18"/>
              </w:rPr>
            </w:pPr>
          </w:p>
          <w:p w14:paraId="7326BCE5" w14:textId="77777777" w:rsidR="00EF3DFB" w:rsidRDefault="00EF3DFB">
            <w:pPr>
              <w:pStyle w:val="TableParagraph"/>
              <w:rPr>
                <w:sz w:val="18"/>
              </w:rPr>
            </w:pPr>
          </w:p>
          <w:p w14:paraId="7326BCE6" w14:textId="77777777" w:rsidR="00EF3DFB" w:rsidRDefault="00D27C17">
            <w:pPr>
              <w:pStyle w:val="TableParagraph"/>
              <w:spacing w:before="118" w:line="184" w:lineRule="exact"/>
              <w:ind w:left="198"/>
              <w:rPr>
                <w:b/>
                <w:sz w:val="16"/>
              </w:rPr>
            </w:pPr>
            <w:r>
              <w:rPr>
                <w:b/>
                <w:sz w:val="16"/>
              </w:rPr>
              <w:t>Years Ended December 31,</w:t>
            </w:r>
          </w:p>
        </w:tc>
        <w:tc>
          <w:tcPr>
            <w:tcW w:w="980" w:type="dxa"/>
            <w:tcBorders>
              <w:bottom w:val="single" w:sz="8" w:space="0" w:color="000000"/>
            </w:tcBorders>
          </w:tcPr>
          <w:p w14:paraId="7326BCE7" w14:textId="77777777" w:rsidR="00EF3DFB" w:rsidRDefault="00EF3DFB">
            <w:pPr>
              <w:pStyle w:val="TableParagraph"/>
              <w:rPr>
                <w:sz w:val="18"/>
              </w:rPr>
            </w:pPr>
          </w:p>
        </w:tc>
      </w:tr>
      <w:tr w:rsidR="00EF3DFB" w14:paraId="7326BCED" w14:textId="77777777">
        <w:trPr>
          <w:trHeight w:val="280"/>
        </w:trPr>
        <w:tc>
          <w:tcPr>
            <w:tcW w:w="6105" w:type="dxa"/>
          </w:tcPr>
          <w:p w14:paraId="7326BCE9" w14:textId="77777777" w:rsidR="00EF3DFB" w:rsidRDefault="00D27C17">
            <w:pPr>
              <w:pStyle w:val="TableParagraph"/>
              <w:spacing w:before="30" w:line="230" w:lineRule="exact"/>
              <w:ind w:left="52"/>
              <w:rPr>
                <w:b/>
                <w:sz w:val="20"/>
              </w:rPr>
            </w:pPr>
            <w:r>
              <w:rPr>
                <w:b/>
                <w:sz w:val="20"/>
              </w:rPr>
              <w:t>(in millions)</w:t>
            </w:r>
          </w:p>
        </w:tc>
        <w:tc>
          <w:tcPr>
            <w:tcW w:w="1151" w:type="dxa"/>
            <w:tcBorders>
              <w:top w:val="single" w:sz="8" w:space="0" w:color="000000"/>
              <w:bottom w:val="single" w:sz="8" w:space="0" w:color="000000"/>
            </w:tcBorders>
          </w:tcPr>
          <w:p w14:paraId="7326BCEA" w14:textId="77777777" w:rsidR="00EF3DFB" w:rsidRDefault="00D27C17">
            <w:pPr>
              <w:pStyle w:val="TableParagraph"/>
              <w:spacing w:before="76" w:line="184" w:lineRule="exact"/>
              <w:ind w:left="368" w:right="422"/>
              <w:jc w:val="center"/>
              <w:rPr>
                <w:b/>
                <w:sz w:val="16"/>
              </w:rPr>
            </w:pPr>
            <w:r>
              <w:rPr>
                <w:b/>
                <w:sz w:val="16"/>
              </w:rPr>
              <w:t>2020</w:t>
            </w:r>
          </w:p>
        </w:tc>
        <w:tc>
          <w:tcPr>
            <w:tcW w:w="2384" w:type="dxa"/>
            <w:tcBorders>
              <w:top w:val="single" w:sz="8" w:space="0" w:color="000000"/>
              <w:bottom w:val="single" w:sz="8" w:space="0" w:color="000000"/>
            </w:tcBorders>
          </w:tcPr>
          <w:p w14:paraId="7326BCEB" w14:textId="77777777" w:rsidR="00EF3DFB" w:rsidRDefault="00D27C17">
            <w:pPr>
              <w:pStyle w:val="TableParagraph"/>
              <w:tabs>
                <w:tab w:val="left" w:pos="1414"/>
              </w:tabs>
              <w:spacing w:before="76" w:line="184" w:lineRule="exact"/>
              <w:ind w:left="406"/>
              <w:rPr>
                <w:b/>
                <w:sz w:val="16"/>
              </w:rPr>
            </w:pPr>
            <w:r>
              <w:rPr>
                <w:b/>
                <w:sz w:val="16"/>
              </w:rPr>
              <w:t>2019</w:t>
            </w:r>
            <w:r>
              <w:rPr>
                <w:b/>
                <w:sz w:val="16"/>
              </w:rPr>
              <w:tab/>
              <w:t>$</w:t>
            </w:r>
            <w:r>
              <w:rPr>
                <w:b/>
                <w:spacing w:val="-1"/>
                <w:sz w:val="16"/>
              </w:rPr>
              <w:t xml:space="preserve"> </w:t>
            </w:r>
            <w:r>
              <w:rPr>
                <w:b/>
                <w:sz w:val="16"/>
              </w:rPr>
              <w:t>Change</w:t>
            </w:r>
          </w:p>
        </w:tc>
        <w:tc>
          <w:tcPr>
            <w:tcW w:w="980" w:type="dxa"/>
            <w:tcBorders>
              <w:top w:val="single" w:sz="8" w:space="0" w:color="000000"/>
              <w:bottom w:val="single" w:sz="8" w:space="0" w:color="000000"/>
            </w:tcBorders>
          </w:tcPr>
          <w:p w14:paraId="7326BCEC" w14:textId="77777777" w:rsidR="00EF3DFB" w:rsidRDefault="00D27C17">
            <w:pPr>
              <w:pStyle w:val="TableParagraph"/>
              <w:spacing w:before="76" w:line="184" w:lineRule="exact"/>
              <w:ind w:left="115"/>
              <w:rPr>
                <w:b/>
                <w:sz w:val="16"/>
              </w:rPr>
            </w:pPr>
            <w:r>
              <w:rPr>
                <w:b/>
                <w:sz w:val="16"/>
              </w:rPr>
              <w:t>% Change</w:t>
            </w:r>
          </w:p>
        </w:tc>
      </w:tr>
      <w:tr w:rsidR="00EF3DFB" w14:paraId="7326BCF2" w14:textId="77777777">
        <w:trPr>
          <w:trHeight w:val="290"/>
        </w:trPr>
        <w:tc>
          <w:tcPr>
            <w:tcW w:w="6105" w:type="dxa"/>
            <w:shd w:val="clear" w:color="auto" w:fill="CCEDFF"/>
          </w:tcPr>
          <w:p w14:paraId="7326BCEE" w14:textId="77777777" w:rsidR="00EF3DFB" w:rsidRDefault="00D27C17">
            <w:pPr>
              <w:pStyle w:val="TableParagraph"/>
              <w:spacing w:before="30"/>
              <w:ind w:left="52"/>
              <w:rPr>
                <w:sz w:val="20"/>
              </w:rPr>
            </w:pPr>
            <w:r>
              <w:rPr>
                <w:sz w:val="20"/>
              </w:rPr>
              <w:t>Net sales</w:t>
            </w:r>
          </w:p>
        </w:tc>
        <w:tc>
          <w:tcPr>
            <w:tcW w:w="1151" w:type="dxa"/>
            <w:tcBorders>
              <w:top w:val="single" w:sz="8" w:space="0" w:color="000000"/>
            </w:tcBorders>
            <w:shd w:val="clear" w:color="auto" w:fill="CCEDFF"/>
          </w:tcPr>
          <w:p w14:paraId="7326BCEF" w14:textId="77777777" w:rsidR="00EF3DFB" w:rsidRDefault="00D27C17">
            <w:pPr>
              <w:pStyle w:val="TableParagraph"/>
              <w:tabs>
                <w:tab w:val="left" w:pos="396"/>
              </w:tabs>
              <w:spacing w:before="30"/>
              <w:ind w:left="52"/>
              <w:rPr>
                <w:sz w:val="20"/>
              </w:rPr>
            </w:pPr>
            <w:r>
              <w:rPr>
                <w:sz w:val="20"/>
              </w:rPr>
              <w:t>$</w:t>
            </w:r>
            <w:r>
              <w:rPr>
                <w:sz w:val="20"/>
              </w:rPr>
              <w:tab/>
              <w:t>1,706</w:t>
            </w:r>
          </w:p>
        </w:tc>
        <w:tc>
          <w:tcPr>
            <w:tcW w:w="2384" w:type="dxa"/>
            <w:tcBorders>
              <w:top w:val="single" w:sz="8" w:space="0" w:color="000000"/>
            </w:tcBorders>
            <w:shd w:val="clear" w:color="auto" w:fill="CCEDFF"/>
          </w:tcPr>
          <w:p w14:paraId="7326BCF0" w14:textId="77777777" w:rsidR="00EF3DFB" w:rsidRDefault="00D27C17">
            <w:pPr>
              <w:pStyle w:val="TableParagraph"/>
              <w:tabs>
                <w:tab w:val="left" w:pos="415"/>
                <w:tab w:val="left" w:pos="1241"/>
                <w:tab w:val="left" w:pos="2002"/>
              </w:tabs>
              <w:spacing w:before="30"/>
              <w:ind w:left="71"/>
              <w:rPr>
                <w:sz w:val="20"/>
              </w:rPr>
            </w:pPr>
            <w:r>
              <w:rPr>
                <w:sz w:val="20"/>
              </w:rPr>
              <w:t>$</w:t>
            </w:r>
            <w:r>
              <w:rPr>
                <w:sz w:val="20"/>
              </w:rPr>
              <w:tab/>
              <w:t>1,692</w:t>
            </w:r>
            <w:r>
              <w:rPr>
                <w:sz w:val="20"/>
              </w:rPr>
              <w:tab/>
              <w:t>$</w:t>
            </w:r>
            <w:r>
              <w:rPr>
                <w:sz w:val="20"/>
              </w:rPr>
              <w:tab/>
              <w:t>14</w:t>
            </w:r>
          </w:p>
        </w:tc>
        <w:tc>
          <w:tcPr>
            <w:tcW w:w="980" w:type="dxa"/>
            <w:tcBorders>
              <w:top w:val="single" w:sz="8" w:space="0" w:color="000000"/>
            </w:tcBorders>
            <w:shd w:val="clear" w:color="auto" w:fill="CCEDFF"/>
          </w:tcPr>
          <w:p w14:paraId="7326BCF1" w14:textId="77777777" w:rsidR="00EF3DFB" w:rsidRDefault="00D27C17">
            <w:pPr>
              <w:pStyle w:val="TableParagraph"/>
              <w:spacing w:before="30"/>
              <w:ind w:right="12"/>
              <w:jc w:val="right"/>
              <w:rPr>
                <w:sz w:val="20"/>
              </w:rPr>
            </w:pPr>
            <w:r>
              <w:rPr>
                <w:sz w:val="20"/>
              </w:rPr>
              <w:t>0.8 %</w:t>
            </w:r>
          </w:p>
        </w:tc>
      </w:tr>
      <w:tr w:rsidR="00EF3DFB" w14:paraId="7326BCF7" w14:textId="77777777">
        <w:trPr>
          <w:trHeight w:val="165"/>
        </w:trPr>
        <w:tc>
          <w:tcPr>
            <w:tcW w:w="6105" w:type="dxa"/>
          </w:tcPr>
          <w:p w14:paraId="7326BCF3" w14:textId="77777777" w:rsidR="00EF3DFB" w:rsidRDefault="00EF3DFB">
            <w:pPr>
              <w:pStyle w:val="TableParagraph"/>
              <w:rPr>
                <w:sz w:val="10"/>
              </w:rPr>
            </w:pPr>
          </w:p>
        </w:tc>
        <w:tc>
          <w:tcPr>
            <w:tcW w:w="1151" w:type="dxa"/>
          </w:tcPr>
          <w:p w14:paraId="7326BCF4" w14:textId="77777777" w:rsidR="00EF3DFB" w:rsidRDefault="00EF3DFB">
            <w:pPr>
              <w:pStyle w:val="TableParagraph"/>
              <w:rPr>
                <w:sz w:val="10"/>
              </w:rPr>
            </w:pPr>
          </w:p>
        </w:tc>
        <w:tc>
          <w:tcPr>
            <w:tcW w:w="2384" w:type="dxa"/>
          </w:tcPr>
          <w:p w14:paraId="7326BCF5" w14:textId="77777777" w:rsidR="00EF3DFB" w:rsidRDefault="00EF3DFB">
            <w:pPr>
              <w:pStyle w:val="TableParagraph"/>
              <w:rPr>
                <w:sz w:val="10"/>
              </w:rPr>
            </w:pPr>
          </w:p>
        </w:tc>
        <w:tc>
          <w:tcPr>
            <w:tcW w:w="980" w:type="dxa"/>
          </w:tcPr>
          <w:p w14:paraId="7326BCF6" w14:textId="77777777" w:rsidR="00EF3DFB" w:rsidRDefault="00EF3DFB">
            <w:pPr>
              <w:pStyle w:val="TableParagraph"/>
              <w:rPr>
                <w:sz w:val="10"/>
              </w:rPr>
            </w:pPr>
          </w:p>
        </w:tc>
      </w:tr>
      <w:tr w:rsidR="00EF3DFB" w14:paraId="7326BCFC" w14:textId="77777777">
        <w:trPr>
          <w:trHeight w:val="300"/>
        </w:trPr>
        <w:tc>
          <w:tcPr>
            <w:tcW w:w="6105" w:type="dxa"/>
            <w:shd w:val="clear" w:color="auto" w:fill="CCEDFF"/>
          </w:tcPr>
          <w:p w14:paraId="7326BCF8" w14:textId="77777777" w:rsidR="00EF3DFB" w:rsidRDefault="00D27C17">
            <w:pPr>
              <w:pStyle w:val="TableParagraph"/>
              <w:spacing w:before="40"/>
              <w:ind w:left="52"/>
              <w:rPr>
                <w:sz w:val="20"/>
              </w:rPr>
            </w:pPr>
            <w:r>
              <w:rPr>
                <w:sz w:val="20"/>
              </w:rPr>
              <w:t>Operating loss</w:t>
            </w:r>
          </w:p>
        </w:tc>
        <w:tc>
          <w:tcPr>
            <w:tcW w:w="1151" w:type="dxa"/>
            <w:shd w:val="clear" w:color="auto" w:fill="CCEDFF"/>
          </w:tcPr>
          <w:p w14:paraId="7326BCF9" w14:textId="77777777" w:rsidR="00EF3DFB" w:rsidRDefault="00D27C17">
            <w:pPr>
              <w:pStyle w:val="TableParagraph"/>
              <w:spacing w:before="40"/>
              <w:ind w:left="480"/>
              <w:rPr>
                <w:sz w:val="20"/>
              </w:rPr>
            </w:pPr>
            <w:r>
              <w:rPr>
                <w:sz w:val="20"/>
              </w:rPr>
              <w:t>(217)</w:t>
            </w:r>
          </w:p>
        </w:tc>
        <w:tc>
          <w:tcPr>
            <w:tcW w:w="2384" w:type="dxa"/>
            <w:shd w:val="clear" w:color="auto" w:fill="CCEDFF"/>
          </w:tcPr>
          <w:p w14:paraId="7326BCFA" w14:textId="77777777" w:rsidR="00EF3DFB" w:rsidRDefault="00D27C17">
            <w:pPr>
              <w:pStyle w:val="TableParagraph"/>
              <w:tabs>
                <w:tab w:val="left" w:pos="1902"/>
              </w:tabs>
              <w:spacing w:before="40"/>
              <w:ind w:left="499"/>
              <w:rPr>
                <w:sz w:val="20"/>
              </w:rPr>
            </w:pPr>
            <w:r>
              <w:rPr>
                <w:sz w:val="20"/>
              </w:rPr>
              <w:t>(535)</w:t>
            </w:r>
            <w:r>
              <w:rPr>
                <w:sz w:val="20"/>
              </w:rPr>
              <w:tab/>
              <w:t>318</w:t>
            </w:r>
          </w:p>
        </w:tc>
        <w:tc>
          <w:tcPr>
            <w:tcW w:w="980" w:type="dxa"/>
            <w:shd w:val="clear" w:color="auto" w:fill="CCEDFF"/>
          </w:tcPr>
          <w:p w14:paraId="7326BCFB" w14:textId="77777777" w:rsidR="00EF3DFB" w:rsidRDefault="00D27C17">
            <w:pPr>
              <w:pStyle w:val="TableParagraph"/>
              <w:spacing w:before="40"/>
              <w:ind w:right="12"/>
              <w:jc w:val="right"/>
              <w:rPr>
                <w:sz w:val="20"/>
              </w:rPr>
            </w:pPr>
            <w:r>
              <w:rPr>
                <w:sz w:val="20"/>
              </w:rPr>
              <w:t>59.4 %</w:t>
            </w:r>
          </w:p>
        </w:tc>
      </w:tr>
      <w:tr w:rsidR="00EF3DFB" w14:paraId="7326BD01" w14:textId="77777777">
        <w:trPr>
          <w:trHeight w:val="232"/>
        </w:trPr>
        <w:tc>
          <w:tcPr>
            <w:tcW w:w="6105" w:type="dxa"/>
            <w:tcBorders>
              <w:bottom w:val="single" w:sz="54" w:space="0" w:color="CCEDFF"/>
            </w:tcBorders>
          </w:tcPr>
          <w:p w14:paraId="7326BCFD" w14:textId="77777777" w:rsidR="00EF3DFB" w:rsidRDefault="00D27C17">
            <w:pPr>
              <w:pStyle w:val="TableParagraph"/>
              <w:spacing w:before="40" w:line="172" w:lineRule="exact"/>
              <w:ind w:left="412"/>
              <w:rPr>
                <w:i/>
                <w:sz w:val="20"/>
              </w:rPr>
            </w:pPr>
            <w:r>
              <w:rPr>
                <w:i/>
                <w:sz w:val="20"/>
              </w:rPr>
              <w:t>Operating margin</w:t>
            </w:r>
          </w:p>
        </w:tc>
        <w:tc>
          <w:tcPr>
            <w:tcW w:w="1151" w:type="dxa"/>
            <w:tcBorders>
              <w:bottom w:val="single" w:sz="54" w:space="0" w:color="CCEDFF"/>
            </w:tcBorders>
          </w:tcPr>
          <w:p w14:paraId="7326BCFE" w14:textId="77777777" w:rsidR="00EF3DFB" w:rsidRDefault="00D27C17">
            <w:pPr>
              <w:pStyle w:val="TableParagraph"/>
              <w:spacing w:before="40" w:line="172" w:lineRule="exact"/>
              <w:ind w:left="430"/>
              <w:rPr>
                <w:i/>
                <w:sz w:val="20"/>
              </w:rPr>
            </w:pPr>
            <w:r>
              <w:rPr>
                <w:i/>
                <w:sz w:val="20"/>
              </w:rPr>
              <w:t>(12.7)%</w:t>
            </w:r>
          </w:p>
        </w:tc>
        <w:tc>
          <w:tcPr>
            <w:tcW w:w="2384" w:type="dxa"/>
            <w:tcBorders>
              <w:bottom w:val="single" w:sz="54" w:space="0" w:color="CCEDFF"/>
            </w:tcBorders>
          </w:tcPr>
          <w:p w14:paraId="7326BCFF" w14:textId="77777777" w:rsidR="00EF3DFB" w:rsidRDefault="00D27C17">
            <w:pPr>
              <w:pStyle w:val="TableParagraph"/>
              <w:spacing w:before="40" w:line="172" w:lineRule="exact"/>
              <w:ind w:left="449"/>
              <w:rPr>
                <w:i/>
                <w:sz w:val="20"/>
              </w:rPr>
            </w:pPr>
            <w:r>
              <w:rPr>
                <w:i/>
                <w:sz w:val="20"/>
              </w:rPr>
              <w:t>(31.6)%</w:t>
            </w:r>
          </w:p>
        </w:tc>
        <w:tc>
          <w:tcPr>
            <w:tcW w:w="980" w:type="dxa"/>
            <w:tcBorders>
              <w:bottom w:val="single" w:sz="54" w:space="0" w:color="CCEDFF"/>
            </w:tcBorders>
          </w:tcPr>
          <w:p w14:paraId="7326BD00" w14:textId="77777777" w:rsidR="00EF3DFB" w:rsidRDefault="00EF3DFB">
            <w:pPr>
              <w:pStyle w:val="TableParagraph"/>
              <w:rPr>
                <w:sz w:val="16"/>
              </w:rPr>
            </w:pPr>
          </w:p>
        </w:tc>
      </w:tr>
      <w:tr w:rsidR="00EF3DFB" w14:paraId="7326BD06" w14:textId="77777777">
        <w:trPr>
          <w:trHeight w:val="10"/>
        </w:trPr>
        <w:tc>
          <w:tcPr>
            <w:tcW w:w="6105" w:type="dxa"/>
            <w:tcBorders>
              <w:top w:val="single" w:sz="54" w:space="0" w:color="CCEDFF"/>
              <w:bottom w:val="single" w:sz="54" w:space="0" w:color="CCEDFF"/>
            </w:tcBorders>
          </w:tcPr>
          <w:p w14:paraId="7326BD02" w14:textId="77777777" w:rsidR="00EF3DFB" w:rsidRDefault="00EF3DFB">
            <w:pPr>
              <w:pStyle w:val="TableParagraph"/>
              <w:rPr>
                <w:sz w:val="2"/>
              </w:rPr>
            </w:pPr>
          </w:p>
        </w:tc>
        <w:tc>
          <w:tcPr>
            <w:tcW w:w="1151" w:type="dxa"/>
            <w:tcBorders>
              <w:top w:val="single" w:sz="54" w:space="0" w:color="CCEDFF"/>
              <w:bottom w:val="single" w:sz="54" w:space="0" w:color="CCEDFF"/>
            </w:tcBorders>
          </w:tcPr>
          <w:p w14:paraId="7326BD03" w14:textId="77777777" w:rsidR="00EF3DFB" w:rsidRDefault="00EF3DFB">
            <w:pPr>
              <w:pStyle w:val="TableParagraph"/>
              <w:rPr>
                <w:sz w:val="2"/>
              </w:rPr>
            </w:pPr>
          </w:p>
        </w:tc>
        <w:tc>
          <w:tcPr>
            <w:tcW w:w="2384" w:type="dxa"/>
            <w:tcBorders>
              <w:top w:val="single" w:sz="54" w:space="0" w:color="CCEDFF"/>
              <w:bottom w:val="single" w:sz="54" w:space="0" w:color="CCEDFF"/>
            </w:tcBorders>
          </w:tcPr>
          <w:p w14:paraId="7326BD04" w14:textId="77777777" w:rsidR="00EF3DFB" w:rsidRDefault="00EF3DFB">
            <w:pPr>
              <w:pStyle w:val="TableParagraph"/>
              <w:rPr>
                <w:sz w:val="2"/>
              </w:rPr>
            </w:pPr>
          </w:p>
        </w:tc>
        <w:tc>
          <w:tcPr>
            <w:tcW w:w="980" w:type="dxa"/>
            <w:tcBorders>
              <w:top w:val="single" w:sz="54" w:space="0" w:color="CCEDFF"/>
              <w:bottom w:val="single" w:sz="54" w:space="0" w:color="CCEDFF"/>
            </w:tcBorders>
          </w:tcPr>
          <w:p w14:paraId="7326BD05" w14:textId="77777777" w:rsidR="00EF3DFB" w:rsidRDefault="00EF3DFB">
            <w:pPr>
              <w:pStyle w:val="TableParagraph"/>
              <w:rPr>
                <w:sz w:val="2"/>
              </w:rPr>
            </w:pPr>
          </w:p>
        </w:tc>
      </w:tr>
      <w:tr w:rsidR="00EF3DFB" w14:paraId="7326BD0B" w14:textId="77777777">
        <w:trPr>
          <w:trHeight w:val="209"/>
        </w:trPr>
        <w:tc>
          <w:tcPr>
            <w:tcW w:w="6105" w:type="dxa"/>
            <w:tcBorders>
              <w:top w:val="single" w:sz="54" w:space="0" w:color="CCEDFF"/>
            </w:tcBorders>
          </w:tcPr>
          <w:p w14:paraId="7326BD07" w14:textId="77777777" w:rsidR="00EF3DFB" w:rsidRDefault="00D27C17">
            <w:pPr>
              <w:pStyle w:val="TableParagraph"/>
              <w:spacing w:line="180" w:lineRule="exact"/>
              <w:ind w:left="52"/>
              <w:rPr>
                <w:b/>
                <w:sz w:val="20"/>
              </w:rPr>
            </w:pPr>
            <w:r>
              <w:rPr>
                <w:b/>
                <w:sz w:val="20"/>
              </w:rPr>
              <w:t>Notable items impacting operating loss comparability:</w:t>
            </w:r>
          </w:p>
        </w:tc>
        <w:tc>
          <w:tcPr>
            <w:tcW w:w="1151" w:type="dxa"/>
            <w:tcBorders>
              <w:top w:val="single" w:sz="54" w:space="0" w:color="CCEDFF"/>
            </w:tcBorders>
          </w:tcPr>
          <w:p w14:paraId="7326BD08" w14:textId="77777777" w:rsidR="00EF3DFB" w:rsidRDefault="00EF3DFB">
            <w:pPr>
              <w:pStyle w:val="TableParagraph"/>
              <w:rPr>
                <w:sz w:val="14"/>
              </w:rPr>
            </w:pPr>
          </w:p>
        </w:tc>
        <w:tc>
          <w:tcPr>
            <w:tcW w:w="2384" w:type="dxa"/>
            <w:tcBorders>
              <w:top w:val="single" w:sz="54" w:space="0" w:color="CCEDFF"/>
            </w:tcBorders>
          </w:tcPr>
          <w:p w14:paraId="7326BD09" w14:textId="77777777" w:rsidR="00EF3DFB" w:rsidRDefault="00EF3DFB">
            <w:pPr>
              <w:pStyle w:val="TableParagraph"/>
              <w:rPr>
                <w:sz w:val="14"/>
              </w:rPr>
            </w:pPr>
          </w:p>
        </w:tc>
        <w:tc>
          <w:tcPr>
            <w:tcW w:w="980" w:type="dxa"/>
            <w:tcBorders>
              <w:top w:val="single" w:sz="54" w:space="0" w:color="CCEDFF"/>
            </w:tcBorders>
          </w:tcPr>
          <w:p w14:paraId="7326BD0A" w14:textId="77777777" w:rsidR="00EF3DFB" w:rsidRDefault="00EF3DFB">
            <w:pPr>
              <w:pStyle w:val="TableParagraph"/>
              <w:rPr>
                <w:sz w:val="14"/>
              </w:rPr>
            </w:pPr>
          </w:p>
        </w:tc>
      </w:tr>
      <w:tr w:rsidR="00EF3DFB" w14:paraId="7326BD10" w14:textId="77777777">
        <w:trPr>
          <w:trHeight w:val="300"/>
        </w:trPr>
        <w:tc>
          <w:tcPr>
            <w:tcW w:w="6105" w:type="dxa"/>
            <w:shd w:val="clear" w:color="auto" w:fill="CCEDFF"/>
          </w:tcPr>
          <w:p w14:paraId="7326BD0C"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BD0D" w14:textId="77777777" w:rsidR="00EF3DFB" w:rsidRDefault="00D27C17">
            <w:pPr>
              <w:pStyle w:val="TableParagraph"/>
              <w:tabs>
                <w:tab w:val="left" w:pos="546"/>
              </w:tabs>
              <w:spacing w:before="40"/>
              <w:ind w:left="52"/>
              <w:rPr>
                <w:sz w:val="20"/>
              </w:rPr>
            </w:pPr>
            <w:r>
              <w:rPr>
                <w:sz w:val="20"/>
              </w:rPr>
              <w:t>$</w:t>
            </w:r>
            <w:r>
              <w:rPr>
                <w:sz w:val="20"/>
              </w:rPr>
              <w:tab/>
              <w:t>299</w:t>
            </w:r>
          </w:p>
        </w:tc>
        <w:tc>
          <w:tcPr>
            <w:tcW w:w="2384" w:type="dxa"/>
            <w:shd w:val="clear" w:color="auto" w:fill="CCEDFF"/>
          </w:tcPr>
          <w:p w14:paraId="7326BD0E" w14:textId="77777777" w:rsidR="00EF3DFB" w:rsidRDefault="00D27C17">
            <w:pPr>
              <w:pStyle w:val="TableParagraph"/>
              <w:tabs>
                <w:tab w:val="left" w:pos="565"/>
                <w:tab w:val="left" w:pos="1241"/>
                <w:tab w:val="left" w:pos="1835"/>
              </w:tabs>
              <w:spacing w:before="40"/>
              <w:ind w:left="71"/>
              <w:rPr>
                <w:sz w:val="20"/>
              </w:rPr>
            </w:pPr>
            <w:r>
              <w:rPr>
                <w:sz w:val="20"/>
              </w:rPr>
              <w:t>$</w:t>
            </w:r>
            <w:r>
              <w:rPr>
                <w:sz w:val="20"/>
              </w:rPr>
              <w:tab/>
              <w:t>600</w:t>
            </w:r>
            <w:r>
              <w:rPr>
                <w:sz w:val="20"/>
              </w:rPr>
              <w:tab/>
              <w:t>$</w:t>
            </w:r>
            <w:r>
              <w:rPr>
                <w:sz w:val="20"/>
              </w:rPr>
              <w:tab/>
              <w:t>(301)</w:t>
            </w:r>
          </w:p>
        </w:tc>
        <w:tc>
          <w:tcPr>
            <w:tcW w:w="980" w:type="dxa"/>
            <w:shd w:val="clear" w:color="auto" w:fill="CCEDFF"/>
          </w:tcPr>
          <w:p w14:paraId="7326BD0F" w14:textId="77777777" w:rsidR="00EF3DFB" w:rsidRDefault="00EF3DFB">
            <w:pPr>
              <w:pStyle w:val="TableParagraph"/>
              <w:rPr>
                <w:sz w:val="18"/>
              </w:rPr>
            </w:pPr>
          </w:p>
        </w:tc>
      </w:tr>
    </w:tbl>
    <w:p w14:paraId="7326BD11" w14:textId="77777777" w:rsidR="00EF3DFB" w:rsidRDefault="00EF3DFB">
      <w:pPr>
        <w:pStyle w:val="BodyText"/>
        <w:spacing w:before="4"/>
        <w:rPr>
          <w:sz w:val="17"/>
        </w:rPr>
      </w:pPr>
    </w:p>
    <w:p w14:paraId="7326BD12" w14:textId="77777777" w:rsidR="00EF3DFB" w:rsidRDefault="00D27C17">
      <w:pPr>
        <w:pStyle w:val="BodyText"/>
        <w:spacing w:before="92" w:line="249" w:lineRule="auto"/>
        <w:ind w:left="190" w:right="168"/>
        <w:jc w:val="both"/>
      </w:pPr>
      <w:r>
        <w:t>Appliances and Cookware net sales for 2020 increased 1%, which reflects strong sales growth driven by category growth at stay at home products including cooking appliances, most notably in Latin America, the U.K. and Australia. This performance was partial</w:t>
      </w:r>
      <w:r>
        <w:t>ly offset by continued loss in domestic market share in North America for certain appliance categories driven by the success of newly launched competitor products. Changes in foreign currency unfavorably impacted net sales by $77 million, or</w:t>
      </w:r>
      <w:r>
        <w:rPr>
          <w:spacing w:val="-27"/>
        </w:rPr>
        <w:t xml:space="preserve"> </w:t>
      </w:r>
      <w:r>
        <w:t>4%.</w:t>
      </w:r>
    </w:p>
    <w:p w14:paraId="7326BD13" w14:textId="77777777" w:rsidR="00EF3DFB" w:rsidRDefault="00EF3DFB">
      <w:pPr>
        <w:pStyle w:val="BodyText"/>
        <w:spacing w:before="2"/>
        <w:rPr>
          <w:sz w:val="21"/>
        </w:rPr>
      </w:pPr>
    </w:p>
    <w:p w14:paraId="7326BD14" w14:textId="389BECC8" w:rsidR="00EF3DFB" w:rsidRDefault="00D27C17">
      <w:pPr>
        <w:pStyle w:val="BodyText"/>
        <w:spacing w:line="249" w:lineRule="auto"/>
        <w:ind w:left="190" w:right="168"/>
        <w:jc w:val="both"/>
      </w:pPr>
      <w:r>
        <w:rPr>
          <w:noProof/>
        </w:rPr>
        <mc:AlternateContent>
          <mc:Choice Requires="wps">
            <w:drawing>
              <wp:anchor distT="0" distB="0" distL="114300" distR="114300" simplePos="0" relativeHeight="1576" behindDoc="0" locked="0" layoutInCell="1" allowOverlap="1" wp14:anchorId="7326D6E5" wp14:editId="299E4A7A">
                <wp:simplePos x="0" y="0"/>
                <wp:positionH relativeFrom="page">
                  <wp:posOffset>514350</wp:posOffset>
                </wp:positionH>
                <wp:positionV relativeFrom="paragraph">
                  <wp:posOffset>765175</wp:posOffset>
                </wp:positionV>
                <wp:extent cx="6743700" cy="2208530"/>
                <wp:effectExtent l="0" t="1270" r="0" b="0"/>
                <wp:wrapNone/>
                <wp:docPr id="534"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45"/>
                              <w:gridCol w:w="1151"/>
                              <w:gridCol w:w="2399"/>
                              <w:gridCol w:w="1025"/>
                            </w:tblGrid>
                            <w:tr w:rsidR="00EF3DFB" w14:paraId="7326D81A" w14:textId="77777777">
                              <w:trPr>
                                <w:trHeight w:val="660"/>
                              </w:trPr>
                              <w:tc>
                                <w:tcPr>
                                  <w:tcW w:w="6045" w:type="dxa"/>
                                </w:tcPr>
                                <w:p w14:paraId="7326D814" w14:textId="77777777" w:rsidR="00EF3DFB" w:rsidRDefault="00D27C17">
                                  <w:pPr>
                                    <w:pStyle w:val="TableParagraph"/>
                                    <w:spacing w:line="221" w:lineRule="exact"/>
                                    <w:rPr>
                                      <w:b/>
                                      <w:sz w:val="20"/>
                                    </w:rPr>
                                  </w:pPr>
                                  <w:r>
                                    <w:rPr>
                                      <w:b/>
                                      <w:sz w:val="20"/>
                                    </w:rPr>
                                    <w:t>Commer</w:t>
                                  </w:r>
                                  <w:r>
                                    <w:rPr>
                                      <w:b/>
                                      <w:sz w:val="20"/>
                                    </w:rPr>
                                    <w:t>cial Solutions</w:t>
                                  </w:r>
                                </w:p>
                              </w:tc>
                              <w:tc>
                                <w:tcPr>
                                  <w:tcW w:w="1151" w:type="dxa"/>
                                  <w:tcBorders>
                                    <w:bottom w:val="single" w:sz="18" w:space="0" w:color="000000"/>
                                  </w:tcBorders>
                                </w:tcPr>
                                <w:p w14:paraId="7326D815" w14:textId="77777777" w:rsidR="00EF3DFB" w:rsidRDefault="00EF3DFB">
                                  <w:pPr>
                                    <w:pStyle w:val="TableParagraph"/>
                                    <w:rPr>
                                      <w:sz w:val="18"/>
                                    </w:rPr>
                                  </w:pPr>
                                </w:p>
                              </w:tc>
                              <w:tc>
                                <w:tcPr>
                                  <w:tcW w:w="2399" w:type="dxa"/>
                                  <w:tcBorders>
                                    <w:bottom w:val="single" w:sz="18" w:space="0" w:color="000000"/>
                                  </w:tcBorders>
                                </w:tcPr>
                                <w:p w14:paraId="7326D816" w14:textId="77777777" w:rsidR="00EF3DFB" w:rsidRDefault="00EF3DFB">
                                  <w:pPr>
                                    <w:pStyle w:val="TableParagraph"/>
                                    <w:rPr>
                                      <w:sz w:val="18"/>
                                    </w:rPr>
                                  </w:pPr>
                                </w:p>
                                <w:p w14:paraId="7326D817" w14:textId="77777777" w:rsidR="00EF3DFB" w:rsidRDefault="00EF3DFB">
                                  <w:pPr>
                                    <w:pStyle w:val="TableParagraph"/>
                                    <w:spacing w:before="9"/>
                                  </w:pPr>
                                </w:p>
                                <w:p w14:paraId="7326D818" w14:textId="77777777" w:rsidR="00EF3DFB" w:rsidRDefault="00D27C17">
                                  <w:pPr>
                                    <w:pStyle w:val="TableParagraph"/>
                                    <w:spacing w:line="171" w:lineRule="exact"/>
                                    <w:ind w:left="228"/>
                                    <w:rPr>
                                      <w:b/>
                                      <w:sz w:val="16"/>
                                    </w:rPr>
                                  </w:pPr>
                                  <w:r>
                                    <w:rPr>
                                      <w:b/>
                                      <w:sz w:val="16"/>
                                    </w:rPr>
                                    <w:t>Years Ended December 31,</w:t>
                                  </w:r>
                                </w:p>
                              </w:tc>
                              <w:tc>
                                <w:tcPr>
                                  <w:tcW w:w="1025" w:type="dxa"/>
                                  <w:tcBorders>
                                    <w:bottom w:val="single" w:sz="18" w:space="0" w:color="000000"/>
                                  </w:tcBorders>
                                </w:tcPr>
                                <w:p w14:paraId="7326D819" w14:textId="77777777" w:rsidR="00EF3DFB" w:rsidRDefault="00EF3DFB">
                                  <w:pPr>
                                    <w:pStyle w:val="TableParagraph"/>
                                    <w:rPr>
                                      <w:sz w:val="18"/>
                                    </w:rPr>
                                  </w:pPr>
                                </w:p>
                              </w:tc>
                            </w:tr>
                            <w:tr w:rsidR="00EF3DFB" w14:paraId="7326D81F" w14:textId="77777777">
                              <w:trPr>
                                <w:trHeight w:val="267"/>
                              </w:trPr>
                              <w:tc>
                                <w:tcPr>
                                  <w:tcW w:w="6045" w:type="dxa"/>
                                </w:tcPr>
                                <w:p w14:paraId="7326D81B" w14:textId="77777777" w:rsidR="00EF3DFB" w:rsidRDefault="00D27C17">
                                  <w:pPr>
                                    <w:pStyle w:val="TableParagraph"/>
                                    <w:spacing w:before="17" w:line="230" w:lineRule="exact"/>
                                    <w:ind w:left="52"/>
                                    <w:rPr>
                                      <w:b/>
                                      <w:sz w:val="20"/>
                                    </w:rPr>
                                  </w:pPr>
                                  <w:r>
                                    <w:rPr>
                                      <w:b/>
                                      <w:sz w:val="20"/>
                                    </w:rPr>
                                    <w:t>(in millions)</w:t>
                                  </w:r>
                                </w:p>
                              </w:tc>
                              <w:tc>
                                <w:tcPr>
                                  <w:tcW w:w="1151" w:type="dxa"/>
                                  <w:tcBorders>
                                    <w:top w:val="single" w:sz="18" w:space="0" w:color="000000"/>
                                    <w:bottom w:val="single" w:sz="8" w:space="0" w:color="000000"/>
                                  </w:tcBorders>
                                </w:tcPr>
                                <w:p w14:paraId="7326D81C" w14:textId="77777777" w:rsidR="00EF3DFB" w:rsidRDefault="00D27C17">
                                  <w:pPr>
                                    <w:pStyle w:val="TableParagraph"/>
                                    <w:spacing w:before="63" w:line="184" w:lineRule="exact"/>
                                    <w:ind w:left="368" w:right="422"/>
                                    <w:jc w:val="center"/>
                                    <w:rPr>
                                      <w:b/>
                                      <w:sz w:val="16"/>
                                    </w:rPr>
                                  </w:pPr>
                                  <w:r>
                                    <w:rPr>
                                      <w:b/>
                                      <w:sz w:val="16"/>
                                    </w:rPr>
                                    <w:t>2020</w:t>
                                  </w:r>
                                </w:p>
                              </w:tc>
                              <w:tc>
                                <w:tcPr>
                                  <w:tcW w:w="2399" w:type="dxa"/>
                                  <w:tcBorders>
                                    <w:top w:val="single" w:sz="18" w:space="0" w:color="000000"/>
                                    <w:bottom w:val="single" w:sz="8" w:space="0" w:color="000000"/>
                                  </w:tcBorders>
                                </w:tcPr>
                                <w:p w14:paraId="7326D81D" w14:textId="77777777" w:rsidR="00EF3DFB" w:rsidRDefault="00D27C17">
                                  <w:pPr>
                                    <w:pStyle w:val="TableParagraph"/>
                                    <w:tabs>
                                      <w:tab w:val="left" w:pos="1414"/>
                                    </w:tabs>
                                    <w:spacing w:before="63" w:line="184" w:lineRule="exact"/>
                                    <w:ind w:left="406"/>
                                    <w:rPr>
                                      <w:b/>
                                      <w:sz w:val="16"/>
                                    </w:rPr>
                                  </w:pPr>
                                  <w:r>
                                    <w:rPr>
                                      <w:b/>
                                      <w:sz w:val="16"/>
                                    </w:rPr>
                                    <w:t>2019</w:t>
                                  </w:r>
                                  <w:r>
                                    <w:rPr>
                                      <w:b/>
                                      <w:sz w:val="16"/>
                                    </w:rPr>
                                    <w:tab/>
                                    <w:t>$</w:t>
                                  </w:r>
                                  <w:r>
                                    <w:rPr>
                                      <w:b/>
                                      <w:spacing w:val="-1"/>
                                      <w:sz w:val="16"/>
                                    </w:rPr>
                                    <w:t xml:space="preserve"> </w:t>
                                  </w:r>
                                  <w:r>
                                    <w:rPr>
                                      <w:b/>
                                      <w:sz w:val="16"/>
                                    </w:rPr>
                                    <w:t>Change</w:t>
                                  </w:r>
                                </w:p>
                              </w:tc>
                              <w:tc>
                                <w:tcPr>
                                  <w:tcW w:w="1025" w:type="dxa"/>
                                  <w:tcBorders>
                                    <w:top w:val="single" w:sz="18" w:space="0" w:color="000000"/>
                                    <w:bottom w:val="single" w:sz="8" w:space="0" w:color="000000"/>
                                  </w:tcBorders>
                                </w:tcPr>
                                <w:p w14:paraId="7326D81E" w14:textId="77777777" w:rsidR="00EF3DFB" w:rsidRDefault="00D27C17">
                                  <w:pPr>
                                    <w:pStyle w:val="TableParagraph"/>
                                    <w:spacing w:before="63" w:line="184" w:lineRule="exact"/>
                                    <w:ind w:left="111" w:right="149"/>
                                    <w:jc w:val="center"/>
                                    <w:rPr>
                                      <w:b/>
                                      <w:sz w:val="16"/>
                                    </w:rPr>
                                  </w:pPr>
                                  <w:r>
                                    <w:rPr>
                                      <w:b/>
                                      <w:sz w:val="16"/>
                                    </w:rPr>
                                    <w:t>% Change</w:t>
                                  </w:r>
                                </w:p>
                              </w:tc>
                            </w:tr>
                            <w:tr w:rsidR="00EF3DFB" w14:paraId="7326D824" w14:textId="77777777">
                              <w:trPr>
                                <w:trHeight w:val="290"/>
                              </w:trPr>
                              <w:tc>
                                <w:tcPr>
                                  <w:tcW w:w="6045" w:type="dxa"/>
                                  <w:shd w:val="clear" w:color="auto" w:fill="CCEDFF"/>
                                </w:tcPr>
                                <w:p w14:paraId="7326D820" w14:textId="77777777" w:rsidR="00EF3DFB" w:rsidRDefault="00D27C17">
                                  <w:pPr>
                                    <w:pStyle w:val="TableParagraph"/>
                                    <w:spacing w:before="12"/>
                                    <w:ind w:left="52"/>
                                    <w:rPr>
                                      <w:sz w:val="20"/>
                                    </w:rPr>
                                  </w:pPr>
                                  <w:r>
                                    <w:rPr>
                                      <w:sz w:val="20"/>
                                    </w:rPr>
                                    <w:t>Net sales</w:t>
                                  </w:r>
                                </w:p>
                              </w:tc>
                              <w:tc>
                                <w:tcPr>
                                  <w:tcW w:w="1151" w:type="dxa"/>
                                  <w:tcBorders>
                                    <w:top w:val="single" w:sz="8" w:space="0" w:color="000000"/>
                                  </w:tcBorders>
                                  <w:shd w:val="clear" w:color="auto" w:fill="CCEDFF"/>
                                </w:tcPr>
                                <w:p w14:paraId="7326D821" w14:textId="77777777" w:rsidR="00EF3DFB" w:rsidRDefault="00D27C17">
                                  <w:pPr>
                                    <w:pStyle w:val="TableParagraph"/>
                                    <w:tabs>
                                      <w:tab w:val="left" w:pos="396"/>
                                    </w:tabs>
                                    <w:spacing w:before="30"/>
                                    <w:ind w:left="52"/>
                                    <w:rPr>
                                      <w:sz w:val="20"/>
                                    </w:rPr>
                                  </w:pPr>
                                  <w:r>
                                    <w:rPr>
                                      <w:sz w:val="20"/>
                                    </w:rPr>
                                    <w:t>$</w:t>
                                  </w:r>
                                  <w:r>
                                    <w:rPr>
                                      <w:sz w:val="20"/>
                                    </w:rPr>
                                    <w:tab/>
                                    <w:t>1,859</w:t>
                                  </w:r>
                                </w:p>
                              </w:tc>
                              <w:tc>
                                <w:tcPr>
                                  <w:tcW w:w="2399" w:type="dxa"/>
                                  <w:tcBorders>
                                    <w:top w:val="single" w:sz="8" w:space="0" w:color="000000"/>
                                  </w:tcBorders>
                                  <w:shd w:val="clear" w:color="auto" w:fill="CCEDFF"/>
                                </w:tcPr>
                                <w:p w14:paraId="7326D822" w14:textId="77777777" w:rsidR="00EF3DFB" w:rsidRDefault="00D27C17">
                                  <w:pPr>
                                    <w:pStyle w:val="TableParagraph"/>
                                    <w:tabs>
                                      <w:tab w:val="left" w:pos="344"/>
                                      <w:tab w:val="left" w:pos="1169"/>
                                      <w:tab w:val="left" w:pos="1930"/>
                                    </w:tabs>
                                    <w:spacing w:before="30"/>
                                    <w:ind w:right="194"/>
                                    <w:jc w:val="right"/>
                                    <w:rPr>
                                      <w:sz w:val="20"/>
                                    </w:rPr>
                                  </w:pPr>
                                  <w:r>
                                    <w:rPr>
                                      <w:sz w:val="20"/>
                                    </w:rPr>
                                    <w:t>$</w:t>
                                  </w:r>
                                  <w:r>
                                    <w:rPr>
                                      <w:sz w:val="20"/>
                                    </w:rPr>
                                    <w:tab/>
                                    <w:t>1,779</w:t>
                                  </w:r>
                                  <w:r>
                                    <w:rPr>
                                      <w:sz w:val="20"/>
                                    </w:rPr>
                                    <w:tab/>
                                    <w:t>$</w:t>
                                  </w:r>
                                  <w:r>
                                    <w:rPr>
                                      <w:sz w:val="20"/>
                                    </w:rPr>
                                    <w:tab/>
                                    <w:t>80</w:t>
                                  </w:r>
                                </w:p>
                              </w:tc>
                              <w:tc>
                                <w:tcPr>
                                  <w:tcW w:w="1025" w:type="dxa"/>
                                  <w:tcBorders>
                                    <w:top w:val="single" w:sz="8" w:space="0" w:color="000000"/>
                                  </w:tcBorders>
                                  <w:shd w:val="clear" w:color="auto" w:fill="CCEDFF"/>
                                </w:tcPr>
                                <w:p w14:paraId="7326D823" w14:textId="77777777" w:rsidR="00EF3DFB" w:rsidRDefault="00D27C17">
                                  <w:pPr>
                                    <w:pStyle w:val="TableParagraph"/>
                                    <w:spacing w:before="12"/>
                                    <w:ind w:left="111" w:right="111"/>
                                    <w:jc w:val="center"/>
                                    <w:rPr>
                                      <w:sz w:val="20"/>
                                    </w:rPr>
                                  </w:pPr>
                                  <w:r>
                                    <w:rPr>
                                      <w:sz w:val="20"/>
                                    </w:rPr>
                                    <w:t>4.5%</w:t>
                                  </w:r>
                                </w:p>
                              </w:tc>
                            </w:tr>
                            <w:tr w:rsidR="00EF3DFB" w14:paraId="7326D829" w14:textId="77777777">
                              <w:trPr>
                                <w:trHeight w:val="300"/>
                              </w:trPr>
                              <w:tc>
                                <w:tcPr>
                                  <w:tcW w:w="6045" w:type="dxa"/>
                                </w:tcPr>
                                <w:p w14:paraId="7326D825" w14:textId="77777777" w:rsidR="00EF3DFB" w:rsidRDefault="00EF3DFB">
                                  <w:pPr>
                                    <w:pStyle w:val="TableParagraph"/>
                                    <w:rPr>
                                      <w:sz w:val="18"/>
                                    </w:rPr>
                                  </w:pPr>
                                </w:p>
                              </w:tc>
                              <w:tc>
                                <w:tcPr>
                                  <w:tcW w:w="1151" w:type="dxa"/>
                                </w:tcPr>
                                <w:p w14:paraId="7326D826" w14:textId="77777777" w:rsidR="00EF3DFB" w:rsidRDefault="00EF3DFB">
                                  <w:pPr>
                                    <w:pStyle w:val="TableParagraph"/>
                                    <w:rPr>
                                      <w:sz w:val="18"/>
                                    </w:rPr>
                                  </w:pPr>
                                </w:p>
                              </w:tc>
                              <w:tc>
                                <w:tcPr>
                                  <w:tcW w:w="2399" w:type="dxa"/>
                                </w:tcPr>
                                <w:p w14:paraId="7326D827" w14:textId="77777777" w:rsidR="00EF3DFB" w:rsidRDefault="00EF3DFB">
                                  <w:pPr>
                                    <w:pStyle w:val="TableParagraph"/>
                                    <w:rPr>
                                      <w:sz w:val="18"/>
                                    </w:rPr>
                                  </w:pPr>
                                </w:p>
                              </w:tc>
                              <w:tc>
                                <w:tcPr>
                                  <w:tcW w:w="1025" w:type="dxa"/>
                                </w:tcPr>
                                <w:p w14:paraId="7326D828" w14:textId="77777777" w:rsidR="00EF3DFB" w:rsidRDefault="00EF3DFB">
                                  <w:pPr>
                                    <w:pStyle w:val="TableParagraph"/>
                                    <w:rPr>
                                      <w:sz w:val="18"/>
                                    </w:rPr>
                                  </w:pPr>
                                </w:p>
                              </w:tc>
                            </w:tr>
                            <w:tr w:rsidR="00EF3DFB" w14:paraId="7326D82E" w14:textId="77777777">
                              <w:trPr>
                                <w:trHeight w:val="300"/>
                              </w:trPr>
                              <w:tc>
                                <w:tcPr>
                                  <w:tcW w:w="6045" w:type="dxa"/>
                                  <w:shd w:val="clear" w:color="auto" w:fill="CCEDFF"/>
                                </w:tcPr>
                                <w:p w14:paraId="7326D82A" w14:textId="77777777" w:rsidR="00EF3DFB" w:rsidRDefault="00D27C17">
                                  <w:pPr>
                                    <w:pStyle w:val="TableParagraph"/>
                                    <w:spacing w:before="22"/>
                                    <w:ind w:left="52"/>
                                    <w:rPr>
                                      <w:sz w:val="20"/>
                                    </w:rPr>
                                  </w:pPr>
                                  <w:r>
                                    <w:rPr>
                                      <w:sz w:val="20"/>
                                    </w:rPr>
                                    <w:t>Operating loss</w:t>
                                  </w:r>
                                </w:p>
                              </w:tc>
                              <w:tc>
                                <w:tcPr>
                                  <w:tcW w:w="1151" w:type="dxa"/>
                                  <w:shd w:val="clear" w:color="auto" w:fill="CCEDFF"/>
                                </w:tcPr>
                                <w:p w14:paraId="7326D82B" w14:textId="77777777" w:rsidR="00EF3DFB" w:rsidRDefault="00D27C17">
                                  <w:pPr>
                                    <w:pStyle w:val="TableParagraph"/>
                                    <w:spacing w:before="40"/>
                                    <w:ind w:left="580"/>
                                    <w:rPr>
                                      <w:sz w:val="20"/>
                                    </w:rPr>
                                  </w:pPr>
                                  <w:r>
                                    <w:rPr>
                                      <w:sz w:val="20"/>
                                    </w:rPr>
                                    <w:t>(85)</w:t>
                                  </w:r>
                                </w:p>
                              </w:tc>
                              <w:tc>
                                <w:tcPr>
                                  <w:tcW w:w="2399" w:type="dxa"/>
                                  <w:shd w:val="clear" w:color="auto" w:fill="CCEDFF"/>
                                </w:tcPr>
                                <w:p w14:paraId="7326D82C" w14:textId="77777777" w:rsidR="00EF3DFB" w:rsidRDefault="00D27C17">
                                  <w:pPr>
                                    <w:pStyle w:val="TableParagraph"/>
                                    <w:tabs>
                                      <w:tab w:val="left" w:pos="1503"/>
                                    </w:tabs>
                                    <w:spacing w:before="40"/>
                                    <w:ind w:right="194"/>
                                    <w:jc w:val="right"/>
                                    <w:rPr>
                                      <w:sz w:val="20"/>
                                    </w:rPr>
                                  </w:pPr>
                                  <w:r>
                                    <w:rPr>
                                      <w:sz w:val="20"/>
                                    </w:rPr>
                                    <w:t>(136)</w:t>
                                  </w:r>
                                  <w:r>
                                    <w:rPr>
                                      <w:sz w:val="20"/>
                                    </w:rPr>
                                    <w:tab/>
                                    <w:t>51</w:t>
                                  </w:r>
                                </w:p>
                              </w:tc>
                              <w:tc>
                                <w:tcPr>
                                  <w:tcW w:w="1025" w:type="dxa"/>
                                  <w:shd w:val="clear" w:color="auto" w:fill="CCEDFF"/>
                                </w:tcPr>
                                <w:p w14:paraId="7326D82D" w14:textId="77777777" w:rsidR="00EF3DFB" w:rsidRDefault="00D27C17">
                                  <w:pPr>
                                    <w:pStyle w:val="TableParagraph"/>
                                    <w:spacing w:before="22"/>
                                    <w:ind w:left="111" w:right="111"/>
                                    <w:jc w:val="center"/>
                                    <w:rPr>
                                      <w:sz w:val="20"/>
                                    </w:rPr>
                                  </w:pPr>
                                  <w:r>
                                    <w:rPr>
                                      <w:sz w:val="20"/>
                                    </w:rPr>
                                    <w:t>37.5%</w:t>
                                  </w:r>
                                </w:p>
                              </w:tc>
                            </w:tr>
                            <w:tr w:rsidR="00EF3DFB" w14:paraId="7326D833" w14:textId="77777777">
                              <w:trPr>
                                <w:trHeight w:val="300"/>
                              </w:trPr>
                              <w:tc>
                                <w:tcPr>
                                  <w:tcW w:w="6045" w:type="dxa"/>
                                </w:tcPr>
                                <w:p w14:paraId="7326D82F" w14:textId="77777777" w:rsidR="00EF3DFB" w:rsidRDefault="00D27C17">
                                  <w:pPr>
                                    <w:pStyle w:val="TableParagraph"/>
                                    <w:spacing w:before="22"/>
                                    <w:ind w:left="412"/>
                                    <w:rPr>
                                      <w:i/>
                                      <w:sz w:val="20"/>
                                    </w:rPr>
                                  </w:pPr>
                                  <w:r>
                                    <w:rPr>
                                      <w:i/>
                                      <w:sz w:val="20"/>
                                    </w:rPr>
                                    <w:t>Operating margin</w:t>
                                  </w:r>
                                </w:p>
                              </w:tc>
                              <w:tc>
                                <w:tcPr>
                                  <w:tcW w:w="1151" w:type="dxa"/>
                                </w:tcPr>
                                <w:p w14:paraId="7326D830" w14:textId="77777777" w:rsidR="00EF3DFB" w:rsidRDefault="00D27C17">
                                  <w:pPr>
                                    <w:pStyle w:val="TableParagraph"/>
                                    <w:spacing w:before="22"/>
                                    <w:ind w:left="530"/>
                                    <w:rPr>
                                      <w:i/>
                                      <w:sz w:val="20"/>
                                    </w:rPr>
                                  </w:pPr>
                                  <w:r>
                                    <w:rPr>
                                      <w:i/>
                                      <w:sz w:val="20"/>
                                    </w:rPr>
                                    <w:t>(4.6)%</w:t>
                                  </w:r>
                                </w:p>
                              </w:tc>
                              <w:tc>
                                <w:tcPr>
                                  <w:tcW w:w="2399" w:type="dxa"/>
                                </w:tcPr>
                                <w:p w14:paraId="7326D831" w14:textId="77777777" w:rsidR="00EF3DFB" w:rsidRDefault="00D27C17">
                                  <w:pPr>
                                    <w:pStyle w:val="TableParagraph"/>
                                    <w:spacing w:before="22"/>
                                    <w:ind w:left="549"/>
                                    <w:rPr>
                                      <w:i/>
                                      <w:sz w:val="20"/>
                                    </w:rPr>
                                  </w:pPr>
                                  <w:r>
                                    <w:rPr>
                                      <w:i/>
                                      <w:sz w:val="20"/>
                                    </w:rPr>
                                    <w:t>(7.6)%</w:t>
                                  </w:r>
                                </w:p>
                              </w:tc>
                              <w:tc>
                                <w:tcPr>
                                  <w:tcW w:w="1025" w:type="dxa"/>
                                </w:tcPr>
                                <w:p w14:paraId="7326D832" w14:textId="77777777" w:rsidR="00EF3DFB" w:rsidRDefault="00EF3DFB">
                                  <w:pPr>
                                    <w:pStyle w:val="TableParagraph"/>
                                    <w:rPr>
                                      <w:sz w:val="18"/>
                                    </w:rPr>
                                  </w:pPr>
                                </w:p>
                              </w:tc>
                            </w:tr>
                            <w:tr w:rsidR="00EF3DFB" w14:paraId="7326D838" w14:textId="77777777">
                              <w:trPr>
                                <w:trHeight w:val="300"/>
                              </w:trPr>
                              <w:tc>
                                <w:tcPr>
                                  <w:tcW w:w="6045" w:type="dxa"/>
                                  <w:shd w:val="clear" w:color="auto" w:fill="CCEDFF"/>
                                </w:tcPr>
                                <w:p w14:paraId="7326D834" w14:textId="77777777" w:rsidR="00EF3DFB" w:rsidRDefault="00EF3DFB">
                                  <w:pPr>
                                    <w:pStyle w:val="TableParagraph"/>
                                    <w:rPr>
                                      <w:sz w:val="18"/>
                                    </w:rPr>
                                  </w:pPr>
                                </w:p>
                              </w:tc>
                              <w:tc>
                                <w:tcPr>
                                  <w:tcW w:w="1151" w:type="dxa"/>
                                  <w:shd w:val="clear" w:color="auto" w:fill="CCEDFF"/>
                                </w:tcPr>
                                <w:p w14:paraId="7326D835" w14:textId="77777777" w:rsidR="00EF3DFB" w:rsidRDefault="00EF3DFB">
                                  <w:pPr>
                                    <w:pStyle w:val="TableParagraph"/>
                                    <w:rPr>
                                      <w:sz w:val="18"/>
                                    </w:rPr>
                                  </w:pPr>
                                </w:p>
                              </w:tc>
                              <w:tc>
                                <w:tcPr>
                                  <w:tcW w:w="2399" w:type="dxa"/>
                                  <w:shd w:val="clear" w:color="auto" w:fill="CCEDFF"/>
                                </w:tcPr>
                                <w:p w14:paraId="7326D836" w14:textId="77777777" w:rsidR="00EF3DFB" w:rsidRDefault="00EF3DFB">
                                  <w:pPr>
                                    <w:pStyle w:val="TableParagraph"/>
                                    <w:rPr>
                                      <w:sz w:val="18"/>
                                    </w:rPr>
                                  </w:pPr>
                                </w:p>
                              </w:tc>
                              <w:tc>
                                <w:tcPr>
                                  <w:tcW w:w="1025" w:type="dxa"/>
                                  <w:shd w:val="clear" w:color="auto" w:fill="CCEDFF"/>
                                </w:tcPr>
                                <w:p w14:paraId="7326D837" w14:textId="77777777" w:rsidR="00EF3DFB" w:rsidRDefault="00EF3DFB">
                                  <w:pPr>
                                    <w:pStyle w:val="TableParagraph"/>
                                    <w:rPr>
                                      <w:sz w:val="18"/>
                                    </w:rPr>
                                  </w:pPr>
                                </w:p>
                              </w:tc>
                            </w:tr>
                            <w:tr w:rsidR="00EF3DFB" w14:paraId="7326D83D" w14:textId="77777777">
                              <w:trPr>
                                <w:trHeight w:val="300"/>
                              </w:trPr>
                              <w:tc>
                                <w:tcPr>
                                  <w:tcW w:w="6045" w:type="dxa"/>
                                </w:tcPr>
                                <w:p w14:paraId="7326D839" w14:textId="77777777" w:rsidR="00EF3DFB" w:rsidRDefault="00D27C17">
                                  <w:pPr>
                                    <w:pStyle w:val="TableParagraph"/>
                                    <w:spacing w:before="40"/>
                                    <w:ind w:left="52"/>
                                    <w:rPr>
                                      <w:b/>
                                      <w:sz w:val="20"/>
                                    </w:rPr>
                                  </w:pPr>
                                  <w:r>
                                    <w:rPr>
                                      <w:b/>
                                      <w:sz w:val="20"/>
                                    </w:rPr>
                                    <w:t>Notable items impacting operating loss comparability:</w:t>
                                  </w:r>
                                </w:p>
                              </w:tc>
                              <w:tc>
                                <w:tcPr>
                                  <w:tcW w:w="1151" w:type="dxa"/>
                                </w:tcPr>
                                <w:p w14:paraId="7326D83A" w14:textId="77777777" w:rsidR="00EF3DFB" w:rsidRDefault="00EF3DFB">
                                  <w:pPr>
                                    <w:pStyle w:val="TableParagraph"/>
                                    <w:rPr>
                                      <w:sz w:val="18"/>
                                    </w:rPr>
                                  </w:pPr>
                                </w:p>
                              </w:tc>
                              <w:tc>
                                <w:tcPr>
                                  <w:tcW w:w="2399" w:type="dxa"/>
                                </w:tcPr>
                                <w:p w14:paraId="7326D83B" w14:textId="77777777" w:rsidR="00EF3DFB" w:rsidRDefault="00EF3DFB">
                                  <w:pPr>
                                    <w:pStyle w:val="TableParagraph"/>
                                    <w:rPr>
                                      <w:sz w:val="18"/>
                                    </w:rPr>
                                  </w:pPr>
                                </w:p>
                              </w:tc>
                              <w:tc>
                                <w:tcPr>
                                  <w:tcW w:w="1025" w:type="dxa"/>
                                </w:tcPr>
                                <w:p w14:paraId="7326D83C" w14:textId="77777777" w:rsidR="00EF3DFB" w:rsidRDefault="00EF3DFB">
                                  <w:pPr>
                                    <w:pStyle w:val="TableParagraph"/>
                                    <w:rPr>
                                      <w:sz w:val="18"/>
                                    </w:rPr>
                                  </w:pPr>
                                </w:p>
                              </w:tc>
                            </w:tr>
                            <w:tr w:rsidR="00EF3DFB" w14:paraId="7326D842" w14:textId="77777777">
                              <w:trPr>
                                <w:trHeight w:val="300"/>
                              </w:trPr>
                              <w:tc>
                                <w:tcPr>
                                  <w:tcW w:w="6045" w:type="dxa"/>
                                  <w:shd w:val="clear" w:color="auto" w:fill="CCEDFF"/>
                                </w:tcPr>
                                <w:p w14:paraId="7326D83E"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D83F" w14:textId="77777777" w:rsidR="00EF3DFB" w:rsidRDefault="00D27C17">
                                  <w:pPr>
                                    <w:pStyle w:val="TableParagraph"/>
                                    <w:tabs>
                                      <w:tab w:val="left" w:pos="546"/>
                                    </w:tabs>
                                    <w:spacing w:before="22"/>
                                    <w:ind w:left="52"/>
                                    <w:rPr>
                                      <w:sz w:val="20"/>
                                    </w:rPr>
                                  </w:pPr>
                                  <w:r>
                                    <w:rPr>
                                      <w:sz w:val="20"/>
                                    </w:rPr>
                                    <w:t>$</w:t>
                                  </w:r>
                                  <w:r>
                                    <w:rPr>
                                      <w:sz w:val="20"/>
                                    </w:rPr>
                                    <w:tab/>
                                    <w:t>320</w:t>
                                  </w:r>
                                </w:p>
                              </w:tc>
                              <w:tc>
                                <w:tcPr>
                                  <w:tcW w:w="2399" w:type="dxa"/>
                                  <w:shd w:val="clear" w:color="auto" w:fill="CCEDFF"/>
                                </w:tcPr>
                                <w:p w14:paraId="7326D840" w14:textId="77777777" w:rsidR="00EF3DFB" w:rsidRDefault="00D27C17">
                                  <w:pPr>
                                    <w:pStyle w:val="TableParagraph"/>
                                    <w:tabs>
                                      <w:tab w:val="left" w:pos="494"/>
                                      <w:tab w:val="left" w:pos="1169"/>
                                      <w:tab w:val="left" w:pos="1930"/>
                                    </w:tabs>
                                    <w:spacing w:before="22"/>
                                    <w:ind w:right="194"/>
                                    <w:jc w:val="right"/>
                                    <w:rPr>
                                      <w:sz w:val="20"/>
                                    </w:rPr>
                                  </w:pPr>
                                  <w:r>
                                    <w:rPr>
                                      <w:sz w:val="20"/>
                                    </w:rPr>
                                    <w:t>$</w:t>
                                  </w:r>
                                  <w:r>
                                    <w:rPr>
                                      <w:sz w:val="20"/>
                                    </w:rPr>
                                    <w:tab/>
                                    <w:t>310</w:t>
                                  </w:r>
                                  <w:r>
                                    <w:rPr>
                                      <w:sz w:val="20"/>
                                    </w:rPr>
                                    <w:tab/>
                                    <w:t>$</w:t>
                                  </w:r>
                                  <w:r>
                                    <w:rPr>
                                      <w:sz w:val="20"/>
                                    </w:rPr>
                                    <w:tab/>
                                    <w:t>10</w:t>
                                  </w:r>
                                </w:p>
                              </w:tc>
                              <w:tc>
                                <w:tcPr>
                                  <w:tcW w:w="1025" w:type="dxa"/>
                                  <w:shd w:val="clear" w:color="auto" w:fill="CCEDFF"/>
                                </w:tcPr>
                                <w:p w14:paraId="7326D841" w14:textId="77777777" w:rsidR="00EF3DFB" w:rsidRDefault="00EF3DFB">
                                  <w:pPr>
                                    <w:pStyle w:val="TableParagraph"/>
                                    <w:rPr>
                                      <w:sz w:val="18"/>
                                    </w:rPr>
                                  </w:pPr>
                                </w:p>
                              </w:tc>
                            </w:tr>
                            <w:tr w:rsidR="00EF3DFB" w14:paraId="7326D847" w14:textId="77777777">
                              <w:trPr>
                                <w:trHeight w:val="394"/>
                              </w:trPr>
                              <w:tc>
                                <w:tcPr>
                                  <w:tcW w:w="6045" w:type="dxa"/>
                                </w:tcPr>
                                <w:p w14:paraId="7326D843" w14:textId="77777777" w:rsidR="00EF3DFB" w:rsidRDefault="00D27C17">
                                  <w:pPr>
                                    <w:pStyle w:val="TableParagraph"/>
                                    <w:spacing w:before="125"/>
                                    <w:ind w:left="52"/>
                                    <w:rPr>
                                      <w:sz w:val="20"/>
                                    </w:rPr>
                                  </w:pPr>
                                  <w:r>
                                    <w:rPr>
                                      <w:sz w:val="20"/>
                                    </w:rPr>
                                    <w:t>Held for sale depreciation and amortization catch-up adjustment</w:t>
                                  </w:r>
                                </w:p>
                              </w:tc>
                              <w:tc>
                                <w:tcPr>
                                  <w:tcW w:w="1151" w:type="dxa"/>
                                </w:tcPr>
                                <w:p w14:paraId="7326D844" w14:textId="77777777" w:rsidR="00EF3DFB" w:rsidRDefault="00D27C17">
                                  <w:pPr>
                                    <w:pStyle w:val="TableParagraph"/>
                                    <w:spacing w:before="165" w:line="210" w:lineRule="exact"/>
                                    <w:ind w:left="646"/>
                                    <w:rPr>
                                      <w:sz w:val="20"/>
                                    </w:rPr>
                                  </w:pPr>
                                  <w:r>
                                    <w:rPr>
                                      <w:sz w:val="20"/>
                                    </w:rPr>
                                    <w:t>—</w:t>
                                  </w:r>
                                </w:p>
                              </w:tc>
                              <w:tc>
                                <w:tcPr>
                                  <w:tcW w:w="2399" w:type="dxa"/>
                                </w:tcPr>
                                <w:p w14:paraId="7326D845" w14:textId="77777777" w:rsidR="00EF3DFB" w:rsidRDefault="00D27C17">
                                  <w:pPr>
                                    <w:pStyle w:val="TableParagraph"/>
                                    <w:tabs>
                                      <w:tab w:val="left" w:pos="1269"/>
                                    </w:tabs>
                                    <w:spacing w:before="165" w:line="210" w:lineRule="exact"/>
                                    <w:ind w:right="129"/>
                                    <w:jc w:val="right"/>
                                    <w:rPr>
                                      <w:sz w:val="20"/>
                                    </w:rPr>
                                  </w:pPr>
                                  <w:r>
                                    <w:rPr>
                                      <w:sz w:val="20"/>
                                    </w:rPr>
                                    <w:t>57</w:t>
                                  </w:r>
                                  <w:r>
                                    <w:rPr>
                                      <w:sz w:val="20"/>
                                    </w:rPr>
                                    <w:tab/>
                                    <w:t>(57)</w:t>
                                  </w:r>
                                </w:p>
                              </w:tc>
                              <w:tc>
                                <w:tcPr>
                                  <w:tcW w:w="1025" w:type="dxa"/>
                                </w:tcPr>
                                <w:p w14:paraId="7326D846" w14:textId="77777777" w:rsidR="00EF3DFB" w:rsidRDefault="00EF3DFB">
                                  <w:pPr>
                                    <w:pStyle w:val="TableParagraph"/>
                                    <w:rPr>
                                      <w:sz w:val="18"/>
                                    </w:rPr>
                                  </w:pPr>
                                </w:p>
                              </w:tc>
                            </w:tr>
                          </w:tbl>
                          <w:p w14:paraId="7326D848" w14:textId="77777777" w:rsidR="00EF3DFB" w:rsidRDefault="00EF3D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6E5" id="Text Box 517" o:spid="_x0000_s1027" type="#_x0000_t202" style="position:absolute;left:0;text-align:left;margin-left:40.5pt;margin-top:60.25pt;width:531pt;height:173.9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045"/>
                        <w:gridCol w:w="1151"/>
                        <w:gridCol w:w="2399"/>
                        <w:gridCol w:w="1025"/>
                      </w:tblGrid>
                      <w:tr w:rsidR="00EF3DFB" w14:paraId="7326D81A" w14:textId="77777777">
                        <w:trPr>
                          <w:trHeight w:val="660"/>
                        </w:trPr>
                        <w:tc>
                          <w:tcPr>
                            <w:tcW w:w="6045" w:type="dxa"/>
                          </w:tcPr>
                          <w:p w14:paraId="7326D814" w14:textId="77777777" w:rsidR="00EF3DFB" w:rsidRDefault="00D27C17">
                            <w:pPr>
                              <w:pStyle w:val="TableParagraph"/>
                              <w:spacing w:line="221" w:lineRule="exact"/>
                              <w:rPr>
                                <w:b/>
                                <w:sz w:val="20"/>
                              </w:rPr>
                            </w:pPr>
                            <w:r>
                              <w:rPr>
                                <w:b/>
                                <w:sz w:val="20"/>
                              </w:rPr>
                              <w:t>Commer</w:t>
                            </w:r>
                            <w:r>
                              <w:rPr>
                                <w:b/>
                                <w:sz w:val="20"/>
                              </w:rPr>
                              <w:t>cial Solutions</w:t>
                            </w:r>
                          </w:p>
                        </w:tc>
                        <w:tc>
                          <w:tcPr>
                            <w:tcW w:w="1151" w:type="dxa"/>
                            <w:tcBorders>
                              <w:bottom w:val="single" w:sz="18" w:space="0" w:color="000000"/>
                            </w:tcBorders>
                          </w:tcPr>
                          <w:p w14:paraId="7326D815" w14:textId="77777777" w:rsidR="00EF3DFB" w:rsidRDefault="00EF3DFB">
                            <w:pPr>
                              <w:pStyle w:val="TableParagraph"/>
                              <w:rPr>
                                <w:sz w:val="18"/>
                              </w:rPr>
                            </w:pPr>
                          </w:p>
                        </w:tc>
                        <w:tc>
                          <w:tcPr>
                            <w:tcW w:w="2399" w:type="dxa"/>
                            <w:tcBorders>
                              <w:bottom w:val="single" w:sz="18" w:space="0" w:color="000000"/>
                            </w:tcBorders>
                          </w:tcPr>
                          <w:p w14:paraId="7326D816" w14:textId="77777777" w:rsidR="00EF3DFB" w:rsidRDefault="00EF3DFB">
                            <w:pPr>
                              <w:pStyle w:val="TableParagraph"/>
                              <w:rPr>
                                <w:sz w:val="18"/>
                              </w:rPr>
                            </w:pPr>
                          </w:p>
                          <w:p w14:paraId="7326D817" w14:textId="77777777" w:rsidR="00EF3DFB" w:rsidRDefault="00EF3DFB">
                            <w:pPr>
                              <w:pStyle w:val="TableParagraph"/>
                              <w:spacing w:before="9"/>
                            </w:pPr>
                          </w:p>
                          <w:p w14:paraId="7326D818" w14:textId="77777777" w:rsidR="00EF3DFB" w:rsidRDefault="00D27C17">
                            <w:pPr>
                              <w:pStyle w:val="TableParagraph"/>
                              <w:spacing w:line="171" w:lineRule="exact"/>
                              <w:ind w:left="228"/>
                              <w:rPr>
                                <w:b/>
                                <w:sz w:val="16"/>
                              </w:rPr>
                            </w:pPr>
                            <w:r>
                              <w:rPr>
                                <w:b/>
                                <w:sz w:val="16"/>
                              </w:rPr>
                              <w:t>Years Ended December 31,</w:t>
                            </w:r>
                          </w:p>
                        </w:tc>
                        <w:tc>
                          <w:tcPr>
                            <w:tcW w:w="1025" w:type="dxa"/>
                            <w:tcBorders>
                              <w:bottom w:val="single" w:sz="18" w:space="0" w:color="000000"/>
                            </w:tcBorders>
                          </w:tcPr>
                          <w:p w14:paraId="7326D819" w14:textId="77777777" w:rsidR="00EF3DFB" w:rsidRDefault="00EF3DFB">
                            <w:pPr>
                              <w:pStyle w:val="TableParagraph"/>
                              <w:rPr>
                                <w:sz w:val="18"/>
                              </w:rPr>
                            </w:pPr>
                          </w:p>
                        </w:tc>
                      </w:tr>
                      <w:tr w:rsidR="00EF3DFB" w14:paraId="7326D81F" w14:textId="77777777">
                        <w:trPr>
                          <w:trHeight w:val="267"/>
                        </w:trPr>
                        <w:tc>
                          <w:tcPr>
                            <w:tcW w:w="6045" w:type="dxa"/>
                          </w:tcPr>
                          <w:p w14:paraId="7326D81B" w14:textId="77777777" w:rsidR="00EF3DFB" w:rsidRDefault="00D27C17">
                            <w:pPr>
                              <w:pStyle w:val="TableParagraph"/>
                              <w:spacing w:before="17" w:line="230" w:lineRule="exact"/>
                              <w:ind w:left="52"/>
                              <w:rPr>
                                <w:b/>
                                <w:sz w:val="20"/>
                              </w:rPr>
                            </w:pPr>
                            <w:r>
                              <w:rPr>
                                <w:b/>
                                <w:sz w:val="20"/>
                              </w:rPr>
                              <w:t>(in millions)</w:t>
                            </w:r>
                          </w:p>
                        </w:tc>
                        <w:tc>
                          <w:tcPr>
                            <w:tcW w:w="1151" w:type="dxa"/>
                            <w:tcBorders>
                              <w:top w:val="single" w:sz="18" w:space="0" w:color="000000"/>
                              <w:bottom w:val="single" w:sz="8" w:space="0" w:color="000000"/>
                            </w:tcBorders>
                          </w:tcPr>
                          <w:p w14:paraId="7326D81C" w14:textId="77777777" w:rsidR="00EF3DFB" w:rsidRDefault="00D27C17">
                            <w:pPr>
                              <w:pStyle w:val="TableParagraph"/>
                              <w:spacing w:before="63" w:line="184" w:lineRule="exact"/>
                              <w:ind w:left="368" w:right="422"/>
                              <w:jc w:val="center"/>
                              <w:rPr>
                                <w:b/>
                                <w:sz w:val="16"/>
                              </w:rPr>
                            </w:pPr>
                            <w:r>
                              <w:rPr>
                                <w:b/>
                                <w:sz w:val="16"/>
                              </w:rPr>
                              <w:t>2020</w:t>
                            </w:r>
                          </w:p>
                        </w:tc>
                        <w:tc>
                          <w:tcPr>
                            <w:tcW w:w="2399" w:type="dxa"/>
                            <w:tcBorders>
                              <w:top w:val="single" w:sz="18" w:space="0" w:color="000000"/>
                              <w:bottom w:val="single" w:sz="8" w:space="0" w:color="000000"/>
                            </w:tcBorders>
                          </w:tcPr>
                          <w:p w14:paraId="7326D81D" w14:textId="77777777" w:rsidR="00EF3DFB" w:rsidRDefault="00D27C17">
                            <w:pPr>
                              <w:pStyle w:val="TableParagraph"/>
                              <w:tabs>
                                <w:tab w:val="left" w:pos="1414"/>
                              </w:tabs>
                              <w:spacing w:before="63" w:line="184" w:lineRule="exact"/>
                              <w:ind w:left="406"/>
                              <w:rPr>
                                <w:b/>
                                <w:sz w:val="16"/>
                              </w:rPr>
                            </w:pPr>
                            <w:r>
                              <w:rPr>
                                <w:b/>
                                <w:sz w:val="16"/>
                              </w:rPr>
                              <w:t>2019</w:t>
                            </w:r>
                            <w:r>
                              <w:rPr>
                                <w:b/>
                                <w:sz w:val="16"/>
                              </w:rPr>
                              <w:tab/>
                              <w:t>$</w:t>
                            </w:r>
                            <w:r>
                              <w:rPr>
                                <w:b/>
                                <w:spacing w:val="-1"/>
                                <w:sz w:val="16"/>
                              </w:rPr>
                              <w:t xml:space="preserve"> </w:t>
                            </w:r>
                            <w:r>
                              <w:rPr>
                                <w:b/>
                                <w:sz w:val="16"/>
                              </w:rPr>
                              <w:t>Change</w:t>
                            </w:r>
                          </w:p>
                        </w:tc>
                        <w:tc>
                          <w:tcPr>
                            <w:tcW w:w="1025" w:type="dxa"/>
                            <w:tcBorders>
                              <w:top w:val="single" w:sz="18" w:space="0" w:color="000000"/>
                              <w:bottom w:val="single" w:sz="8" w:space="0" w:color="000000"/>
                            </w:tcBorders>
                          </w:tcPr>
                          <w:p w14:paraId="7326D81E" w14:textId="77777777" w:rsidR="00EF3DFB" w:rsidRDefault="00D27C17">
                            <w:pPr>
                              <w:pStyle w:val="TableParagraph"/>
                              <w:spacing w:before="63" w:line="184" w:lineRule="exact"/>
                              <w:ind w:left="111" w:right="149"/>
                              <w:jc w:val="center"/>
                              <w:rPr>
                                <w:b/>
                                <w:sz w:val="16"/>
                              </w:rPr>
                            </w:pPr>
                            <w:r>
                              <w:rPr>
                                <w:b/>
                                <w:sz w:val="16"/>
                              </w:rPr>
                              <w:t>% Change</w:t>
                            </w:r>
                          </w:p>
                        </w:tc>
                      </w:tr>
                      <w:tr w:rsidR="00EF3DFB" w14:paraId="7326D824" w14:textId="77777777">
                        <w:trPr>
                          <w:trHeight w:val="290"/>
                        </w:trPr>
                        <w:tc>
                          <w:tcPr>
                            <w:tcW w:w="6045" w:type="dxa"/>
                            <w:shd w:val="clear" w:color="auto" w:fill="CCEDFF"/>
                          </w:tcPr>
                          <w:p w14:paraId="7326D820" w14:textId="77777777" w:rsidR="00EF3DFB" w:rsidRDefault="00D27C17">
                            <w:pPr>
                              <w:pStyle w:val="TableParagraph"/>
                              <w:spacing w:before="12"/>
                              <w:ind w:left="52"/>
                              <w:rPr>
                                <w:sz w:val="20"/>
                              </w:rPr>
                            </w:pPr>
                            <w:r>
                              <w:rPr>
                                <w:sz w:val="20"/>
                              </w:rPr>
                              <w:t>Net sales</w:t>
                            </w:r>
                          </w:p>
                        </w:tc>
                        <w:tc>
                          <w:tcPr>
                            <w:tcW w:w="1151" w:type="dxa"/>
                            <w:tcBorders>
                              <w:top w:val="single" w:sz="8" w:space="0" w:color="000000"/>
                            </w:tcBorders>
                            <w:shd w:val="clear" w:color="auto" w:fill="CCEDFF"/>
                          </w:tcPr>
                          <w:p w14:paraId="7326D821" w14:textId="77777777" w:rsidR="00EF3DFB" w:rsidRDefault="00D27C17">
                            <w:pPr>
                              <w:pStyle w:val="TableParagraph"/>
                              <w:tabs>
                                <w:tab w:val="left" w:pos="396"/>
                              </w:tabs>
                              <w:spacing w:before="30"/>
                              <w:ind w:left="52"/>
                              <w:rPr>
                                <w:sz w:val="20"/>
                              </w:rPr>
                            </w:pPr>
                            <w:r>
                              <w:rPr>
                                <w:sz w:val="20"/>
                              </w:rPr>
                              <w:t>$</w:t>
                            </w:r>
                            <w:r>
                              <w:rPr>
                                <w:sz w:val="20"/>
                              </w:rPr>
                              <w:tab/>
                              <w:t>1,859</w:t>
                            </w:r>
                          </w:p>
                        </w:tc>
                        <w:tc>
                          <w:tcPr>
                            <w:tcW w:w="2399" w:type="dxa"/>
                            <w:tcBorders>
                              <w:top w:val="single" w:sz="8" w:space="0" w:color="000000"/>
                            </w:tcBorders>
                            <w:shd w:val="clear" w:color="auto" w:fill="CCEDFF"/>
                          </w:tcPr>
                          <w:p w14:paraId="7326D822" w14:textId="77777777" w:rsidR="00EF3DFB" w:rsidRDefault="00D27C17">
                            <w:pPr>
                              <w:pStyle w:val="TableParagraph"/>
                              <w:tabs>
                                <w:tab w:val="left" w:pos="344"/>
                                <w:tab w:val="left" w:pos="1169"/>
                                <w:tab w:val="left" w:pos="1930"/>
                              </w:tabs>
                              <w:spacing w:before="30"/>
                              <w:ind w:right="194"/>
                              <w:jc w:val="right"/>
                              <w:rPr>
                                <w:sz w:val="20"/>
                              </w:rPr>
                            </w:pPr>
                            <w:r>
                              <w:rPr>
                                <w:sz w:val="20"/>
                              </w:rPr>
                              <w:t>$</w:t>
                            </w:r>
                            <w:r>
                              <w:rPr>
                                <w:sz w:val="20"/>
                              </w:rPr>
                              <w:tab/>
                              <w:t>1,779</w:t>
                            </w:r>
                            <w:r>
                              <w:rPr>
                                <w:sz w:val="20"/>
                              </w:rPr>
                              <w:tab/>
                              <w:t>$</w:t>
                            </w:r>
                            <w:r>
                              <w:rPr>
                                <w:sz w:val="20"/>
                              </w:rPr>
                              <w:tab/>
                              <w:t>80</w:t>
                            </w:r>
                          </w:p>
                        </w:tc>
                        <w:tc>
                          <w:tcPr>
                            <w:tcW w:w="1025" w:type="dxa"/>
                            <w:tcBorders>
                              <w:top w:val="single" w:sz="8" w:space="0" w:color="000000"/>
                            </w:tcBorders>
                            <w:shd w:val="clear" w:color="auto" w:fill="CCEDFF"/>
                          </w:tcPr>
                          <w:p w14:paraId="7326D823" w14:textId="77777777" w:rsidR="00EF3DFB" w:rsidRDefault="00D27C17">
                            <w:pPr>
                              <w:pStyle w:val="TableParagraph"/>
                              <w:spacing w:before="12"/>
                              <w:ind w:left="111" w:right="111"/>
                              <w:jc w:val="center"/>
                              <w:rPr>
                                <w:sz w:val="20"/>
                              </w:rPr>
                            </w:pPr>
                            <w:r>
                              <w:rPr>
                                <w:sz w:val="20"/>
                              </w:rPr>
                              <w:t>4.5%</w:t>
                            </w:r>
                          </w:p>
                        </w:tc>
                      </w:tr>
                      <w:tr w:rsidR="00EF3DFB" w14:paraId="7326D829" w14:textId="77777777">
                        <w:trPr>
                          <w:trHeight w:val="300"/>
                        </w:trPr>
                        <w:tc>
                          <w:tcPr>
                            <w:tcW w:w="6045" w:type="dxa"/>
                          </w:tcPr>
                          <w:p w14:paraId="7326D825" w14:textId="77777777" w:rsidR="00EF3DFB" w:rsidRDefault="00EF3DFB">
                            <w:pPr>
                              <w:pStyle w:val="TableParagraph"/>
                              <w:rPr>
                                <w:sz w:val="18"/>
                              </w:rPr>
                            </w:pPr>
                          </w:p>
                        </w:tc>
                        <w:tc>
                          <w:tcPr>
                            <w:tcW w:w="1151" w:type="dxa"/>
                          </w:tcPr>
                          <w:p w14:paraId="7326D826" w14:textId="77777777" w:rsidR="00EF3DFB" w:rsidRDefault="00EF3DFB">
                            <w:pPr>
                              <w:pStyle w:val="TableParagraph"/>
                              <w:rPr>
                                <w:sz w:val="18"/>
                              </w:rPr>
                            </w:pPr>
                          </w:p>
                        </w:tc>
                        <w:tc>
                          <w:tcPr>
                            <w:tcW w:w="2399" w:type="dxa"/>
                          </w:tcPr>
                          <w:p w14:paraId="7326D827" w14:textId="77777777" w:rsidR="00EF3DFB" w:rsidRDefault="00EF3DFB">
                            <w:pPr>
                              <w:pStyle w:val="TableParagraph"/>
                              <w:rPr>
                                <w:sz w:val="18"/>
                              </w:rPr>
                            </w:pPr>
                          </w:p>
                        </w:tc>
                        <w:tc>
                          <w:tcPr>
                            <w:tcW w:w="1025" w:type="dxa"/>
                          </w:tcPr>
                          <w:p w14:paraId="7326D828" w14:textId="77777777" w:rsidR="00EF3DFB" w:rsidRDefault="00EF3DFB">
                            <w:pPr>
                              <w:pStyle w:val="TableParagraph"/>
                              <w:rPr>
                                <w:sz w:val="18"/>
                              </w:rPr>
                            </w:pPr>
                          </w:p>
                        </w:tc>
                      </w:tr>
                      <w:tr w:rsidR="00EF3DFB" w14:paraId="7326D82E" w14:textId="77777777">
                        <w:trPr>
                          <w:trHeight w:val="300"/>
                        </w:trPr>
                        <w:tc>
                          <w:tcPr>
                            <w:tcW w:w="6045" w:type="dxa"/>
                            <w:shd w:val="clear" w:color="auto" w:fill="CCEDFF"/>
                          </w:tcPr>
                          <w:p w14:paraId="7326D82A" w14:textId="77777777" w:rsidR="00EF3DFB" w:rsidRDefault="00D27C17">
                            <w:pPr>
                              <w:pStyle w:val="TableParagraph"/>
                              <w:spacing w:before="22"/>
                              <w:ind w:left="52"/>
                              <w:rPr>
                                <w:sz w:val="20"/>
                              </w:rPr>
                            </w:pPr>
                            <w:r>
                              <w:rPr>
                                <w:sz w:val="20"/>
                              </w:rPr>
                              <w:t>Operating loss</w:t>
                            </w:r>
                          </w:p>
                        </w:tc>
                        <w:tc>
                          <w:tcPr>
                            <w:tcW w:w="1151" w:type="dxa"/>
                            <w:shd w:val="clear" w:color="auto" w:fill="CCEDFF"/>
                          </w:tcPr>
                          <w:p w14:paraId="7326D82B" w14:textId="77777777" w:rsidR="00EF3DFB" w:rsidRDefault="00D27C17">
                            <w:pPr>
                              <w:pStyle w:val="TableParagraph"/>
                              <w:spacing w:before="40"/>
                              <w:ind w:left="580"/>
                              <w:rPr>
                                <w:sz w:val="20"/>
                              </w:rPr>
                            </w:pPr>
                            <w:r>
                              <w:rPr>
                                <w:sz w:val="20"/>
                              </w:rPr>
                              <w:t>(85)</w:t>
                            </w:r>
                          </w:p>
                        </w:tc>
                        <w:tc>
                          <w:tcPr>
                            <w:tcW w:w="2399" w:type="dxa"/>
                            <w:shd w:val="clear" w:color="auto" w:fill="CCEDFF"/>
                          </w:tcPr>
                          <w:p w14:paraId="7326D82C" w14:textId="77777777" w:rsidR="00EF3DFB" w:rsidRDefault="00D27C17">
                            <w:pPr>
                              <w:pStyle w:val="TableParagraph"/>
                              <w:tabs>
                                <w:tab w:val="left" w:pos="1503"/>
                              </w:tabs>
                              <w:spacing w:before="40"/>
                              <w:ind w:right="194"/>
                              <w:jc w:val="right"/>
                              <w:rPr>
                                <w:sz w:val="20"/>
                              </w:rPr>
                            </w:pPr>
                            <w:r>
                              <w:rPr>
                                <w:sz w:val="20"/>
                              </w:rPr>
                              <w:t>(136)</w:t>
                            </w:r>
                            <w:r>
                              <w:rPr>
                                <w:sz w:val="20"/>
                              </w:rPr>
                              <w:tab/>
                              <w:t>51</w:t>
                            </w:r>
                          </w:p>
                        </w:tc>
                        <w:tc>
                          <w:tcPr>
                            <w:tcW w:w="1025" w:type="dxa"/>
                            <w:shd w:val="clear" w:color="auto" w:fill="CCEDFF"/>
                          </w:tcPr>
                          <w:p w14:paraId="7326D82D" w14:textId="77777777" w:rsidR="00EF3DFB" w:rsidRDefault="00D27C17">
                            <w:pPr>
                              <w:pStyle w:val="TableParagraph"/>
                              <w:spacing w:before="22"/>
                              <w:ind w:left="111" w:right="111"/>
                              <w:jc w:val="center"/>
                              <w:rPr>
                                <w:sz w:val="20"/>
                              </w:rPr>
                            </w:pPr>
                            <w:r>
                              <w:rPr>
                                <w:sz w:val="20"/>
                              </w:rPr>
                              <w:t>37.5%</w:t>
                            </w:r>
                          </w:p>
                        </w:tc>
                      </w:tr>
                      <w:tr w:rsidR="00EF3DFB" w14:paraId="7326D833" w14:textId="77777777">
                        <w:trPr>
                          <w:trHeight w:val="300"/>
                        </w:trPr>
                        <w:tc>
                          <w:tcPr>
                            <w:tcW w:w="6045" w:type="dxa"/>
                          </w:tcPr>
                          <w:p w14:paraId="7326D82F" w14:textId="77777777" w:rsidR="00EF3DFB" w:rsidRDefault="00D27C17">
                            <w:pPr>
                              <w:pStyle w:val="TableParagraph"/>
                              <w:spacing w:before="22"/>
                              <w:ind w:left="412"/>
                              <w:rPr>
                                <w:i/>
                                <w:sz w:val="20"/>
                              </w:rPr>
                            </w:pPr>
                            <w:r>
                              <w:rPr>
                                <w:i/>
                                <w:sz w:val="20"/>
                              </w:rPr>
                              <w:t>Operating margin</w:t>
                            </w:r>
                          </w:p>
                        </w:tc>
                        <w:tc>
                          <w:tcPr>
                            <w:tcW w:w="1151" w:type="dxa"/>
                          </w:tcPr>
                          <w:p w14:paraId="7326D830" w14:textId="77777777" w:rsidR="00EF3DFB" w:rsidRDefault="00D27C17">
                            <w:pPr>
                              <w:pStyle w:val="TableParagraph"/>
                              <w:spacing w:before="22"/>
                              <w:ind w:left="530"/>
                              <w:rPr>
                                <w:i/>
                                <w:sz w:val="20"/>
                              </w:rPr>
                            </w:pPr>
                            <w:r>
                              <w:rPr>
                                <w:i/>
                                <w:sz w:val="20"/>
                              </w:rPr>
                              <w:t>(4.6)%</w:t>
                            </w:r>
                          </w:p>
                        </w:tc>
                        <w:tc>
                          <w:tcPr>
                            <w:tcW w:w="2399" w:type="dxa"/>
                          </w:tcPr>
                          <w:p w14:paraId="7326D831" w14:textId="77777777" w:rsidR="00EF3DFB" w:rsidRDefault="00D27C17">
                            <w:pPr>
                              <w:pStyle w:val="TableParagraph"/>
                              <w:spacing w:before="22"/>
                              <w:ind w:left="549"/>
                              <w:rPr>
                                <w:i/>
                                <w:sz w:val="20"/>
                              </w:rPr>
                            </w:pPr>
                            <w:r>
                              <w:rPr>
                                <w:i/>
                                <w:sz w:val="20"/>
                              </w:rPr>
                              <w:t>(7.6)%</w:t>
                            </w:r>
                          </w:p>
                        </w:tc>
                        <w:tc>
                          <w:tcPr>
                            <w:tcW w:w="1025" w:type="dxa"/>
                          </w:tcPr>
                          <w:p w14:paraId="7326D832" w14:textId="77777777" w:rsidR="00EF3DFB" w:rsidRDefault="00EF3DFB">
                            <w:pPr>
                              <w:pStyle w:val="TableParagraph"/>
                              <w:rPr>
                                <w:sz w:val="18"/>
                              </w:rPr>
                            </w:pPr>
                          </w:p>
                        </w:tc>
                      </w:tr>
                      <w:tr w:rsidR="00EF3DFB" w14:paraId="7326D838" w14:textId="77777777">
                        <w:trPr>
                          <w:trHeight w:val="300"/>
                        </w:trPr>
                        <w:tc>
                          <w:tcPr>
                            <w:tcW w:w="6045" w:type="dxa"/>
                            <w:shd w:val="clear" w:color="auto" w:fill="CCEDFF"/>
                          </w:tcPr>
                          <w:p w14:paraId="7326D834" w14:textId="77777777" w:rsidR="00EF3DFB" w:rsidRDefault="00EF3DFB">
                            <w:pPr>
                              <w:pStyle w:val="TableParagraph"/>
                              <w:rPr>
                                <w:sz w:val="18"/>
                              </w:rPr>
                            </w:pPr>
                          </w:p>
                        </w:tc>
                        <w:tc>
                          <w:tcPr>
                            <w:tcW w:w="1151" w:type="dxa"/>
                            <w:shd w:val="clear" w:color="auto" w:fill="CCEDFF"/>
                          </w:tcPr>
                          <w:p w14:paraId="7326D835" w14:textId="77777777" w:rsidR="00EF3DFB" w:rsidRDefault="00EF3DFB">
                            <w:pPr>
                              <w:pStyle w:val="TableParagraph"/>
                              <w:rPr>
                                <w:sz w:val="18"/>
                              </w:rPr>
                            </w:pPr>
                          </w:p>
                        </w:tc>
                        <w:tc>
                          <w:tcPr>
                            <w:tcW w:w="2399" w:type="dxa"/>
                            <w:shd w:val="clear" w:color="auto" w:fill="CCEDFF"/>
                          </w:tcPr>
                          <w:p w14:paraId="7326D836" w14:textId="77777777" w:rsidR="00EF3DFB" w:rsidRDefault="00EF3DFB">
                            <w:pPr>
                              <w:pStyle w:val="TableParagraph"/>
                              <w:rPr>
                                <w:sz w:val="18"/>
                              </w:rPr>
                            </w:pPr>
                          </w:p>
                        </w:tc>
                        <w:tc>
                          <w:tcPr>
                            <w:tcW w:w="1025" w:type="dxa"/>
                            <w:shd w:val="clear" w:color="auto" w:fill="CCEDFF"/>
                          </w:tcPr>
                          <w:p w14:paraId="7326D837" w14:textId="77777777" w:rsidR="00EF3DFB" w:rsidRDefault="00EF3DFB">
                            <w:pPr>
                              <w:pStyle w:val="TableParagraph"/>
                              <w:rPr>
                                <w:sz w:val="18"/>
                              </w:rPr>
                            </w:pPr>
                          </w:p>
                        </w:tc>
                      </w:tr>
                      <w:tr w:rsidR="00EF3DFB" w14:paraId="7326D83D" w14:textId="77777777">
                        <w:trPr>
                          <w:trHeight w:val="300"/>
                        </w:trPr>
                        <w:tc>
                          <w:tcPr>
                            <w:tcW w:w="6045" w:type="dxa"/>
                          </w:tcPr>
                          <w:p w14:paraId="7326D839" w14:textId="77777777" w:rsidR="00EF3DFB" w:rsidRDefault="00D27C17">
                            <w:pPr>
                              <w:pStyle w:val="TableParagraph"/>
                              <w:spacing w:before="40"/>
                              <w:ind w:left="52"/>
                              <w:rPr>
                                <w:b/>
                                <w:sz w:val="20"/>
                              </w:rPr>
                            </w:pPr>
                            <w:r>
                              <w:rPr>
                                <w:b/>
                                <w:sz w:val="20"/>
                              </w:rPr>
                              <w:t>Notable items impacting operating loss comparability:</w:t>
                            </w:r>
                          </w:p>
                        </w:tc>
                        <w:tc>
                          <w:tcPr>
                            <w:tcW w:w="1151" w:type="dxa"/>
                          </w:tcPr>
                          <w:p w14:paraId="7326D83A" w14:textId="77777777" w:rsidR="00EF3DFB" w:rsidRDefault="00EF3DFB">
                            <w:pPr>
                              <w:pStyle w:val="TableParagraph"/>
                              <w:rPr>
                                <w:sz w:val="18"/>
                              </w:rPr>
                            </w:pPr>
                          </w:p>
                        </w:tc>
                        <w:tc>
                          <w:tcPr>
                            <w:tcW w:w="2399" w:type="dxa"/>
                          </w:tcPr>
                          <w:p w14:paraId="7326D83B" w14:textId="77777777" w:rsidR="00EF3DFB" w:rsidRDefault="00EF3DFB">
                            <w:pPr>
                              <w:pStyle w:val="TableParagraph"/>
                              <w:rPr>
                                <w:sz w:val="18"/>
                              </w:rPr>
                            </w:pPr>
                          </w:p>
                        </w:tc>
                        <w:tc>
                          <w:tcPr>
                            <w:tcW w:w="1025" w:type="dxa"/>
                          </w:tcPr>
                          <w:p w14:paraId="7326D83C" w14:textId="77777777" w:rsidR="00EF3DFB" w:rsidRDefault="00EF3DFB">
                            <w:pPr>
                              <w:pStyle w:val="TableParagraph"/>
                              <w:rPr>
                                <w:sz w:val="18"/>
                              </w:rPr>
                            </w:pPr>
                          </w:p>
                        </w:tc>
                      </w:tr>
                      <w:tr w:rsidR="00EF3DFB" w14:paraId="7326D842" w14:textId="77777777">
                        <w:trPr>
                          <w:trHeight w:val="300"/>
                        </w:trPr>
                        <w:tc>
                          <w:tcPr>
                            <w:tcW w:w="6045" w:type="dxa"/>
                            <w:shd w:val="clear" w:color="auto" w:fill="CCEDFF"/>
                          </w:tcPr>
                          <w:p w14:paraId="7326D83E"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D83F" w14:textId="77777777" w:rsidR="00EF3DFB" w:rsidRDefault="00D27C17">
                            <w:pPr>
                              <w:pStyle w:val="TableParagraph"/>
                              <w:tabs>
                                <w:tab w:val="left" w:pos="546"/>
                              </w:tabs>
                              <w:spacing w:before="22"/>
                              <w:ind w:left="52"/>
                              <w:rPr>
                                <w:sz w:val="20"/>
                              </w:rPr>
                            </w:pPr>
                            <w:r>
                              <w:rPr>
                                <w:sz w:val="20"/>
                              </w:rPr>
                              <w:t>$</w:t>
                            </w:r>
                            <w:r>
                              <w:rPr>
                                <w:sz w:val="20"/>
                              </w:rPr>
                              <w:tab/>
                              <w:t>320</w:t>
                            </w:r>
                          </w:p>
                        </w:tc>
                        <w:tc>
                          <w:tcPr>
                            <w:tcW w:w="2399" w:type="dxa"/>
                            <w:shd w:val="clear" w:color="auto" w:fill="CCEDFF"/>
                          </w:tcPr>
                          <w:p w14:paraId="7326D840" w14:textId="77777777" w:rsidR="00EF3DFB" w:rsidRDefault="00D27C17">
                            <w:pPr>
                              <w:pStyle w:val="TableParagraph"/>
                              <w:tabs>
                                <w:tab w:val="left" w:pos="494"/>
                                <w:tab w:val="left" w:pos="1169"/>
                                <w:tab w:val="left" w:pos="1930"/>
                              </w:tabs>
                              <w:spacing w:before="22"/>
                              <w:ind w:right="194"/>
                              <w:jc w:val="right"/>
                              <w:rPr>
                                <w:sz w:val="20"/>
                              </w:rPr>
                            </w:pPr>
                            <w:r>
                              <w:rPr>
                                <w:sz w:val="20"/>
                              </w:rPr>
                              <w:t>$</w:t>
                            </w:r>
                            <w:r>
                              <w:rPr>
                                <w:sz w:val="20"/>
                              </w:rPr>
                              <w:tab/>
                              <w:t>310</w:t>
                            </w:r>
                            <w:r>
                              <w:rPr>
                                <w:sz w:val="20"/>
                              </w:rPr>
                              <w:tab/>
                              <w:t>$</w:t>
                            </w:r>
                            <w:r>
                              <w:rPr>
                                <w:sz w:val="20"/>
                              </w:rPr>
                              <w:tab/>
                              <w:t>10</w:t>
                            </w:r>
                          </w:p>
                        </w:tc>
                        <w:tc>
                          <w:tcPr>
                            <w:tcW w:w="1025" w:type="dxa"/>
                            <w:shd w:val="clear" w:color="auto" w:fill="CCEDFF"/>
                          </w:tcPr>
                          <w:p w14:paraId="7326D841" w14:textId="77777777" w:rsidR="00EF3DFB" w:rsidRDefault="00EF3DFB">
                            <w:pPr>
                              <w:pStyle w:val="TableParagraph"/>
                              <w:rPr>
                                <w:sz w:val="18"/>
                              </w:rPr>
                            </w:pPr>
                          </w:p>
                        </w:tc>
                      </w:tr>
                      <w:tr w:rsidR="00EF3DFB" w14:paraId="7326D847" w14:textId="77777777">
                        <w:trPr>
                          <w:trHeight w:val="394"/>
                        </w:trPr>
                        <w:tc>
                          <w:tcPr>
                            <w:tcW w:w="6045" w:type="dxa"/>
                          </w:tcPr>
                          <w:p w14:paraId="7326D843" w14:textId="77777777" w:rsidR="00EF3DFB" w:rsidRDefault="00D27C17">
                            <w:pPr>
                              <w:pStyle w:val="TableParagraph"/>
                              <w:spacing w:before="125"/>
                              <w:ind w:left="52"/>
                              <w:rPr>
                                <w:sz w:val="20"/>
                              </w:rPr>
                            </w:pPr>
                            <w:r>
                              <w:rPr>
                                <w:sz w:val="20"/>
                              </w:rPr>
                              <w:t>Held for sale depreciation and amortization catch-up adjustment</w:t>
                            </w:r>
                          </w:p>
                        </w:tc>
                        <w:tc>
                          <w:tcPr>
                            <w:tcW w:w="1151" w:type="dxa"/>
                          </w:tcPr>
                          <w:p w14:paraId="7326D844" w14:textId="77777777" w:rsidR="00EF3DFB" w:rsidRDefault="00D27C17">
                            <w:pPr>
                              <w:pStyle w:val="TableParagraph"/>
                              <w:spacing w:before="165" w:line="210" w:lineRule="exact"/>
                              <w:ind w:left="646"/>
                              <w:rPr>
                                <w:sz w:val="20"/>
                              </w:rPr>
                            </w:pPr>
                            <w:r>
                              <w:rPr>
                                <w:sz w:val="20"/>
                              </w:rPr>
                              <w:t>—</w:t>
                            </w:r>
                          </w:p>
                        </w:tc>
                        <w:tc>
                          <w:tcPr>
                            <w:tcW w:w="2399" w:type="dxa"/>
                          </w:tcPr>
                          <w:p w14:paraId="7326D845" w14:textId="77777777" w:rsidR="00EF3DFB" w:rsidRDefault="00D27C17">
                            <w:pPr>
                              <w:pStyle w:val="TableParagraph"/>
                              <w:tabs>
                                <w:tab w:val="left" w:pos="1269"/>
                              </w:tabs>
                              <w:spacing w:before="165" w:line="210" w:lineRule="exact"/>
                              <w:ind w:right="129"/>
                              <w:jc w:val="right"/>
                              <w:rPr>
                                <w:sz w:val="20"/>
                              </w:rPr>
                            </w:pPr>
                            <w:r>
                              <w:rPr>
                                <w:sz w:val="20"/>
                              </w:rPr>
                              <w:t>57</w:t>
                            </w:r>
                            <w:r>
                              <w:rPr>
                                <w:sz w:val="20"/>
                              </w:rPr>
                              <w:tab/>
                              <w:t>(57)</w:t>
                            </w:r>
                          </w:p>
                        </w:tc>
                        <w:tc>
                          <w:tcPr>
                            <w:tcW w:w="1025" w:type="dxa"/>
                          </w:tcPr>
                          <w:p w14:paraId="7326D846" w14:textId="77777777" w:rsidR="00EF3DFB" w:rsidRDefault="00EF3DFB">
                            <w:pPr>
                              <w:pStyle w:val="TableParagraph"/>
                              <w:rPr>
                                <w:sz w:val="18"/>
                              </w:rPr>
                            </w:pPr>
                          </w:p>
                        </w:tc>
                      </w:tr>
                    </w:tbl>
                    <w:p w14:paraId="7326D848" w14:textId="77777777" w:rsidR="00EF3DFB" w:rsidRDefault="00EF3DFB">
                      <w:pPr>
                        <w:pStyle w:val="BodyText"/>
                      </w:pPr>
                    </w:p>
                  </w:txbxContent>
                </v:textbox>
                <w10:wrap anchorx="page"/>
              </v:shape>
            </w:pict>
          </mc:Fallback>
        </mc:AlternateContent>
      </w:r>
      <w:r>
        <w:t>Operating loss for 2020 decreased to $217 million as compared to $535 million in 2019. The improvement in operating results is primarily due to lower non-cash impairment charges of goodwill and certain indefinite-lived intangible assets as well as producti</w:t>
      </w:r>
      <w:r>
        <w:t>vity improvements and lower discretionary spending including advertising and promotional costs, partially offset by transactional foreign exchange losses in Latin</w:t>
      </w:r>
      <w:r>
        <w:rPr>
          <w:spacing w:val="-3"/>
        </w:rPr>
        <w:t xml:space="preserve"> </w:t>
      </w:r>
      <w:r>
        <w:t>America.</w:t>
      </w:r>
    </w:p>
    <w:p w14:paraId="7326BD15" w14:textId="77777777" w:rsidR="00EF3DFB" w:rsidRDefault="00EF3DFB">
      <w:pPr>
        <w:pStyle w:val="BodyText"/>
        <w:rPr>
          <w:sz w:val="22"/>
        </w:rPr>
      </w:pPr>
    </w:p>
    <w:p w14:paraId="7326BD16" w14:textId="77777777" w:rsidR="00EF3DFB" w:rsidRDefault="00EF3DFB">
      <w:pPr>
        <w:pStyle w:val="BodyText"/>
        <w:rPr>
          <w:sz w:val="22"/>
        </w:rPr>
      </w:pPr>
    </w:p>
    <w:p w14:paraId="7326BD17" w14:textId="77777777" w:rsidR="00EF3DFB" w:rsidRDefault="00EF3DFB">
      <w:pPr>
        <w:pStyle w:val="BodyText"/>
        <w:rPr>
          <w:sz w:val="22"/>
        </w:rPr>
      </w:pPr>
    </w:p>
    <w:p w14:paraId="7326BD18" w14:textId="77777777" w:rsidR="00EF3DFB" w:rsidRDefault="00EF3DFB">
      <w:pPr>
        <w:pStyle w:val="BodyText"/>
        <w:rPr>
          <w:sz w:val="22"/>
        </w:rPr>
      </w:pPr>
    </w:p>
    <w:p w14:paraId="7326BD19" w14:textId="77777777" w:rsidR="00EF3DFB" w:rsidRDefault="00EF3DFB">
      <w:pPr>
        <w:pStyle w:val="BodyText"/>
        <w:rPr>
          <w:sz w:val="22"/>
        </w:rPr>
      </w:pPr>
    </w:p>
    <w:p w14:paraId="7326BD1A" w14:textId="77777777" w:rsidR="00EF3DFB" w:rsidRDefault="00EF3DFB">
      <w:pPr>
        <w:pStyle w:val="BodyText"/>
        <w:rPr>
          <w:sz w:val="22"/>
        </w:rPr>
      </w:pPr>
    </w:p>
    <w:p w14:paraId="7326BD1B" w14:textId="77777777" w:rsidR="00EF3DFB" w:rsidRDefault="00EF3DFB">
      <w:pPr>
        <w:pStyle w:val="BodyText"/>
        <w:rPr>
          <w:sz w:val="22"/>
        </w:rPr>
      </w:pPr>
    </w:p>
    <w:p w14:paraId="7326BD1C" w14:textId="77777777" w:rsidR="00EF3DFB" w:rsidRDefault="00EF3DFB">
      <w:pPr>
        <w:pStyle w:val="BodyText"/>
        <w:rPr>
          <w:sz w:val="22"/>
        </w:rPr>
      </w:pPr>
    </w:p>
    <w:p w14:paraId="7326BD1D" w14:textId="77777777" w:rsidR="00EF3DFB" w:rsidRDefault="00EF3DFB">
      <w:pPr>
        <w:pStyle w:val="BodyText"/>
        <w:rPr>
          <w:sz w:val="22"/>
        </w:rPr>
      </w:pPr>
    </w:p>
    <w:p w14:paraId="7326BD1E" w14:textId="77777777" w:rsidR="00EF3DFB" w:rsidRDefault="00EF3DFB">
      <w:pPr>
        <w:pStyle w:val="BodyText"/>
        <w:rPr>
          <w:sz w:val="22"/>
        </w:rPr>
      </w:pPr>
    </w:p>
    <w:p w14:paraId="7326BD1F" w14:textId="77777777" w:rsidR="00EF3DFB" w:rsidRDefault="00EF3DFB">
      <w:pPr>
        <w:pStyle w:val="BodyText"/>
        <w:rPr>
          <w:sz w:val="22"/>
        </w:rPr>
      </w:pPr>
    </w:p>
    <w:p w14:paraId="7326BD20" w14:textId="77777777" w:rsidR="00EF3DFB" w:rsidRDefault="00EF3DFB">
      <w:pPr>
        <w:pStyle w:val="BodyText"/>
        <w:rPr>
          <w:sz w:val="22"/>
        </w:rPr>
      </w:pPr>
    </w:p>
    <w:p w14:paraId="7326BD21" w14:textId="77777777" w:rsidR="00EF3DFB" w:rsidRDefault="00EF3DFB">
      <w:pPr>
        <w:pStyle w:val="BodyText"/>
        <w:rPr>
          <w:sz w:val="22"/>
        </w:rPr>
      </w:pPr>
    </w:p>
    <w:p w14:paraId="7326BD22" w14:textId="77777777" w:rsidR="00EF3DFB" w:rsidRDefault="00EF3DFB">
      <w:pPr>
        <w:pStyle w:val="BodyText"/>
        <w:rPr>
          <w:sz w:val="32"/>
        </w:rPr>
      </w:pPr>
    </w:p>
    <w:p w14:paraId="7326BD23" w14:textId="77777777" w:rsidR="00EF3DFB" w:rsidRDefault="00D27C17">
      <w:pPr>
        <w:pStyle w:val="BodyText"/>
        <w:ind w:left="242"/>
        <w:jc w:val="both"/>
      </w:pPr>
      <w:r>
        <w:t>(See Footnotes 6 and 7)</w:t>
      </w:r>
    </w:p>
    <w:p w14:paraId="7326BD24" w14:textId="77777777" w:rsidR="00EF3DFB" w:rsidRDefault="00EF3DFB">
      <w:pPr>
        <w:pStyle w:val="BodyText"/>
      </w:pPr>
    </w:p>
    <w:p w14:paraId="7326BD25" w14:textId="77777777" w:rsidR="00EF3DFB" w:rsidRDefault="00D27C17">
      <w:pPr>
        <w:pStyle w:val="BodyText"/>
        <w:spacing w:before="92" w:line="249" w:lineRule="auto"/>
        <w:ind w:left="190" w:right="168"/>
        <w:jc w:val="both"/>
      </w:pPr>
      <w:r>
        <w:t xml:space="preserve">Commercial Solutions net sales for 2020 increased 4% which reflected sales growth in the Commercial business, partially offset by decline in the Connected Home and Security business unit. The Commercial business unit performance reflected increased demand </w:t>
      </w:r>
      <w:r>
        <w:t>in consumable washroom, refuse, hand protection, and outdoor and laundry categories, partially offset by weakness in food service and hospitality vertical channels as a result of the ongoing COVID-19 pandemic. The decline in net sales in the Connected Home</w:t>
      </w:r>
      <w:r>
        <w:t xml:space="preserve"> and Security business unit was primarily due to the ongoing COVID-19 pandemic, which shifted consumer purchasing patterns and caused supply chain constraints, impacting sales to its retail and contractor channels. Changes in foreign currency unfavorably i</w:t>
      </w:r>
      <w:r>
        <w:t>mpacted net sales by $18 million, or 1%.</w:t>
      </w:r>
    </w:p>
    <w:p w14:paraId="7326BD26" w14:textId="77777777" w:rsidR="00EF3DFB" w:rsidRDefault="00EF3DFB">
      <w:pPr>
        <w:pStyle w:val="BodyText"/>
        <w:spacing w:before="4"/>
        <w:rPr>
          <w:sz w:val="21"/>
        </w:rPr>
      </w:pPr>
    </w:p>
    <w:p w14:paraId="7326BD27" w14:textId="77777777" w:rsidR="00EF3DFB" w:rsidRDefault="00D27C17">
      <w:pPr>
        <w:pStyle w:val="BodyText"/>
        <w:spacing w:line="249" w:lineRule="auto"/>
        <w:ind w:left="190" w:right="168"/>
        <w:jc w:val="both"/>
      </w:pPr>
      <w:r>
        <w:t xml:space="preserve">Operating loss for 2020 decreased to $85 million as compared to $136 million in 2019. The improvement in operating results is primarily due to the cumulative depreciation and amortization expense adjustment in the </w:t>
      </w:r>
      <w:r>
        <w:t>prior year, as a result of the Company’s decision to retain the Commercial Business. The improvement in the operating results also reflects cost containment initiatives to mitigate the impact of the COVID-19 pandemic while facilities were closed, including</w:t>
      </w:r>
      <w:r>
        <w:t xml:space="preserve"> employee furloughs, gross productivity and lower discretionary spending, including advertising and promotional costs. This operating performance was partially offset by the higher costs in Connected Home and Security associated with lower sales volumes an</w:t>
      </w:r>
      <w:r>
        <w:t>d the temporary closure of its key manufacturing facility in Mexico during the first half of the year, as well as higher non-cash impairment charges of goodwill and certain indefinite-lived intangible assets.</w:t>
      </w:r>
    </w:p>
    <w:p w14:paraId="7326BD28" w14:textId="77777777" w:rsidR="00EF3DFB" w:rsidRDefault="00EF3DFB">
      <w:pPr>
        <w:spacing w:line="249" w:lineRule="auto"/>
        <w:jc w:val="both"/>
        <w:sectPr w:rsidR="00EF3DFB">
          <w:pgSz w:w="12240" w:h="15840"/>
          <w:pgMar w:top="68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105"/>
        <w:gridCol w:w="1151"/>
        <w:gridCol w:w="2350"/>
        <w:gridCol w:w="1013"/>
      </w:tblGrid>
      <w:tr w:rsidR="00EF3DFB" w14:paraId="7326BD2F" w14:textId="77777777">
        <w:trPr>
          <w:trHeight w:val="660"/>
        </w:trPr>
        <w:tc>
          <w:tcPr>
            <w:tcW w:w="6105" w:type="dxa"/>
          </w:tcPr>
          <w:p w14:paraId="7326BD29" w14:textId="77777777" w:rsidR="00EF3DFB" w:rsidRDefault="00D27C17">
            <w:pPr>
              <w:pStyle w:val="TableParagraph"/>
              <w:spacing w:line="219" w:lineRule="exact"/>
              <w:rPr>
                <w:b/>
                <w:sz w:val="20"/>
              </w:rPr>
            </w:pPr>
            <w:r>
              <w:rPr>
                <w:b/>
                <w:sz w:val="20"/>
              </w:rPr>
              <w:lastRenderedPageBreak/>
              <w:t>Home Solutions</w:t>
            </w:r>
          </w:p>
        </w:tc>
        <w:tc>
          <w:tcPr>
            <w:tcW w:w="1151" w:type="dxa"/>
            <w:tcBorders>
              <w:bottom w:val="single" w:sz="18" w:space="0" w:color="000000"/>
            </w:tcBorders>
          </w:tcPr>
          <w:p w14:paraId="7326BD2A" w14:textId="77777777" w:rsidR="00EF3DFB" w:rsidRDefault="00EF3DFB">
            <w:pPr>
              <w:pStyle w:val="TableParagraph"/>
              <w:rPr>
                <w:sz w:val="18"/>
              </w:rPr>
            </w:pPr>
          </w:p>
        </w:tc>
        <w:tc>
          <w:tcPr>
            <w:tcW w:w="2350" w:type="dxa"/>
            <w:tcBorders>
              <w:bottom w:val="single" w:sz="18" w:space="0" w:color="000000"/>
            </w:tcBorders>
          </w:tcPr>
          <w:p w14:paraId="7326BD2B" w14:textId="77777777" w:rsidR="00EF3DFB" w:rsidRDefault="00EF3DFB">
            <w:pPr>
              <w:pStyle w:val="TableParagraph"/>
              <w:rPr>
                <w:sz w:val="18"/>
              </w:rPr>
            </w:pPr>
          </w:p>
          <w:p w14:paraId="7326BD2C" w14:textId="77777777" w:rsidR="00EF3DFB" w:rsidRDefault="00EF3DFB">
            <w:pPr>
              <w:pStyle w:val="TableParagraph"/>
              <w:spacing w:before="6"/>
            </w:pPr>
          </w:p>
          <w:p w14:paraId="7326BD2D" w14:textId="77777777" w:rsidR="00EF3DFB" w:rsidRDefault="00D27C17">
            <w:pPr>
              <w:pStyle w:val="TableParagraph"/>
              <w:spacing w:line="174" w:lineRule="exact"/>
              <w:ind w:left="198"/>
              <w:rPr>
                <w:b/>
                <w:sz w:val="16"/>
              </w:rPr>
            </w:pPr>
            <w:r>
              <w:rPr>
                <w:b/>
                <w:sz w:val="16"/>
              </w:rPr>
              <w:t>Years Ended Dec</w:t>
            </w:r>
            <w:r>
              <w:rPr>
                <w:b/>
                <w:sz w:val="16"/>
              </w:rPr>
              <w:t>ember 31,</w:t>
            </w:r>
          </w:p>
        </w:tc>
        <w:tc>
          <w:tcPr>
            <w:tcW w:w="1013" w:type="dxa"/>
            <w:tcBorders>
              <w:bottom w:val="single" w:sz="18" w:space="0" w:color="000000"/>
            </w:tcBorders>
          </w:tcPr>
          <w:p w14:paraId="7326BD2E" w14:textId="77777777" w:rsidR="00EF3DFB" w:rsidRDefault="00EF3DFB">
            <w:pPr>
              <w:pStyle w:val="TableParagraph"/>
              <w:rPr>
                <w:sz w:val="18"/>
              </w:rPr>
            </w:pPr>
          </w:p>
        </w:tc>
      </w:tr>
      <w:tr w:rsidR="00EF3DFB" w14:paraId="7326BD34" w14:textId="77777777">
        <w:trPr>
          <w:trHeight w:val="267"/>
        </w:trPr>
        <w:tc>
          <w:tcPr>
            <w:tcW w:w="6105" w:type="dxa"/>
          </w:tcPr>
          <w:p w14:paraId="7326BD30" w14:textId="77777777" w:rsidR="00EF3DFB" w:rsidRDefault="00D27C17">
            <w:pPr>
              <w:pStyle w:val="TableParagraph"/>
              <w:spacing w:before="15"/>
              <w:ind w:left="52"/>
              <w:rPr>
                <w:b/>
                <w:sz w:val="20"/>
              </w:rPr>
            </w:pPr>
            <w:r>
              <w:rPr>
                <w:b/>
                <w:sz w:val="20"/>
              </w:rPr>
              <w:t>(in millions)</w:t>
            </w:r>
          </w:p>
        </w:tc>
        <w:tc>
          <w:tcPr>
            <w:tcW w:w="1151" w:type="dxa"/>
            <w:tcBorders>
              <w:top w:val="single" w:sz="18" w:space="0" w:color="000000"/>
              <w:bottom w:val="single" w:sz="8" w:space="0" w:color="000000"/>
            </w:tcBorders>
          </w:tcPr>
          <w:p w14:paraId="7326BD31" w14:textId="77777777" w:rsidR="00EF3DFB" w:rsidRDefault="00D27C17">
            <w:pPr>
              <w:pStyle w:val="TableParagraph"/>
              <w:spacing w:before="61"/>
              <w:ind w:left="368" w:right="422"/>
              <w:jc w:val="center"/>
              <w:rPr>
                <w:b/>
                <w:sz w:val="16"/>
              </w:rPr>
            </w:pPr>
            <w:r>
              <w:rPr>
                <w:b/>
                <w:sz w:val="16"/>
              </w:rPr>
              <w:t>2020</w:t>
            </w:r>
          </w:p>
        </w:tc>
        <w:tc>
          <w:tcPr>
            <w:tcW w:w="2350" w:type="dxa"/>
            <w:tcBorders>
              <w:top w:val="single" w:sz="18" w:space="0" w:color="000000"/>
              <w:bottom w:val="single" w:sz="8" w:space="0" w:color="000000"/>
            </w:tcBorders>
          </w:tcPr>
          <w:p w14:paraId="7326BD32" w14:textId="77777777" w:rsidR="00EF3DFB" w:rsidRDefault="00D27C17">
            <w:pPr>
              <w:pStyle w:val="TableParagraph"/>
              <w:tabs>
                <w:tab w:val="left" w:pos="1414"/>
              </w:tabs>
              <w:spacing w:before="61"/>
              <w:ind w:left="406"/>
              <w:rPr>
                <w:b/>
                <w:sz w:val="16"/>
              </w:rPr>
            </w:pPr>
            <w:r>
              <w:rPr>
                <w:b/>
                <w:sz w:val="16"/>
              </w:rPr>
              <w:t>2019</w:t>
            </w:r>
            <w:r>
              <w:rPr>
                <w:b/>
                <w:sz w:val="16"/>
              </w:rPr>
              <w:tab/>
              <w:t>$</w:t>
            </w:r>
            <w:r>
              <w:rPr>
                <w:b/>
                <w:spacing w:val="-1"/>
                <w:sz w:val="16"/>
              </w:rPr>
              <w:t xml:space="preserve"> </w:t>
            </w:r>
            <w:r>
              <w:rPr>
                <w:b/>
                <w:sz w:val="16"/>
              </w:rPr>
              <w:t>Change</w:t>
            </w:r>
          </w:p>
        </w:tc>
        <w:tc>
          <w:tcPr>
            <w:tcW w:w="1013" w:type="dxa"/>
            <w:tcBorders>
              <w:top w:val="single" w:sz="18" w:space="0" w:color="000000"/>
              <w:bottom w:val="single" w:sz="8" w:space="0" w:color="000000"/>
            </w:tcBorders>
          </w:tcPr>
          <w:p w14:paraId="7326BD33" w14:textId="77777777" w:rsidR="00EF3DFB" w:rsidRDefault="00D27C17">
            <w:pPr>
              <w:pStyle w:val="TableParagraph"/>
              <w:spacing w:before="61"/>
              <w:ind w:left="128" w:right="119"/>
              <w:jc w:val="center"/>
              <w:rPr>
                <w:b/>
                <w:sz w:val="16"/>
              </w:rPr>
            </w:pPr>
            <w:r>
              <w:rPr>
                <w:b/>
                <w:sz w:val="16"/>
              </w:rPr>
              <w:t>% Change</w:t>
            </w:r>
          </w:p>
        </w:tc>
      </w:tr>
      <w:tr w:rsidR="00EF3DFB" w14:paraId="7326BD39" w14:textId="77777777">
        <w:trPr>
          <w:trHeight w:val="290"/>
        </w:trPr>
        <w:tc>
          <w:tcPr>
            <w:tcW w:w="6105" w:type="dxa"/>
            <w:shd w:val="clear" w:color="auto" w:fill="CCEDFF"/>
          </w:tcPr>
          <w:p w14:paraId="7326BD35" w14:textId="77777777" w:rsidR="00EF3DFB" w:rsidRDefault="00D27C17">
            <w:pPr>
              <w:pStyle w:val="TableParagraph"/>
              <w:spacing w:before="9"/>
              <w:ind w:left="52"/>
              <w:rPr>
                <w:sz w:val="20"/>
              </w:rPr>
            </w:pPr>
            <w:r>
              <w:rPr>
                <w:sz w:val="20"/>
              </w:rPr>
              <w:t>Net sales</w:t>
            </w:r>
          </w:p>
        </w:tc>
        <w:tc>
          <w:tcPr>
            <w:tcW w:w="1151" w:type="dxa"/>
            <w:tcBorders>
              <w:top w:val="single" w:sz="8" w:space="0" w:color="000000"/>
            </w:tcBorders>
            <w:shd w:val="clear" w:color="auto" w:fill="CCEDFF"/>
          </w:tcPr>
          <w:p w14:paraId="7326BD36" w14:textId="77777777" w:rsidR="00EF3DFB" w:rsidRDefault="00D27C17">
            <w:pPr>
              <w:pStyle w:val="TableParagraph"/>
              <w:tabs>
                <w:tab w:val="left" w:pos="396"/>
              </w:tabs>
              <w:spacing w:before="27"/>
              <w:ind w:left="52"/>
              <w:rPr>
                <w:sz w:val="20"/>
              </w:rPr>
            </w:pPr>
            <w:r>
              <w:rPr>
                <w:sz w:val="20"/>
              </w:rPr>
              <w:t>$</w:t>
            </w:r>
            <w:r>
              <w:rPr>
                <w:sz w:val="20"/>
              </w:rPr>
              <w:tab/>
              <w:t>1,971</w:t>
            </w:r>
          </w:p>
        </w:tc>
        <w:tc>
          <w:tcPr>
            <w:tcW w:w="2350" w:type="dxa"/>
            <w:tcBorders>
              <w:top w:val="single" w:sz="8" w:space="0" w:color="000000"/>
            </w:tcBorders>
            <w:shd w:val="clear" w:color="auto" w:fill="CCEDFF"/>
          </w:tcPr>
          <w:p w14:paraId="7326BD37" w14:textId="77777777" w:rsidR="00EF3DFB" w:rsidRDefault="00D27C17">
            <w:pPr>
              <w:pStyle w:val="TableParagraph"/>
              <w:tabs>
                <w:tab w:val="left" w:pos="344"/>
                <w:tab w:val="left" w:pos="1169"/>
                <w:tab w:val="left" w:pos="1930"/>
              </w:tabs>
              <w:spacing w:before="27"/>
              <w:ind w:right="145"/>
              <w:jc w:val="right"/>
              <w:rPr>
                <w:sz w:val="20"/>
              </w:rPr>
            </w:pPr>
            <w:r>
              <w:rPr>
                <w:sz w:val="20"/>
              </w:rPr>
              <w:t>$</w:t>
            </w:r>
            <w:r>
              <w:rPr>
                <w:sz w:val="20"/>
              </w:rPr>
              <w:tab/>
              <w:t>1,875</w:t>
            </w:r>
            <w:r>
              <w:rPr>
                <w:sz w:val="20"/>
              </w:rPr>
              <w:tab/>
              <w:t>$</w:t>
            </w:r>
            <w:r>
              <w:rPr>
                <w:sz w:val="20"/>
              </w:rPr>
              <w:tab/>
              <w:t>96</w:t>
            </w:r>
          </w:p>
        </w:tc>
        <w:tc>
          <w:tcPr>
            <w:tcW w:w="1013" w:type="dxa"/>
            <w:tcBorders>
              <w:top w:val="single" w:sz="8" w:space="0" w:color="000000"/>
            </w:tcBorders>
            <w:shd w:val="clear" w:color="auto" w:fill="CCEDFF"/>
          </w:tcPr>
          <w:p w14:paraId="7326BD38" w14:textId="77777777" w:rsidR="00EF3DFB" w:rsidRDefault="00D27C17">
            <w:pPr>
              <w:pStyle w:val="TableParagraph"/>
              <w:spacing w:before="9"/>
              <w:ind w:left="128" w:right="81"/>
              <w:jc w:val="center"/>
              <w:rPr>
                <w:sz w:val="20"/>
              </w:rPr>
            </w:pPr>
            <w:r>
              <w:rPr>
                <w:sz w:val="20"/>
              </w:rPr>
              <w:t>5.1%</w:t>
            </w:r>
          </w:p>
        </w:tc>
      </w:tr>
      <w:tr w:rsidR="00EF3DFB" w14:paraId="7326BD3E" w14:textId="77777777">
        <w:trPr>
          <w:trHeight w:val="300"/>
        </w:trPr>
        <w:tc>
          <w:tcPr>
            <w:tcW w:w="6105" w:type="dxa"/>
          </w:tcPr>
          <w:p w14:paraId="7326BD3A" w14:textId="77777777" w:rsidR="00EF3DFB" w:rsidRDefault="00EF3DFB">
            <w:pPr>
              <w:pStyle w:val="TableParagraph"/>
              <w:rPr>
                <w:sz w:val="18"/>
              </w:rPr>
            </w:pPr>
          </w:p>
        </w:tc>
        <w:tc>
          <w:tcPr>
            <w:tcW w:w="1151" w:type="dxa"/>
          </w:tcPr>
          <w:p w14:paraId="7326BD3B" w14:textId="77777777" w:rsidR="00EF3DFB" w:rsidRDefault="00EF3DFB">
            <w:pPr>
              <w:pStyle w:val="TableParagraph"/>
              <w:rPr>
                <w:sz w:val="18"/>
              </w:rPr>
            </w:pPr>
          </w:p>
        </w:tc>
        <w:tc>
          <w:tcPr>
            <w:tcW w:w="2350" w:type="dxa"/>
          </w:tcPr>
          <w:p w14:paraId="7326BD3C" w14:textId="77777777" w:rsidR="00EF3DFB" w:rsidRDefault="00EF3DFB">
            <w:pPr>
              <w:pStyle w:val="TableParagraph"/>
              <w:rPr>
                <w:sz w:val="18"/>
              </w:rPr>
            </w:pPr>
          </w:p>
        </w:tc>
        <w:tc>
          <w:tcPr>
            <w:tcW w:w="1013" w:type="dxa"/>
          </w:tcPr>
          <w:p w14:paraId="7326BD3D" w14:textId="77777777" w:rsidR="00EF3DFB" w:rsidRDefault="00EF3DFB">
            <w:pPr>
              <w:pStyle w:val="TableParagraph"/>
              <w:rPr>
                <w:sz w:val="18"/>
              </w:rPr>
            </w:pPr>
          </w:p>
        </w:tc>
      </w:tr>
      <w:tr w:rsidR="00EF3DFB" w14:paraId="7326BD43" w14:textId="77777777">
        <w:trPr>
          <w:trHeight w:val="300"/>
        </w:trPr>
        <w:tc>
          <w:tcPr>
            <w:tcW w:w="6105" w:type="dxa"/>
            <w:shd w:val="clear" w:color="auto" w:fill="CCEDFF"/>
          </w:tcPr>
          <w:p w14:paraId="7326BD3F" w14:textId="77777777" w:rsidR="00EF3DFB" w:rsidRDefault="00D27C17">
            <w:pPr>
              <w:pStyle w:val="TableParagraph"/>
              <w:spacing w:before="19"/>
              <w:ind w:left="52"/>
              <w:rPr>
                <w:sz w:val="20"/>
              </w:rPr>
            </w:pPr>
            <w:r>
              <w:rPr>
                <w:sz w:val="20"/>
              </w:rPr>
              <w:t>Operating loss</w:t>
            </w:r>
          </w:p>
        </w:tc>
        <w:tc>
          <w:tcPr>
            <w:tcW w:w="1151" w:type="dxa"/>
            <w:shd w:val="clear" w:color="auto" w:fill="CCEDFF"/>
          </w:tcPr>
          <w:p w14:paraId="7326BD40" w14:textId="77777777" w:rsidR="00EF3DFB" w:rsidRDefault="00D27C17">
            <w:pPr>
              <w:pStyle w:val="TableParagraph"/>
              <w:spacing w:before="37"/>
              <w:ind w:left="580"/>
              <w:rPr>
                <w:sz w:val="20"/>
              </w:rPr>
            </w:pPr>
            <w:r>
              <w:rPr>
                <w:sz w:val="20"/>
              </w:rPr>
              <w:t>(12)</w:t>
            </w:r>
          </w:p>
        </w:tc>
        <w:tc>
          <w:tcPr>
            <w:tcW w:w="2350" w:type="dxa"/>
            <w:shd w:val="clear" w:color="auto" w:fill="CCEDFF"/>
          </w:tcPr>
          <w:p w14:paraId="7326BD41" w14:textId="77777777" w:rsidR="00EF3DFB" w:rsidRDefault="00D27C17">
            <w:pPr>
              <w:pStyle w:val="TableParagraph"/>
              <w:tabs>
                <w:tab w:val="left" w:pos="1503"/>
              </w:tabs>
              <w:spacing w:before="37"/>
              <w:ind w:right="145"/>
              <w:jc w:val="right"/>
              <w:rPr>
                <w:sz w:val="20"/>
              </w:rPr>
            </w:pPr>
            <w:r>
              <w:rPr>
                <w:sz w:val="20"/>
              </w:rPr>
              <w:t>(17)</w:t>
            </w:r>
            <w:r>
              <w:rPr>
                <w:sz w:val="20"/>
              </w:rPr>
              <w:tab/>
              <w:t>5</w:t>
            </w:r>
          </w:p>
        </w:tc>
        <w:tc>
          <w:tcPr>
            <w:tcW w:w="1013" w:type="dxa"/>
            <w:shd w:val="clear" w:color="auto" w:fill="CCEDFF"/>
          </w:tcPr>
          <w:p w14:paraId="7326BD42" w14:textId="77777777" w:rsidR="00EF3DFB" w:rsidRDefault="00D27C17">
            <w:pPr>
              <w:pStyle w:val="TableParagraph"/>
              <w:spacing w:before="19"/>
              <w:ind w:left="128" w:right="81"/>
              <w:jc w:val="center"/>
              <w:rPr>
                <w:sz w:val="20"/>
              </w:rPr>
            </w:pPr>
            <w:r>
              <w:rPr>
                <w:sz w:val="20"/>
              </w:rPr>
              <w:t>29.4%</w:t>
            </w:r>
          </w:p>
        </w:tc>
      </w:tr>
      <w:tr w:rsidR="00EF3DFB" w14:paraId="7326BD48" w14:textId="77777777">
        <w:trPr>
          <w:trHeight w:val="300"/>
        </w:trPr>
        <w:tc>
          <w:tcPr>
            <w:tcW w:w="6105" w:type="dxa"/>
          </w:tcPr>
          <w:p w14:paraId="7326BD44" w14:textId="77777777" w:rsidR="00EF3DFB" w:rsidRDefault="00D27C17">
            <w:pPr>
              <w:pStyle w:val="TableParagraph"/>
              <w:spacing w:before="19"/>
              <w:ind w:left="412"/>
              <w:rPr>
                <w:i/>
                <w:sz w:val="20"/>
              </w:rPr>
            </w:pPr>
            <w:r>
              <w:rPr>
                <w:i/>
                <w:sz w:val="20"/>
              </w:rPr>
              <w:t>Operating margin</w:t>
            </w:r>
          </w:p>
        </w:tc>
        <w:tc>
          <w:tcPr>
            <w:tcW w:w="1151" w:type="dxa"/>
          </w:tcPr>
          <w:p w14:paraId="7326BD45" w14:textId="77777777" w:rsidR="00EF3DFB" w:rsidRDefault="00D27C17">
            <w:pPr>
              <w:pStyle w:val="TableParagraph"/>
              <w:spacing w:before="19"/>
              <w:ind w:left="530"/>
              <w:rPr>
                <w:i/>
                <w:sz w:val="20"/>
              </w:rPr>
            </w:pPr>
            <w:r>
              <w:rPr>
                <w:i/>
                <w:sz w:val="20"/>
              </w:rPr>
              <w:t>(0.6)%</w:t>
            </w:r>
          </w:p>
        </w:tc>
        <w:tc>
          <w:tcPr>
            <w:tcW w:w="2350" w:type="dxa"/>
          </w:tcPr>
          <w:p w14:paraId="7326BD46" w14:textId="77777777" w:rsidR="00EF3DFB" w:rsidRDefault="00D27C17">
            <w:pPr>
              <w:pStyle w:val="TableParagraph"/>
              <w:spacing w:before="19"/>
              <w:ind w:left="549"/>
              <w:rPr>
                <w:i/>
                <w:sz w:val="20"/>
              </w:rPr>
            </w:pPr>
            <w:r>
              <w:rPr>
                <w:i/>
                <w:sz w:val="20"/>
              </w:rPr>
              <w:t>(0.9)%</w:t>
            </w:r>
          </w:p>
        </w:tc>
        <w:tc>
          <w:tcPr>
            <w:tcW w:w="1013" w:type="dxa"/>
          </w:tcPr>
          <w:p w14:paraId="7326BD47" w14:textId="77777777" w:rsidR="00EF3DFB" w:rsidRDefault="00EF3DFB">
            <w:pPr>
              <w:pStyle w:val="TableParagraph"/>
              <w:rPr>
                <w:sz w:val="18"/>
              </w:rPr>
            </w:pPr>
          </w:p>
        </w:tc>
      </w:tr>
      <w:tr w:rsidR="00EF3DFB" w14:paraId="7326BD4D" w14:textId="77777777">
        <w:trPr>
          <w:trHeight w:val="300"/>
        </w:trPr>
        <w:tc>
          <w:tcPr>
            <w:tcW w:w="6105" w:type="dxa"/>
            <w:shd w:val="clear" w:color="auto" w:fill="CCEDFF"/>
          </w:tcPr>
          <w:p w14:paraId="7326BD49" w14:textId="77777777" w:rsidR="00EF3DFB" w:rsidRDefault="00EF3DFB">
            <w:pPr>
              <w:pStyle w:val="TableParagraph"/>
              <w:rPr>
                <w:sz w:val="18"/>
              </w:rPr>
            </w:pPr>
          </w:p>
        </w:tc>
        <w:tc>
          <w:tcPr>
            <w:tcW w:w="1151" w:type="dxa"/>
            <w:shd w:val="clear" w:color="auto" w:fill="CCEDFF"/>
          </w:tcPr>
          <w:p w14:paraId="7326BD4A" w14:textId="77777777" w:rsidR="00EF3DFB" w:rsidRDefault="00EF3DFB">
            <w:pPr>
              <w:pStyle w:val="TableParagraph"/>
              <w:rPr>
                <w:sz w:val="18"/>
              </w:rPr>
            </w:pPr>
          </w:p>
        </w:tc>
        <w:tc>
          <w:tcPr>
            <w:tcW w:w="2350" w:type="dxa"/>
            <w:shd w:val="clear" w:color="auto" w:fill="CCEDFF"/>
          </w:tcPr>
          <w:p w14:paraId="7326BD4B" w14:textId="77777777" w:rsidR="00EF3DFB" w:rsidRDefault="00EF3DFB">
            <w:pPr>
              <w:pStyle w:val="TableParagraph"/>
              <w:rPr>
                <w:sz w:val="18"/>
              </w:rPr>
            </w:pPr>
          </w:p>
        </w:tc>
        <w:tc>
          <w:tcPr>
            <w:tcW w:w="1013" w:type="dxa"/>
            <w:shd w:val="clear" w:color="auto" w:fill="CCEDFF"/>
          </w:tcPr>
          <w:p w14:paraId="7326BD4C" w14:textId="77777777" w:rsidR="00EF3DFB" w:rsidRDefault="00EF3DFB">
            <w:pPr>
              <w:pStyle w:val="TableParagraph"/>
              <w:rPr>
                <w:sz w:val="18"/>
              </w:rPr>
            </w:pPr>
          </w:p>
        </w:tc>
      </w:tr>
      <w:tr w:rsidR="00EF3DFB" w14:paraId="7326BD52" w14:textId="77777777">
        <w:trPr>
          <w:trHeight w:val="300"/>
        </w:trPr>
        <w:tc>
          <w:tcPr>
            <w:tcW w:w="6105" w:type="dxa"/>
          </w:tcPr>
          <w:p w14:paraId="7326BD4E" w14:textId="77777777" w:rsidR="00EF3DFB" w:rsidRDefault="00D27C17">
            <w:pPr>
              <w:pStyle w:val="TableParagraph"/>
              <w:spacing w:before="37"/>
              <w:ind w:left="52"/>
              <w:rPr>
                <w:b/>
                <w:sz w:val="20"/>
              </w:rPr>
            </w:pPr>
            <w:r>
              <w:rPr>
                <w:b/>
                <w:sz w:val="20"/>
              </w:rPr>
              <w:t>Notable items impacting operating loss comparability:</w:t>
            </w:r>
          </w:p>
        </w:tc>
        <w:tc>
          <w:tcPr>
            <w:tcW w:w="1151" w:type="dxa"/>
          </w:tcPr>
          <w:p w14:paraId="7326BD4F" w14:textId="77777777" w:rsidR="00EF3DFB" w:rsidRDefault="00EF3DFB">
            <w:pPr>
              <w:pStyle w:val="TableParagraph"/>
              <w:rPr>
                <w:sz w:val="18"/>
              </w:rPr>
            </w:pPr>
          </w:p>
        </w:tc>
        <w:tc>
          <w:tcPr>
            <w:tcW w:w="2350" w:type="dxa"/>
          </w:tcPr>
          <w:p w14:paraId="7326BD50" w14:textId="77777777" w:rsidR="00EF3DFB" w:rsidRDefault="00EF3DFB">
            <w:pPr>
              <w:pStyle w:val="TableParagraph"/>
              <w:rPr>
                <w:sz w:val="18"/>
              </w:rPr>
            </w:pPr>
          </w:p>
        </w:tc>
        <w:tc>
          <w:tcPr>
            <w:tcW w:w="1013" w:type="dxa"/>
          </w:tcPr>
          <w:p w14:paraId="7326BD51" w14:textId="77777777" w:rsidR="00EF3DFB" w:rsidRDefault="00EF3DFB">
            <w:pPr>
              <w:pStyle w:val="TableParagraph"/>
              <w:rPr>
                <w:sz w:val="18"/>
              </w:rPr>
            </w:pPr>
          </w:p>
        </w:tc>
      </w:tr>
      <w:tr w:rsidR="00EF3DFB" w14:paraId="7326BD57" w14:textId="77777777">
        <w:trPr>
          <w:trHeight w:val="300"/>
        </w:trPr>
        <w:tc>
          <w:tcPr>
            <w:tcW w:w="6105" w:type="dxa"/>
            <w:shd w:val="clear" w:color="auto" w:fill="CCEDFF"/>
          </w:tcPr>
          <w:p w14:paraId="7326BD53" w14:textId="77777777" w:rsidR="00EF3DFB" w:rsidRDefault="00D27C17">
            <w:pPr>
              <w:pStyle w:val="TableParagraph"/>
              <w:spacing w:before="37"/>
              <w:ind w:left="52"/>
              <w:rPr>
                <w:sz w:val="20"/>
              </w:rPr>
            </w:pPr>
            <w:r>
              <w:rPr>
                <w:sz w:val="20"/>
              </w:rPr>
              <w:t>Impairment of goodwill and other intangible assets (See Footnote 7)</w:t>
            </w:r>
          </w:p>
        </w:tc>
        <w:tc>
          <w:tcPr>
            <w:tcW w:w="1151" w:type="dxa"/>
            <w:shd w:val="clear" w:color="auto" w:fill="CCEDFF"/>
          </w:tcPr>
          <w:p w14:paraId="7326BD54" w14:textId="77777777" w:rsidR="00EF3DFB" w:rsidRDefault="00D27C17">
            <w:pPr>
              <w:pStyle w:val="TableParagraph"/>
              <w:spacing w:before="37"/>
              <w:ind w:left="546"/>
              <w:rPr>
                <w:sz w:val="20"/>
              </w:rPr>
            </w:pPr>
            <w:r>
              <w:rPr>
                <w:sz w:val="20"/>
              </w:rPr>
              <w:t>290</w:t>
            </w:r>
          </w:p>
        </w:tc>
        <w:tc>
          <w:tcPr>
            <w:tcW w:w="2350" w:type="dxa"/>
            <w:shd w:val="clear" w:color="auto" w:fill="CCEDFF"/>
          </w:tcPr>
          <w:p w14:paraId="7326BD55" w14:textId="77777777" w:rsidR="00EF3DFB" w:rsidRDefault="00D27C17">
            <w:pPr>
              <w:pStyle w:val="TableParagraph"/>
              <w:tabs>
                <w:tab w:val="left" w:pos="1336"/>
              </w:tabs>
              <w:spacing w:before="37"/>
              <w:ind w:right="145"/>
              <w:jc w:val="right"/>
              <w:rPr>
                <w:sz w:val="20"/>
              </w:rPr>
            </w:pPr>
            <w:r>
              <w:rPr>
                <w:sz w:val="20"/>
              </w:rPr>
              <w:t>158</w:t>
            </w:r>
            <w:r>
              <w:rPr>
                <w:sz w:val="20"/>
              </w:rPr>
              <w:tab/>
              <w:t>132</w:t>
            </w:r>
          </w:p>
        </w:tc>
        <w:tc>
          <w:tcPr>
            <w:tcW w:w="1013" w:type="dxa"/>
            <w:shd w:val="clear" w:color="auto" w:fill="CCEDFF"/>
          </w:tcPr>
          <w:p w14:paraId="7326BD56" w14:textId="77777777" w:rsidR="00EF3DFB" w:rsidRDefault="00EF3DFB">
            <w:pPr>
              <w:pStyle w:val="TableParagraph"/>
              <w:rPr>
                <w:sz w:val="18"/>
              </w:rPr>
            </w:pPr>
          </w:p>
        </w:tc>
      </w:tr>
    </w:tbl>
    <w:p w14:paraId="7326BD58" w14:textId="77777777" w:rsidR="00EF3DFB" w:rsidRDefault="00EF3DFB">
      <w:pPr>
        <w:pStyle w:val="BodyText"/>
        <w:spacing w:before="2"/>
        <w:rPr>
          <w:sz w:val="17"/>
        </w:rPr>
      </w:pPr>
    </w:p>
    <w:p w14:paraId="7326BD59" w14:textId="77777777" w:rsidR="00EF3DFB" w:rsidRDefault="00D27C17">
      <w:pPr>
        <w:pStyle w:val="BodyText"/>
        <w:spacing w:before="91" w:line="249" w:lineRule="auto"/>
        <w:ind w:left="190" w:right="169"/>
        <w:jc w:val="both"/>
      </w:pPr>
      <w:r>
        <w:t>Home Solutions net sales for 2020 increased 5%, as strong sales performance in the Food business unit was partially offset by sales declines in the Home Fragrance business unit. The increase in Food business unit sales reflected increased demand across the</w:t>
      </w:r>
      <w:r>
        <w:t xml:space="preserve"> vacuum sealing, fresh preserving and Rubbermaid Food Storage categories, as a result of the ongoing COVID-19 pandemic, partially offset by supply chain disruption related to the temporary closure of the since re-opened Sistema manufacturing facility in Ne</w:t>
      </w:r>
      <w:r>
        <w:t>w Zealand, as well as supply and capacity constraints negatively affecting the fresh preserving and vacuum sealing categories. The decrease in Home Fragrance sales was primarily due to the temporary closure of all of its North American Yankee Candle retail</w:t>
      </w:r>
      <w:r>
        <w:t xml:space="preserve"> stores, supply chain disruptions resulting from the temporary closure of its key manufacturing facility in Massachusetts and the temporary closure of certain third-party retail stores in the first half of 2020 as a result of the ongoing COVID-19 global pa</w:t>
      </w:r>
      <w:r>
        <w:t>ndemic. Yankee Candle retail stores re-opened during the third quarter. The decrease in Home Fragrance sales also reflected the exit of 77 underperforming Yankee Candle retail stores as well as the exiting of its fundraising business in third quarter of 20</w:t>
      </w:r>
      <w:r>
        <w:t>20. Changes in foreign currency favorably impacted net sales by $4</w:t>
      </w:r>
      <w:r>
        <w:rPr>
          <w:spacing w:val="-4"/>
        </w:rPr>
        <w:t xml:space="preserve"> </w:t>
      </w:r>
      <w:r>
        <w:t>million.</w:t>
      </w:r>
    </w:p>
    <w:p w14:paraId="7326BD5A" w14:textId="77777777" w:rsidR="00EF3DFB" w:rsidRDefault="00EF3DFB">
      <w:pPr>
        <w:pStyle w:val="BodyText"/>
        <w:spacing w:before="8"/>
        <w:rPr>
          <w:sz w:val="21"/>
        </w:rPr>
      </w:pPr>
    </w:p>
    <w:p w14:paraId="7326BD5B" w14:textId="77777777" w:rsidR="00EF3DFB" w:rsidRDefault="00D27C17">
      <w:pPr>
        <w:pStyle w:val="BodyText"/>
        <w:spacing w:line="249" w:lineRule="auto"/>
        <w:ind w:left="190" w:right="168"/>
        <w:jc w:val="both"/>
      </w:pPr>
      <w:r>
        <w:t>Operating loss for 2020 decreased to $12 million as compared to $17 million in 2019. The decrease in operating loss reflects higher sales volume in the Food business unit, cost co</w:t>
      </w:r>
      <w:r>
        <w:t>ntainment initiatives to mitigate the impact while Yankee Candle retail stores and operating facilities were temporarily closed, including employee furloughs, lower discretionary spending, including promotional costs, and gross productivity. This performan</w:t>
      </w:r>
      <w:r>
        <w:t>ce was partially offset by non-cash impairment charges of certain indefinite-lived intangible assets of $290 million recorded in 2020 as compared to $158 million of non-cash impairment charges of goodwill and certain indefinite-lived intangible assets reco</w:t>
      </w:r>
      <w:r>
        <w:t>rded in 2019. Operating loss was also unfavorably impacted by higher costs associated with lower sales volume in the Home Fragrance business unit and the temporary closure of their key manufacturing facility in Massachusetts, during the first half of 2020,</w:t>
      </w:r>
      <w:r>
        <w:t xml:space="preserve"> and non-cash impairment charges of $8 million primarily related to operating leases of its Yankee Candle retail store business.</w:t>
      </w:r>
    </w:p>
    <w:p w14:paraId="7326BD5C" w14:textId="77777777" w:rsidR="00EF3DFB" w:rsidRDefault="00EF3DFB">
      <w:pPr>
        <w:pStyle w:val="BodyText"/>
        <w:spacing w:before="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105"/>
        <w:gridCol w:w="1151"/>
        <w:gridCol w:w="2384"/>
        <w:gridCol w:w="980"/>
      </w:tblGrid>
      <w:tr w:rsidR="00EF3DFB" w14:paraId="7326BD64" w14:textId="77777777">
        <w:trPr>
          <w:trHeight w:val="800"/>
        </w:trPr>
        <w:tc>
          <w:tcPr>
            <w:tcW w:w="6105" w:type="dxa"/>
          </w:tcPr>
          <w:p w14:paraId="7326BD5D" w14:textId="77777777" w:rsidR="00EF3DFB" w:rsidRDefault="00D27C17">
            <w:pPr>
              <w:pStyle w:val="TableParagraph"/>
              <w:spacing w:line="221" w:lineRule="exact"/>
              <w:rPr>
                <w:b/>
                <w:sz w:val="20"/>
              </w:rPr>
            </w:pPr>
            <w:r>
              <w:rPr>
                <w:b/>
                <w:sz w:val="20"/>
              </w:rPr>
              <w:t>Learning and Development</w:t>
            </w:r>
          </w:p>
        </w:tc>
        <w:tc>
          <w:tcPr>
            <w:tcW w:w="1151" w:type="dxa"/>
            <w:tcBorders>
              <w:bottom w:val="single" w:sz="18" w:space="0" w:color="000000"/>
            </w:tcBorders>
          </w:tcPr>
          <w:p w14:paraId="7326BD5E" w14:textId="77777777" w:rsidR="00EF3DFB" w:rsidRDefault="00EF3DFB">
            <w:pPr>
              <w:pStyle w:val="TableParagraph"/>
              <w:rPr>
                <w:sz w:val="18"/>
              </w:rPr>
            </w:pPr>
          </w:p>
        </w:tc>
        <w:tc>
          <w:tcPr>
            <w:tcW w:w="2384" w:type="dxa"/>
            <w:tcBorders>
              <w:bottom w:val="single" w:sz="18" w:space="0" w:color="000000"/>
            </w:tcBorders>
          </w:tcPr>
          <w:p w14:paraId="7326BD5F" w14:textId="77777777" w:rsidR="00EF3DFB" w:rsidRDefault="00EF3DFB">
            <w:pPr>
              <w:pStyle w:val="TableParagraph"/>
              <w:rPr>
                <w:sz w:val="18"/>
              </w:rPr>
            </w:pPr>
          </w:p>
          <w:p w14:paraId="7326BD60" w14:textId="77777777" w:rsidR="00EF3DFB" w:rsidRDefault="00EF3DFB">
            <w:pPr>
              <w:pStyle w:val="TableParagraph"/>
              <w:rPr>
                <w:sz w:val="18"/>
              </w:rPr>
            </w:pPr>
          </w:p>
          <w:p w14:paraId="7326BD61" w14:textId="77777777" w:rsidR="00EF3DFB" w:rsidRDefault="00EF3DFB">
            <w:pPr>
              <w:pStyle w:val="TableParagraph"/>
              <w:spacing w:before="11"/>
              <w:rPr>
                <w:sz w:val="16"/>
              </w:rPr>
            </w:pPr>
          </w:p>
          <w:p w14:paraId="7326BD62" w14:textId="77777777" w:rsidR="00EF3DFB" w:rsidRDefault="00D27C17">
            <w:pPr>
              <w:pStyle w:val="TableParagraph"/>
              <w:spacing w:line="171" w:lineRule="exact"/>
              <w:ind w:left="198"/>
              <w:rPr>
                <w:b/>
                <w:sz w:val="16"/>
              </w:rPr>
            </w:pPr>
            <w:r>
              <w:rPr>
                <w:b/>
                <w:sz w:val="16"/>
              </w:rPr>
              <w:t>Years Ended December 31,</w:t>
            </w:r>
          </w:p>
        </w:tc>
        <w:tc>
          <w:tcPr>
            <w:tcW w:w="980" w:type="dxa"/>
            <w:tcBorders>
              <w:bottom w:val="single" w:sz="18" w:space="0" w:color="000000"/>
            </w:tcBorders>
          </w:tcPr>
          <w:p w14:paraId="7326BD63" w14:textId="77777777" w:rsidR="00EF3DFB" w:rsidRDefault="00EF3DFB">
            <w:pPr>
              <w:pStyle w:val="TableParagraph"/>
              <w:rPr>
                <w:sz w:val="18"/>
              </w:rPr>
            </w:pPr>
          </w:p>
        </w:tc>
      </w:tr>
      <w:tr w:rsidR="00EF3DFB" w14:paraId="7326BD69" w14:textId="77777777">
        <w:trPr>
          <w:trHeight w:val="267"/>
        </w:trPr>
        <w:tc>
          <w:tcPr>
            <w:tcW w:w="6105" w:type="dxa"/>
          </w:tcPr>
          <w:p w14:paraId="7326BD65" w14:textId="77777777" w:rsidR="00EF3DFB" w:rsidRDefault="00D27C17">
            <w:pPr>
              <w:pStyle w:val="TableParagraph"/>
              <w:spacing w:before="17" w:line="230" w:lineRule="exact"/>
              <w:ind w:left="52"/>
              <w:rPr>
                <w:b/>
                <w:sz w:val="20"/>
              </w:rPr>
            </w:pPr>
            <w:r>
              <w:rPr>
                <w:b/>
                <w:sz w:val="20"/>
              </w:rPr>
              <w:t>(in millions)</w:t>
            </w:r>
          </w:p>
        </w:tc>
        <w:tc>
          <w:tcPr>
            <w:tcW w:w="1151" w:type="dxa"/>
            <w:tcBorders>
              <w:top w:val="single" w:sz="18" w:space="0" w:color="000000"/>
              <w:bottom w:val="single" w:sz="8" w:space="0" w:color="000000"/>
            </w:tcBorders>
          </w:tcPr>
          <w:p w14:paraId="7326BD66" w14:textId="77777777" w:rsidR="00EF3DFB" w:rsidRDefault="00D27C17">
            <w:pPr>
              <w:pStyle w:val="TableParagraph"/>
              <w:spacing w:before="63" w:line="184" w:lineRule="exact"/>
              <w:ind w:left="368" w:right="422"/>
              <w:jc w:val="center"/>
              <w:rPr>
                <w:b/>
                <w:sz w:val="16"/>
              </w:rPr>
            </w:pPr>
            <w:r>
              <w:rPr>
                <w:b/>
                <w:sz w:val="16"/>
              </w:rPr>
              <w:t>2020</w:t>
            </w:r>
          </w:p>
        </w:tc>
        <w:tc>
          <w:tcPr>
            <w:tcW w:w="2384" w:type="dxa"/>
            <w:tcBorders>
              <w:top w:val="single" w:sz="18" w:space="0" w:color="000000"/>
              <w:bottom w:val="single" w:sz="8" w:space="0" w:color="000000"/>
            </w:tcBorders>
          </w:tcPr>
          <w:p w14:paraId="7326BD67" w14:textId="77777777" w:rsidR="00EF3DFB" w:rsidRDefault="00D27C17">
            <w:pPr>
              <w:pStyle w:val="TableParagraph"/>
              <w:tabs>
                <w:tab w:val="left" w:pos="1414"/>
              </w:tabs>
              <w:spacing w:before="63" w:line="184" w:lineRule="exact"/>
              <w:ind w:left="406"/>
              <w:rPr>
                <w:b/>
                <w:sz w:val="16"/>
              </w:rPr>
            </w:pPr>
            <w:r>
              <w:rPr>
                <w:b/>
                <w:sz w:val="16"/>
              </w:rPr>
              <w:t>2019</w:t>
            </w:r>
            <w:r>
              <w:rPr>
                <w:b/>
                <w:sz w:val="16"/>
              </w:rPr>
              <w:tab/>
              <w:t>$</w:t>
            </w:r>
            <w:r>
              <w:rPr>
                <w:b/>
                <w:spacing w:val="-1"/>
                <w:sz w:val="16"/>
              </w:rPr>
              <w:t xml:space="preserve"> </w:t>
            </w:r>
            <w:r>
              <w:rPr>
                <w:b/>
                <w:sz w:val="16"/>
              </w:rPr>
              <w:t>Change</w:t>
            </w:r>
          </w:p>
        </w:tc>
        <w:tc>
          <w:tcPr>
            <w:tcW w:w="980" w:type="dxa"/>
            <w:tcBorders>
              <w:top w:val="single" w:sz="18" w:space="0" w:color="000000"/>
              <w:bottom w:val="single" w:sz="8" w:space="0" w:color="000000"/>
            </w:tcBorders>
          </w:tcPr>
          <w:p w14:paraId="7326BD68" w14:textId="77777777" w:rsidR="00EF3DFB" w:rsidRDefault="00D27C17">
            <w:pPr>
              <w:pStyle w:val="TableParagraph"/>
              <w:spacing w:before="63" w:line="184" w:lineRule="exact"/>
              <w:ind w:left="115"/>
              <w:rPr>
                <w:b/>
                <w:sz w:val="16"/>
              </w:rPr>
            </w:pPr>
            <w:r>
              <w:rPr>
                <w:b/>
                <w:sz w:val="16"/>
              </w:rPr>
              <w:t>% Change</w:t>
            </w:r>
          </w:p>
        </w:tc>
      </w:tr>
      <w:tr w:rsidR="00EF3DFB" w14:paraId="7326BD6E" w14:textId="77777777">
        <w:trPr>
          <w:trHeight w:val="290"/>
        </w:trPr>
        <w:tc>
          <w:tcPr>
            <w:tcW w:w="6105" w:type="dxa"/>
            <w:shd w:val="clear" w:color="auto" w:fill="CCEDFF"/>
          </w:tcPr>
          <w:p w14:paraId="7326BD6A" w14:textId="77777777" w:rsidR="00EF3DFB" w:rsidRDefault="00D27C17">
            <w:pPr>
              <w:pStyle w:val="TableParagraph"/>
              <w:spacing w:before="12"/>
              <w:ind w:left="52"/>
              <w:rPr>
                <w:sz w:val="20"/>
              </w:rPr>
            </w:pPr>
            <w:r>
              <w:rPr>
                <w:sz w:val="20"/>
              </w:rPr>
              <w:t>Net sales</w:t>
            </w:r>
          </w:p>
        </w:tc>
        <w:tc>
          <w:tcPr>
            <w:tcW w:w="1151" w:type="dxa"/>
            <w:tcBorders>
              <w:top w:val="single" w:sz="8" w:space="0" w:color="000000"/>
            </w:tcBorders>
            <w:shd w:val="clear" w:color="auto" w:fill="CCEDFF"/>
          </w:tcPr>
          <w:p w14:paraId="7326BD6B" w14:textId="77777777" w:rsidR="00EF3DFB" w:rsidRDefault="00D27C17">
            <w:pPr>
              <w:pStyle w:val="TableParagraph"/>
              <w:tabs>
                <w:tab w:val="left" w:pos="396"/>
              </w:tabs>
              <w:spacing w:before="30"/>
              <w:ind w:left="52"/>
              <w:rPr>
                <w:sz w:val="20"/>
              </w:rPr>
            </w:pPr>
            <w:r>
              <w:rPr>
                <w:sz w:val="20"/>
              </w:rPr>
              <w:t>$</w:t>
            </w:r>
            <w:r>
              <w:rPr>
                <w:sz w:val="20"/>
              </w:rPr>
              <w:tab/>
              <w:t>2,557</w:t>
            </w:r>
          </w:p>
        </w:tc>
        <w:tc>
          <w:tcPr>
            <w:tcW w:w="2384" w:type="dxa"/>
            <w:tcBorders>
              <w:top w:val="single" w:sz="8" w:space="0" w:color="000000"/>
            </w:tcBorders>
            <w:shd w:val="clear" w:color="auto" w:fill="CCEDFF"/>
          </w:tcPr>
          <w:p w14:paraId="7326BD6C" w14:textId="77777777" w:rsidR="00EF3DFB" w:rsidRDefault="00D27C17">
            <w:pPr>
              <w:pStyle w:val="TableParagraph"/>
              <w:tabs>
                <w:tab w:val="left" w:pos="415"/>
                <w:tab w:val="left" w:pos="1241"/>
                <w:tab w:val="left" w:pos="1835"/>
              </w:tabs>
              <w:spacing w:before="30"/>
              <w:ind w:left="71"/>
              <w:rPr>
                <w:sz w:val="20"/>
              </w:rPr>
            </w:pPr>
            <w:r>
              <w:rPr>
                <w:sz w:val="20"/>
              </w:rPr>
              <w:t>$</w:t>
            </w:r>
            <w:r>
              <w:rPr>
                <w:sz w:val="20"/>
              </w:rPr>
              <w:tab/>
            </w:r>
            <w:r>
              <w:rPr>
                <w:sz w:val="20"/>
              </w:rPr>
              <w:t>2,956</w:t>
            </w:r>
            <w:r>
              <w:rPr>
                <w:sz w:val="20"/>
              </w:rPr>
              <w:tab/>
              <w:t>$</w:t>
            </w:r>
            <w:r>
              <w:rPr>
                <w:sz w:val="20"/>
              </w:rPr>
              <w:tab/>
              <w:t>(399)</w:t>
            </w:r>
          </w:p>
        </w:tc>
        <w:tc>
          <w:tcPr>
            <w:tcW w:w="980" w:type="dxa"/>
            <w:tcBorders>
              <w:top w:val="single" w:sz="8" w:space="0" w:color="000000"/>
            </w:tcBorders>
            <w:shd w:val="clear" w:color="auto" w:fill="CCEDFF"/>
          </w:tcPr>
          <w:p w14:paraId="7326BD6D" w14:textId="77777777" w:rsidR="00EF3DFB" w:rsidRDefault="00D27C17">
            <w:pPr>
              <w:pStyle w:val="TableParagraph"/>
              <w:spacing w:before="12"/>
              <w:ind w:left="171"/>
              <w:rPr>
                <w:sz w:val="20"/>
              </w:rPr>
            </w:pPr>
            <w:r>
              <w:rPr>
                <w:sz w:val="20"/>
              </w:rPr>
              <w:t>(13.5)%</w:t>
            </w:r>
          </w:p>
        </w:tc>
      </w:tr>
      <w:tr w:rsidR="00EF3DFB" w14:paraId="7326BD73" w14:textId="77777777">
        <w:trPr>
          <w:trHeight w:val="300"/>
        </w:trPr>
        <w:tc>
          <w:tcPr>
            <w:tcW w:w="6105" w:type="dxa"/>
          </w:tcPr>
          <w:p w14:paraId="7326BD6F" w14:textId="77777777" w:rsidR="00EF3DFB" w:rsidRDefault="00EF3DFB">
            <w:pPr>
              <w:pStyle w:val="TableParagraph"/>
              <w:rPr>
                <w:sz w:val="18"/>
              </w:rPr>
            </w:pPr>
          </w:p>
        </w:tc>
        <w:tc>
          <w:tcPr>
            <w:tcW w:w="1151" w:type="dxa"/>
          </w:tcPr>
          <w:p w14:paraId="7326BD70" w14:textId="77777777" w:rsidR="00EF3DFB" w:rsidRDefault="00EF3DFB">
            <w:pPr>
              <w:pStyle w:val="TableParagraph"/>
              <w:rPr>
                <w:sz w:val="18"/>
              </w:rPr>
            </w:pPr>
          </w:p>
        </w:tc>
        <w:tc>
          <w:tcPr>
            <w:tcW w:w="2384" w:type="dxa"/>
          </w:tcPr>
          <w:p w14:paraId="7326BD71" w14:textId="77777777" w:rsidR="00EF3DFB" w:rsidRDefault="00EF3DFB">
            <w:pPr>
              <w:pStyle w:val="TableParagraph"/>
              <w:rPr>
                <w:sz w:val="18"/>
              </w:rPr>
            </w:pPr>
          </w:p>
        </w:tc>
        <w:tc>
          <w:tcPr>
            <w:tcW w:w="980" w:type="dxa"/>
          </w:tcPr>
          <w:p w14:paraId="7326BD72" w14:textId="77777777" w:rsidR="00EF3DFB" w:rsidRDefault="00EF3DFB">
            <w:pPr>
              <w:pStyle w:val="TableParagraph"/>
              <w:rPr>
                <w:sz w:val="18"/>
              </w:rPr>
            </w:pPr>
          </w:p>
        </w:tc>
      </w:tr>
      <w:tr w:rsidR="00EF3DFB" w14:paraId="7326BD78" w14:textId="77777777">
        <w:trPr>
          <w:trHeight w:val="300"/>
        </w:trPr>
        <w:tc>
          <w:tcPr>
            <w:tcW w:w="6105" w:type="dxa"/>
            <w:shd w:val="clear" w:color="auto" w:fill="CCEDFF"/>
          </w:tcPr>
          <w:p w14:paraId="7326BD74" w14:textId="77777777" w:rsidR="00EF3DFB" w:rsidRDefault="00D27C17">
            <w:pPr>
              <w:pStyle w:val="TableParagraph"/>
              <w:spacing w:before="22"/>
              <w:ind w:left="52"/>
              <w:rPr>
                <w:sz w:val="20"/>
              </w:rPr>
            </w:pPr>
            <w:r>
              <w:rPr>
                <w:sz w:val="20"/>
              </w:rPr>
              <w:t>Operating income</w:t>
            </w:r>
          </w:p>
        </w:tc>
        <w:tc>
          <w:tcPr>
            <w:tcW w:w="1151" w:type="dxa"/>
            <w:shd w:val="clear" w:color="auto" w:fill="CCEDFF"/>
          </w:tcPr>
          <w:p w14:paraId="7326BD75" w14:textId="77777777" w:rsidR="00EF3DFB" w:rsidRDefault="00D27C17">
            <w:pPr>
              <w:pStyle w:val="TableParagraph"/>
              <w:spacing w:before="40"/>
              <w:ind w:left="546"/>
              <w:rPr>
                <w:sz w:val="20"/>
              </w:rPr>
            </w:pPr>
            <w:r>
              <w:rPr>
                <w:sz w:val="20"/>
              </w:rPr>
              <w:t>362</w:t>
            </w:r>
          </w:p>
        </w:tc>
        <w:tc>
          <w:tcPr>
            <w:tcW w:w="2384" w:type="dxa"/>
            <w:shd w:val="clear" w:color="auto" w:fill="CCEDFF"/>
          </w:tcPr>
          <w:p w14:paraId="7326BD76" w14:textId="77777777" w:rsidR="00EF3DFB" w:rsidRDefault="00D27C17">
            <w:pPr>
              <w:pStyle w:val="TableParagraph"/>
              <w:tabs>
                <w:tab w:val="left" w:pos="1835"/>
              </w:tabs>
              <w:spacing w:before="40"/>
              <w:ind w:left="565"/>
              <w:rPr>
                <w:sz w:val="20"/>
              </w:rPr>
            </w:pPr>
            <w:r>
              <w:rPr>
                <w:sz w:val="20"/>
              </w:rPr>
              <w:t>588</w:t>
            </w:r>
            <w:r>
              <w:rPr>
                <w:sz w:val="20"/>
              </w:rPr>
              <w:tab/>
              <w:t>(226)</w:t>
            </w:r>
          </w:p>
        </w:tc>
        <w:tc>
          <w:tcPr>
            <w:tcW w:w="980" w:type="dxa"/>
            <w:shd w:val="clear" w:color="auto" w:fill="CCEDFF"/>
          </w:tcPr>
          <w:p w14:paraId="7326BD77" w14:textId="77777777" w:rsidR="00EF3DFB" w:rsidRDefault="00D27C17">
            <w:pPr>
              <w:pStyle w:val="TableParagraph"/>
              <w:spacing w:before="22"/>
              <w:ind w:left="171"/>
              <w:rPr>
                <w:sz w:val="20"/>
              </w:rPr>
            </w:pPr>
            <w:r>
              <w:rPr>
                <w:sz w:val="20"/>
              </w:rPr>
              <w:t>(38.4)%</w:t>
            </w:r>
          </w:p>
        </w:tc>
      </w:tr>
      <w:tr w:rsidR="00EF3DFB" w14:paraId="7326BD7D" w14:textId="77777777">
        <w:trPr>
          <w:trHeight w:val="300"/>
        </w:trPr>
        <w:tc>
          <w:tcPr>
            <w:tcW w:w="6105" w:type="dxa"/>
          </w:tcPr>
          <w:p w14:paraId="7326BD79" w14:textId="77777777" w:rsidR="00EF3DFB" w:rsidRDefault="00D27C17">
            <w:pPr>
              <w:pStyle w:val="TableParagraph"/>
              <w:spacing w:before="22"/>
              <w:ind w:left="412"/>
              <w:rPr>
                <w:i/>
                <w:sz w:val="20"/>
              </w:rPr>
            </w:pPr>
            <w:r>
              <w:rPr>
                <w:i/>
                <w:sz w:val="20"/>
              </w:rPr>
              <w:t>Operating margin</w:t>
            </w:r>
          </w:p>
        </w:tc>
        <w:tc>
          <w:tcPr>
            <w:tcW w:w="1151" w:type="dxa"/>
          </w:tcPr>
          <w:p w14:paraId="7326BD7A" w14:textId="77777777" w:rsidR="00EF3DFB" w:rsidRDefault="00D27C17">
            <w:pPr>
              <w:pStyle w:val="TableParagraph"/>
              <w:spacing w:before="22"/>
              <w:ind w:left="496"/>
              <w:rPr>
                <w:i/>
                <w:sz w:val="20"/>
              </w:rPr>
            </w:pPr>
            <w:r>
              <w:rPr>
                <w:i/>
                <w:sz w:val="20"/>
              </w:rPr>
              <w:t>14.2 %</w:t>
            </w:r>
          </w:p>
        </w:tc>
        <w:tc>
          <w:tcPr>
            <w:tcW w:w="2384" w:type="dxa"/>
          </w:tcPr>
          <w:p w14:paraId="7326BD7B" w14:textId="77777777" w:rsidR="00EF3DFB" w:rsidRDefault="00D27C17">
            <w:pPr>
              <w:pStyle w:val="TableParagraph"/>
              <w:spacing w:before="22"/>
              <w:ind w:left="515"/>
              <w:rPr>
                <w:i/>
                <w:sz w:val="20"/>
              </w:rPr>
            </w:pPr>
            <w:r>
              <w:rPr>
                <w:i/>
                <w:sz w:val="20"/>
              </w:rPr>
              <w:t>19.9 %</w:t>
            </w:r>
          </w:p>
        </w:tc>
        <w:tc>
          <w:tcPr>
            <w:tcW w:w="980" w:type="dxa"/>
          </w:tcPr>
          <w:p w14:paraId="7326BD7C" w14:textId="77777777" w:rsidR="00EF3DFB" w:rsidRDefault="00EF3DFB">
            <w:pPr>
              <w:pStyle w:val="TableParagraph"/>
              <w:rPr>
                <w:sz w:val="18"/>
              </w:rPr>
            </w:pPr>
          </w:p>
        </w:tc>
      </w:tr>
      <w:tr w:rsidR="00EF3DFB" w14:paraId="7326BD82" w14:textId="77777777">
        <w:trPr>
          <w:trHeight w:val="300"/>
        </w:trPr>
        <w:tc>
          <w:tcPr>
            <w:tcW w:w="6105" w:type="dxa"/>
            <w:shd w:val="clear" w:color="auto" w:fill="CCEDFF"/>
          </w:tcPr>
          <w:p w14:paraId="7326BD7E" w14:textId="77777777" w:rsidR="00EF3DFB" w:rsidRDefault="00EF3DFB">
            <w:pPr>
              <w:pStyle w:val="TableParagraph"/>
              <w:rPr>
                <w:sz w:val="18"/>
              </w:rPr>
            </w:pPr>
          </w:p>
        </w:tc>
        <w:tc>
          <w:tcPr>
            <w:tcW w:w="1151" w:type="dxa"/>
            <w:shd w:val="clear" w:color="auto" w:fill="CCEDFF"/>
          </w:tcPr>
          <w:p w14:paraId="7326BD7F" w14:textId="77777777" w:rsidR="00EF3DFB" w:rsidRDefault="00EF3DFB">
            <w:pPr>
              <w:pStyle w:val="TableParagraph"/>
              <w:rPr>
                <w:sz w:val="18"/>
              </w:rPr>
            </w:pPr>
          </w:p>
        </w:tc>
        <w:tc>
          <w:tcPr>
            <w:tcW w:w="2384" w:type="dxa"/>
            <w:shd w:val="clear" w:color="auto" w:fill="CCEDFF"/>
          </w:tcPr>
          <w:p w14:paraId="7326BD80" w14:textId="77777777" w:rsidR="00EF3DFB" w:rsidRDefault="00EF3DFB">
            <w:pPr>
              <w:pStyle w:val="TableParagraph"/>
              <w:rPr>
                <w:sz w:val="18"/>
              </w:rPr>
            </w:pPr>
          </w:p>
        </w:tc>
        <w:tc>
          <w:tcPr>
            <w:tcW w:w="980" w:type="dxa"/>
            <w:shd w:val="clear" w:color="auto" w:fill="CCEDFF"/>
          </w:tcPr>
          <w:p w14:paraId="7326BD81" w14:textId="77777777" w:rsidR="00EF3DFB" w:rsidRDefault="00EF3DFB">
            <w:pPr>
              <w:pStyle w:val="TableParagraph"/>
              <w:rPr>
                <w:sz w:val="18"/>
              </w:rPr>
            </w:pPr>
          </w:p>
        </w:tc>
      </w:tr>
      <w:tr w:rsidR="00EF3DFB" w14:paraId="7326BD87" w14:textId="77777777">
        <w:trPr>
          <w:trHeight w:val="300"/>
        </w:trPr>
        <w:tc>
          <w:tcPr>
            <w:tcW w:w="6105" w:type="dxa"/>
          </w:tcPr>
          <w:p w14:paraId="7326BD83" w14:textId="77777777" w:rsidR="00EF3DFB" w:rsidRDefault="00D27C17">
            <w:pPr>
              <w:pStyle w:val="TableParagraph"/>
              <w:spacing w:before="40"/>
              <w:ind w:left="52"/>
              <w:rPr>
                <w:b/>
                <w:sz w:val="20"/>
              </w:rPr>
            </w:pPr>
            <w:r>
              <w:rPr>
                <w:b/>
                <w:sz w:val="20"/>
              </w:rPr>
              <w:t>Notable items impacting operating income comparability:</w:t>
            </w:r>
          </w:p>
        </w:tc>
        <w:tc>
          <w:tcPr>
            <w:tcW w:w="1151" w:type="dxa"/>
          </w:tcPr>
          <w:p w14:paraId="7326BD84" w14:textId="77777777" w:rsidR="00EF3DFB" w:rsidRDefault="00EF3DFB">
            <w:pPr>
              <w:pStyle w:val="TableParagraph"/>
              <w:rPr>
                <w:sz w:val="18"/>
              </w:rPr>
            </w:pPr>
          </w:p>
        </w:tc>
        <w:tc>
          <w:tcPr>
            <w:tcW w:w="2384" w:type="dxa"/>
          </w:tcPr>
          <w:p w14:paraId="7326BD85" w14:textId="77777777" w:rsidR="00EF3DFB" w:rsidRDefault="00EF3DFB">
            <w:pPr>
              <w:pStyle w:val="TableParagraph"/>
              <w:rPr>
                <w:sz w:val="18"/>
              </w:rPr>
            </w:pPr>
          </w:p>
        </w:tc>
        <w:tc>
          <w:tcPr>
            <w:tcW w:w="980" w:type="dxa"/>
          </w:tcPr>
          <w:p w14:paraId="7326BD86" w14:textId="77777777" w:rsidR="00EF3DFB" w:rsidRDefault="00EF3DFB">
            <w:pPr>
              <w:pStyle w:val="TableParagraph"/>
              <w:rPr>
                <w:sz w:val="18"/>
              </w:rPr>
            </w:pPr>
          </w:p>
        </w:tc>
      </w:tr>
      <w:tr w:rsidR="00EF3DFB" w14:paraId="7326BD8C" w14:textId="77777777">
        <w:trPr>
          <w:trHeight w:val="300"/>
        </w:trPr>
        <w:tc>
          <w:tcPr>
            <w:tcW w:w="6105" w:type="dxa"/>
            <w:shd w:val="clear" w:color="auto" w:fill="CCEDFF"/>
          </w:tcPr>
          <w:p w14:paraId="7326BD88"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BD89" w14:textId="77777777" w:rsidR="00EF3DFB" w:rsidRDefault="00D27C17">
            <w:pPr>
              <w:pStyle w:val="TableParagraph"/>
              <w:tabs>
                <w:tab w:val="left" w:pos="546"/>
              </w:tabs>
              <w:spacing w:before="40"/>
              <w:ind w:left="52"/>
              <w:rPr>
                <w:sz w:val="20"/>
              </w:rPr>
            </w:pPr>
            <w:r>
              <w:rPr>
                <w:sz w:val="20"/>
              </w:rPr>
              <w:t>$</w:t>
            </w:r>
            <w:r>
              <w:rPr>
                <w:sz w:val="20"/>
              </w:rPr>
              <w:tab/>
              <w:t>100</w:t>
            </w:r>
          </w:p>
        </w:tc>
        <w:tc>
          <w:tcPr>
            <w:tcW w:w="2384" w:type="dxa"/>
            <w:shd w:val="clear" w:color="auto" w:fill="CCEDFF"/>
          </w:tcPr>
          <w:p w14:paraId="7326BD8A" w14:textId="77777777" w:rsidR="00EF3DFB" w:rsidRDefault="00D27C17">
            <w:pPr>
              <w:pStyle w:val="TableParagraph"/>
              <w:tabs>
                <w:tab w:val="left" w:pos="665"/>
                <w:tab w:val="left" w:pos="1241"/>
                <w:tab w:val="left" w:pos="2002"/>
              </w:tabs>
              <w:spacing w:before="40"/>
              <w:ind w:left="71"/>
              <w:rPr>
                <w:sz w:val="20"/>
              </w:rPr>
            </w:pPr>
            <w:r>
              <w:rPr>
                <w:sz w:val="20"/>
              </w:rPr>
              <w:t>$</w:t>
            </w:r>
            <w:r>
              <w:rPr>
                <w:sz w:val="20"/>
              </w:rPr>
              <w:tab/>
              <w:t>25</w:t>
            </w:r>
            <w:r>
              <w:rPr>
                <w:sz w:val="20"/>
              </w:rPr>
              <w:tab/>
              <w:t>$</w:t>
            </w:r>
            <w:r>
              <w:rPr>
                <w:sz w:val="20"/>
              </w:rPr>
              <w:tab/>
              <w:t>75</w:t>
            </w:r>
          </w:p>
        </w:tc>
        <w:tc>
          <w:tcPr>
            <w:tcW w:w="980" w:type="dxa"/>
            <w:shd w:val="clear" w:color="auto" w:fill="CCEDFF"/>
          </w:tcPr>
          <w:p w14:paraId="7326BD8B" w14:textId="77777777" w:rsidR="00EF3DFB" w:rsidRDefault="00EF3DFB">
            <w:pPr>
              <w:pStyle w:val="TableParagraph"/>
              <w:rPr>
                <w:sz w:val="18"/>
              </w:rPr>
            </w:pPr>
          </w:p>
        </w:tc>
      </w:tr>
    </w:tbl>
    <w:p w14:paraId="7326BD8D" w14:textId="77777777" w:rsidR="00EF3DFB" w:rsidRDefault="00EF3DFB">
      <w:pPr>
        <w:pStyle w:val="BodyText"/>
        <w:spacing w:before="4"/>
        <w:rPr>
          <w:sz w:val="25"/>
        </w:rPr>
      </w:pPr>
    </w:p>
    <w:p w14:paraId="7326BD8E" w14:textId="77777777" w:rsidR="00EF3DFB" w:rsidRDefault="00D27C17">
      <w:pPr>
        <w:pStyle w:val="BodyText"/>
        <w:spacing w:line="249" w:lineRule="auto"/>
        <w:ind w:left="190" w:right="168"/>
        <w:jc w:val="both"/>
      </w:pPr>
      <w:r>
        <w:t xml:space="preserve">Learning and Development net sales for 2020 decreased 13% primarily due to the shift in consumer purchasing patterns, third-party retail store closures and supply chain disruptions affecting the Writing and Baby and Parenting business units as a result of </w:t>
      </w:r>
      <w:r>
        <w:t xml:space="preserve">the ongoing COVID-19 global pandemic, including the impact of the delayed re-opening of schools and offices. In particular, the ongoing COVID-19 global pandemic negatively impacted consumption patterns of markers, pens and dry erase products. In addition, </w:t>
      </w:r>
      <w:r>
        <w:t>the net sales decline also reflected softening trends related to sales of slime-related adhesive products, which is expected to continue in 2021, as well as the exiting of the North American distribution of Uniball® products in the prior year. Net sales fo</w:t>
      </w:r>
      <w:r>
        <w:t>r the Baby and Parenting business were relatively flat for 2020. Changes in foreign currency unfavorably impacted net sales by $5 million.</w:t>
      </w:r>
    </w:p>
    <w:p w14:paraId="7326BD8F" w14:textId="77777777" w:rsidR="00EF3DFB" w:rsidRDefault="00EF3DFB">
      <w:pPr>
        <w:spacing w:line="249" w:lineRule="auto"/>
        <w:jc w:val="both"/>
        <w:sectPr w:rsidR="00EF3DFB">
          <w:pgSz w:w="12240" w:h="15840"/>
          <w:pgMar w:top="680" w:right="640" w:bottom="480" w:left="620" w:header="0" w:footer="291" w:gutter="0"/>
          <w:cols w:space="720"/>
        </w:sectPr>
      </w:pPr>
    </w:p>
    <w:p w14:paraId="7326BD90" w14:textId="77777777" w:rsidR="00EF3DFB" w:rsidRDefault="00D27C17">
      <w:pPr>
        <w:pStyle w:val="BodyText"/>
        <w:spacing w:before="72" w:line="249" w:lineRule="auto"/>
        <w:ind w:left="190" w:right="167"/>
        <w:jc w:val="both"/>
      </w:pPr>
      <w:r>
        <w:lastRenderedPageBreak/>
        <w:t>Operating income for 2020 decreased to $362 million as compared to $588 million in the prior year perio</w:t>
      </w:r>
      <w:r>
        <w:t>d. Operating income was unfavorably impacted by lower sales as mentioned above, higher costs associated with lower sales volume and certain temporary manufacturing closures, higher non-cash impairment charges and increased costs associated with the COVID-1</w:t>
      </w:r>
      <w:r>
        <w:t>9 global pandemic, partially offset by lower overhead, productivity improvements and discretionary spending, including advertising and promotional costs.</w:t>
      </w:r>
    </w:p>
    <w:p w14:paraId="7326BD91" w14:textId="77777777" w:rsidR="00EF3DFB" w:rsidRDefault="00EF3DFB">
      <w:pPr>
        <w:pStyle w:val="BodyText"/>
        <w:spacing w:before="7"/>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105"/>
        <w:gridCol w:w="1151"/>
        <w:gridCol w:w="2384"/>
        <w:gridCol w:w="980"/>
      </w:tblGrid>
      <w:tr w:rsidR="00EF3DFB" w14:paraId="7326BD98" w14:textId="77777777">
        <w:trPr>
          <w:trHeight w:val="560"/>
        </w:trPr>
        <w:tc>
          <w:tcPr>
            <w:tcW w:w="6105" w:type="dxa"/>
          </w:tcPr>
          <w:p w14:paraId="7326BD92" w14:textId="77777777" w:rsidR="00EF3DFB" w:rsidRDefault="00D27C17">
            <w:pPr>
              <w:pStyle w:val="TableParagraph"/>
              <w:spacing w:line="221" w:lineRule="exact"/>
              <w:rPr>
                <w:b/>
                <w:sz w:val="20"/>
              </w:rPr>
            </w:pPr>
            <w:r>
              <w:rPr>
                <w:b/>
                <w:sz w:val="20"/>
              </w:rPr>
              <w:t>Outdoor and Recreation</w:t>
            </w:r>
          </w:p>
        </w:tc>
        <w:tc>
          <w:tcPr>
            <w:tcW w:w="1151" w:type="dxa"/>
            <w:tcBorders>
              <w:bottom w:val="single" w:sz="18" w:space="0" w:color="000000"/>
            </w:tcBorders>
          </w:tcPr>
          <w:p w14:paraId="7326BD93" w14:textId="77777777" w:rsidR="00EF3DFB" w:rsidRDefault="00EF3DFB">
            <w:pPr>
              <w:pStyle w:val="TableParagraph"/>
              <w:rPr>
                <w:sz w:val="18"/>
              </w:rPr>
            </w:pPr>
          </w:p>
        </w:tc>
        <w:tc>
          <w:tcPr>
            <w:tcW w:w="2384" w:type="dxa"/>
            <w:tcBorders>
              <w:bottom w:val="single" w:sz="18" w:space="0" w:color="000000"/>
            </w:tcBorders>
          </w:tcPr>
          <w:p w14:paraId="7326BD94" w14:textId="77777777" w:rsidR="00EF3DFB" w:rsidRDefault="00EF3DFB">
            <w:pPr>
              <w:pStyle w:val="TableParagraph"/>
              <w:rPr>
                <w:sz w:val="18"/>
              </w:rPr>
            </w:pPr>
          </w:p>
          <w:p w14:paraId="7326BD95" w14:textId="77777777" w:rsidR="00EF3DFB" w:rsidRDefault="00EF3DFB">
            <w:pPr>
              <w:pStyle w:val="TableParagraph"/>
              <w:spacing w:before="1"/>
              <w:rPr>
                <w:sz w:val="14"/>
              </w:rPr>
            </w:pPr>
          </w:p>
          <w:p w14:paraId="7326BD96" w14:textId="77777777" w:rsidR="00EF3DFB" w:rsidRDefault="00D27C17">
            <w:pPr>
              <w:pStyle w:val="TableParagraph"/>
              <w:spacing w:line="171" w:lineRule="exact"/>
              <w:ind w:left="198"/>
              <w:rPr>
                <w:b/>
                <w:sz w:val="16"/>
              </w:rPr>
            </w:pPr>
            <w:r>
              <w:rPr>
                <w:b/>
                <w:sz w:val="16"/>
              </w:rPr>
              <w:t>Years Ended December 31,</w:t>
            </w:r>
          </w:p>
        </w:tc>
        <w:tc>
          <w:tcPr>
            <w:tcW w:w="980" w:type="dxa"/>
            <w:tcBorders>
              <w:bottom w:val="single" w:sz="18" w:space="0" w:color="000000"/>
            </w:tcBorders>
          </w:tcPr>
          <w:p w14:paraId="7326BD97" w14:textId="77777777" w:rsidR="00EF3DFB" w:rsidRDefault="00EF3DFB">
            <w:pPr>
              <w:pStyle w:val="TableParagraph"/>
              <w:rPr>
                <w:sz w:val="18"/>
              </w:rPr>
            </w:pPr>
          </w:p>
        </w:tc>
      </w:tr>
      <w:tr w:rsidR="00EF3DFB" w14:paraId="7326BD9D" w14:textId="77777777">
        <w:trPr>
          <w:trHeight w:val="267"/>
        </w:trPr>
        <w:tc>
          <w:tcPr>
            <w:tcW w:w="6105" w:type="dxa"/>
          </w:tcPr>
          <w:p w14:paraId="7326BD99" w14:textId="77777777" w:rsidR="00EF3DFB" w:rsidRDefault="00D27C17">
            <w:pPr>
              <w:pStyle w:val="TableParagraph"/>
              <w:spacing w:before="17" w:line="230" w:lineRule="exact"/>
              <w:ind w:left="52"/>
              <w:rPr>
                <w:b/>
                <w:sz w:val="20"/>
              </w:rPr>
            </w:pPr>
            <w:r>
              <w:rPr>
                <w:b/>
                <w:sz w:val="20"/>
              </w:rPr>
              <w:t>(in millions)</w:t>
            </w:r>
          </w:p>
        </w:tc>
        <w:tc>
          <w:tcPr>
            <w:tcW w:w="1151" w:type="dxa"/>
            <w:tcBorders>
              <w:top w:val="single" w:sz="18" w:space="0" w:color="000000"/>
              <w:bottom w:val="single" w:sz="8" w:space="0" w:color="000000"/>
            </w:tcBorders>
          </w:tcPr>
          <w:p w14:paraId="7326BD9A" w14:textId="77777777" w:rsidR="00EF3DFB" w:rsidRDefault="00D27C17">
            <w:pPr>
              <w:pStyle w:val="TableParagraph"/>
              <w:spacing w:before="63" w:line="184" w:lineRule="exact"/>
              <w:ind w:left="368" w:right="422"/>
              <w:jc w:val="center"/>
              <w:rPr>
                <w:b/>
                <w:sz w:val="16"/>
              </w:rPr>
            </w:pPr>
            <w:r>
              <w:rPr>
                <w:b/>
                <w:sz w:val="16"/>
              </w:rPr>
              <w:t>2020</w:t>
            </w:r>
          </w:p>
        </w:tc>
        <w:tc>
          <w:tcPr>
            <w:tcW w:w="2384" w:type="dxa"/>
            <w:tcBorders>
              <w:top w:val="single" w:sz="18" w:space="0" w:color="000000"/>
              <w:bottom w:val="single" w:sz="8" w:space="0" w:color="000000"/>
            </w:tcBorders>
          </w:tcPr>
          <w:p w14:paraId="7326BD9B" w14:textId="77777777" w:rsidR="00EF3DFB" w:rsidRDefault="00D27C17">
            <w:pPr>
              <w:pStyle w:val="TableParagraph"/>
              <w:tabs>
                <w:tab w:val="left" w:pos="1414"/>
              </w:tabs>
              <w:spacing w:before="63" w:line="184" w:lineRule="exact"/>
              <w:ind w:left="406"/>
              <w:rPr>
                <w:b/>
                <w:sz w:val="16"/>
              </w:rPr>
            </w:pPr>
            <w:r>
              <w:rPr>
                <w:b/>
                <w:sz w:val="16"/>
              </w:rPr>
              <w:t>2019</w:t>
            </w:r>
            <w:r>
              <w:rPr>
                <w:b/>
                <w:sz w:val="16"/>
              </w:rPr>
              <w:tab/>
              <w:t>$</w:t>
            </w:r>
            <w:r>
              <w:rPr>
                <w:b/>
                <w:spacing w:val="-1"/>
                <w:sz w:val="16"/>
              </w:rPr>
              <w:t xml:space="preserve"> </w:t>
            </w:r>
            <w:r>
              <w:rPr>
                <w:b/>
                <w:sz w:val="16"/>
              </w:rPr>
              <w:t>Change</w:t>
            </w:r>
          </w:p>
        </w:tc>
        <w:tc>
          <w:tcPr>
            <w:tcW w:w="980" w:type="dxa"/>
            <w:tcBorders>
              <w:top w:val="single" w:sz="18" w:space="0" w:color="000000"/>
              <w:bottom w:val="single" w:sz="8" w:space="0" w:color="000000"/>
            </w:tcBorders>
          </w:tcPr>
          <w:p w14:paraId="7326BD9C" w14:textId="77777777" w:rsidR="00EF3DFB" w:rsidRDefault="00D27C17">
            <w:pPr>
              <w:pStyle w:val="TableParagraph"/>
              <w:spacing w:before="63" w:line="184" w:lineRule="exact"/>
              <w:ind w:left="86" w:right="109"/>
              <w:jc w:val="center"/>
              <w:rPr>
                <w:b/>
                <w:sz w:val="16"/>
              </w:rPr>
            </w:pPr>
            <w:r>
              <w:rPr>
                <w:b/>
                <w:sz w:val="16"/>
              </w:rPr>
              <w:t>% Change</w:t>
            </w:r>
          </w:p>
        </w:tc>
      </w:tr>
      <w:tr w:rsidR="00EF3DFB" w14:paraId="7326BDA2" w14:textId="77777777">
        <w:trPr>
          <w:trHeight w:val="290"/>
        </w:trPr>
        <w:tc>
          <w:tcPr>
            <w:tcW w:w="6105" w:type="dxa"/>
            <w:shd w:val="clear" w:color="auto" w:fill="CCEDFF"/>
          </w:tcPr>
          <w:p w14:paraId="7326BD9E" w14:textId="77777777" w:rsidR="00EF3DFB" w:rsidRDefault="00D27C17">
            <w:pPr>
              <w:pStyle w:val="TableParagraph"/>
              <w:spacing w:before="12"/>
              <w:ind w:left="52"/>
              <w:rPr>
                <w:sz w:val="20"/>
              </w:rPr>
            </w:pPr>
            <w:r>
              <w:rPr>
                <w:sz w:val="20"/>
              </w:rPr>
              <w:t>Net sales</w:t>
            </w:r>
          </w:p>
        </w:tc>
        <w:tc>
          <w:tcPr>
            <w:tcW w:w="1151" w:type="dxa"/>
            <w:tcBorders>
              <w:top w:val="single" w:sz="8" w:space="0" w:color="000000"/>
            </w:tcBorders>
            <w:shd w:val="clear" w:color="auto" w:fill="CCEDFF"/>
          </w:tcPr>
          <w:p w14:paraId="7326BD9F" w14:textId="77777777" w:rsidR="00EF3DFB" w:rsidRDefault="00D27C17">
            <w:pPr>
              <w:pStyle w:val="TableParagraph"/>
              <w:tabs>
                <w:tab w:val="left" w:pos="396"/>
              </w:tabs>
              <w:spacing w:before="30"/>
              <w:ind w:left="52"/>
              <w:rPr>
                <w:sz w:val="20"/>
              </w:rPr>
            </w:pPr>
            <w:r>
              <w:rPr>
                <w:sz w:val="20"/>
              </w:rPr>
              <w:t>$</w:t>
            </w:r>
            <w:r>
              <w:rPr>
                <w:sz w:val="20"/>
              </w:rPr>
              <w:tab/>
              <w:t>1,292</w:t>
            </w:r>
          </w:p>
        </w:tc>
        <w:tc>
          <w:tcPr>
            <w:tcW w:w="2384" w:type="dxa"/>
            <w:tcBorders>
              <w:top w:val="single" w:sz="8" w:space="0" w:color="000000"/>
            </w:tcBorders>
            <w:shd w:val="clear" w:color="auto" w:fill="CCEDFF"/>
          </w:tcPr>
          <w:p w14:paraId="7326BDA0" w14:textId="77777777" w:rsidR="00EF3DFB" w:rsidRDefault="00D27C17">
            <w:pPr>
              <w:pStyle w:val="TableParagraph"/>
              <w:tabs>
                <w:tab w:val="left" w:pos="415"/>
                <w:tab w:val="left" w:pos="1241"/>
                <w:tab w:val="left" w:pos="1835"/>
              </w:tabs>
              <w:spacing w:before="30"/>
              <w:ind w:left="71"/>
              <w:rPr>
                <w:sz w:val="20"/>
              </w:rPr>
            </w:pPr>
            <w:r>
              <w:rPr>
                <w:sz w:val="20"/>
              </w:rPr>
              <w:t>$</w:t>
            </w:r>
            <w:r>
              <w:rPr>
                <w:sz w:val="20"/>
              </w:rPr>
              <w:tab/>
              <w:t>1,413</w:t>
            </w:r>
            <w:r>
              <w:rPr>
                <w:sz w:val="20"/>
              </w:rPr>
              <w:tab/>
              <w:t>$</w:t>
            </w:r>
            <w:r>
              <w:rPr>
                <w:sz w:val="20"/>
              </w:rPr>
              <w:tab/>
              <w:t>(121)</w:t>
            </w:r>
          </w:p>
        </w:tc>
        <w:tc>
          <w:tcPr>
            <w:tcW w:w="980" w:type="dxa"/>
            <w:tcBorders>
              <w:top w:val="single" w:sz="8" w:space="0" w:color="000000"/>
            </w:tcBorders>
            <w:shd w:val="clear" w:color="auto" w:fill="CCEDFF"/>
          </w:tcPr>
          <w:p w14:paraId="7326BDA1" w14:textId="77777777" w:rsidR="00EF3DFB" w:rsidRDefault="00D27C17">
            <w:pPr>
              <w:pStyle w:val="TableParagraph"/>
              <w:spacing w:before="12"/>
              <w:ind w:left="96" w:right="84"/>
              <w:jc w:val="center"/>
              <w:rPr>
                <w:sz w:val="20"/>
              </w:rPr>
            </w:pPr>
            <w:r>
              <w:rPr>
                <w:sz w:val="20"/>
              </w:rPr>
              <w:t>(8.6)%</w:t>
            </w:r>
          </w:p>
        </w:tc>
      </w:tr>
      <w:tr w:rsidR="00EF3DFB" w14:paraId="7326BDA7" w14:textId="77777777">
        <w:trPr>
          <w:trHeight w:val="300"/>
        </w:trPr>
        <w:tc>
          <w:tcPr>
            <w:tcW w:w="6105" w:type="dxa"/>
          </w:tcPr>
          <w:p w14:paraId="7326BDA3" w14:textId="77777777" w:rsidR="00EF3DFB" w:rsidRDefault="00EF3DFB">
            <w:pPr>
              <w:pStyle w:val="TableParagraph"/>
              <w:rPr>
                <w:sz w:val="18"/>
              </w:rPr>
            </w:pPr>
          </w:p>
        </w:tc>
        <w:tc>
          <w:tcPr>
            <w:tcW w:w="1151" w:type="dxa"/>
          </w:tcPr>
          <w:p w14:paraId="7326BDA4" w14:textId="77777777" w:rsidR="00EF3DFB" w:rsidRDefault="00EF3DFB">
            <w:pPr>
              <w:pStyle w:val="TableParagraph"/>
              <w:rPr>
                <w:sz w:val="18"/>
              </w:rPr>
            </w:pPr>
          </w:p>
        </w:tc>
        <w:tc>
          <w:tcPr>
            <w:tcW w:w="2384" w:type="dxa"/>
          </w:tcPr>
          <w:p w14:paraId="7326BDA5" w14:textId="77777777" w:rsidR="00EF3DFB" w:rsidRDefault="00EF3DFB">
            <w:pPr>
              <w:pStyle w:val="TableParagraph"/>
              <w:rPr>
                <w:sz w:val="18"/>
              </w:rPr>
            </w:pPr>
          </w:p>
        </w:tc>
        <w:tc>
          <w:tcPr>
            <w:tcW w:w="980" w:type="dxa"/>
          </w:tcPr>
          <w:p w14:paraId="7326BDA6" w14:textId="77777777" w:rsidR="00EF3DFB" w:rsidRDefault="00EF3DFB">
            <w:pPr>
              <w:pStyle w:val="TableParagraph"/>
              <w:rPr>
                <w:sz w:val="18"/>
              </w:rPr>
            </w:pPr>
          </w:p>
        </w:tc>
      </w:tr>
      <w:tr w:rsidR="00EF3DFB" w14:paraId="7326BDAC" w14:textId="77777777">
        <w:trPr>
          <w:trHeight w:val="300"/>
        </w:trPr>
        <w:tc>
          <w:tcPr>
            <w:tcW w:w="6105" w:type="dxa"/>
            <w:shd w:val="clear" w:color="auto" w:fill="CCEDFF"/>
          </w:tcPr>
          <w:p w14:paraId="7326BDA8" w14:textId="77777777" w:rsidR="00EF3DFB" w:rsidRDefault="00D27C17">
            <w:pPr>
              <w:pStyle w:val="TableParagraph"/>
              <w:spacing w:before="22"/>
              <w:ind w:left="52"/>
              <w:rPr>
                <w:sz w:val="20"/>
              </w:rPr>
            </w:pPr>
            <w:r>
              <w:rPr>
                <w:sz w:val="20"/>
              </w:rPr>
              <w:t>Operating loss</w:t>
            </w:r>
          </w:p>
        </w:tc>
        <w:tc>
          <w:tcPr>
            <w:tcW w:w="1151" w:type="dxa"/>
            <w:shd w:val="clear" w:color="auto" w:fill="CCEDFF"/>
          </w:tcPr>
          <w:p w14:paraId="7326BDA9" w14:textId="77777777" w:rsidR="00EF3DFB" w:rsidRDefault="00D27C17">
            <w:pPr>
              <w:pStyle w:val="TableParagraph"/>
              <w:spacing w:before="40"/>
              <w:ind w:left="480"/>
              <w:rPr>
                <w:sz w:val="20"/>
              </w:rPr>
            </w:pPr>
            <w:r>
              <w:rPr>
                <w:sz w:val="20"/>
              </w:rPr>
              <w:t>(418)</w:t>
            </w:r>
          </w:p>
        </w:tc>
        <w:tc>
          <w:tcPr>
            <w:tcW w:w="2384" w:type="dxa"/>
            <w:shd w:val="clear" w:color="auto" w:fill="CCEDFF"/>
          </w:tcPr>
          <w:p w14:paraId="7326BDAA" w14:textId="77777777" w:rsidR="00EF3DFB" w:rsidRDefault="00D27C17">
            <w:pPr>
              <w:pStyle w:val="TableParagraph"/>
              <w:tabs>
                <w:tab w:val="left" w:pos="1236"/>
              </w:tabs>
              <w:spacing w:before="40"/>
              <w:ind w:right="114"/>
              <w:jc w:val="right"/>
              <w:rPr>
                <w:sz w:val="20"/>
              </w:rPr>
            </w:pPr>
            <w:r>
              <w:rPr>
                <w:sz w:val="20"/>
              </w:rPr>
              <w:t>(64)</w:t>
            </w:r>
            <w:r>
              <w:rPr>
                <w:sz w:val="20"/>
              </w:rPr>
              <w:tab/>
              <w:t>(354)</w:t>
            </w:r>
          </w:p>
        </w:tc>
        <w:tc>
          <w:tcPr>
            <w:tcW w:w="980" w:type="dxa"/>
            <w:shd w:val="clear" w:color="auto" w:fill="CCEDFF"/>
          </w:tcPr>
          <w:p w14:paraId="7326BDAB" w14:textId="77777777" w:rsidR="00EF3DFB" w:rsidRDefault="00D27C17">
            <w:pPr>
              <w:pStyle w:val="TableParagraph"/>
              <w:spacing w:before="22"/>
              <w:ind w:left="96" w:right="84"/>
              <w:jc w:val="center"/>
              <w:rPr>
                <w:sz w:val="20"/>
              </w:rPr>
            </w:pPr>
            <w:r>
              <w:rPr>
                <w:sz w:val="20"/>
              </w:rPr>
              <w:t>NM</w:t>
            </w:r>
          </w:p>
        </w:tc>
      </w:tr>
      <w:tr w:rsidR="00EF3DFB" w14:paraId="7326BDB1" w14:textId="77777777">
        <w:trPr>
          <w:trHeight w:val="300"/>
        </w:trPr>
        <w:tc>
          <w:tcPr>
            <w:tcW w:w="6105" w:type="dxa"/>
          </w:tcPr>
          <w:p w14:paraId="7326BDAD" w14:textId="77777777" w:rsidR="00EF3DFB" w:rsidRDefault="00D27C17">
            <w:pPr>
              <w:pStyle w:val="TableParagraph"/>
              <w:spacing w:before="22"/>
              <w:ind w:left="412"/>
              <w:rPr>
                <w:i/>
                <w:sz w:val="20"/>
              </w:rPr>
            </w:pPr>
            <w:r>
              <w:rPr>
                <w:i/>
                <w:sz w:val="20"/>
              </w:rPr>
              <w:t>Operating margin</w:t>
            </w:r>
          </w:p>
        </w:tc>
        <w:tc>
          <w:tcPr>
            <w:tcW w:w="1151" w:type="dxa"/>
          </w:tcPr>
          <w:p w14:paraId="7326BDAE" w14:textId="77777777" w:rsidR="00EF3DFB" w:rsidRDefault="00D27C17">
            <w:pPr>
              <w:pStyle w:val="TableParagraph"/>
              <w:spacing w:before="22"/>
              <w:ind w:left="430"/>
              <w:rPr>
                <w:i/>
                <w:sz w:val="20"/>
              </w:rPr>
            </w:pPr>
            <w:r>
              <w:rPr>
                <w:i/>
                <w:sz w:val="20"/>
              </w:rPr>
              <w:t>(32.4)%</w:t>
            </w:r>
          </w:p>
        </w:tc>
        <w:tc>
          <w:tcPr>
            <w:tcW w:w="2384" w:type="dxa"/>
          </w:tcPr>
          <w:p w14:paraId="7326BDAF" w14:textId="77777777" w:rsidR="00EF3DFB" w:rsidRDefault="00D27C17">
            <w:pPr>
              <w:pStyle w:val="TableParagraph"/>
              <w:spacing w:before="22"/>
              <w:ind w:left="549"/>
              <w:rPr>
                <w:i/>
                <w:sz w:val="20"/>
              </w:rPr>
            </w:pPr>
            <w:r>
              <w:rPr>
                <w:i/>
                <w:sz w:val="20"/>
              </w:rPr>
              <w:t>(4.5)%</w:t>
            </w:r>
          </w:p>
        </w:tc>
        <w:tc>
          <w:tcPr>
            <w:tcW w:w="980" w:type="dxa"/>
          </w:tcPr>
          <w:p w14:paraId="7326BDB0" w14:textId="77777777" w:rsidR="00EF3DFB" w:rsidRDefault="00EF3DFB">
            <w:pPr>
              <w:pStyle w:val="TableParagraph"/>
              <w:rPr>
                <w:sz w:val="18"/>
              </w:rPr>
            </w:pPr>
          </w:p>
        </w:tc>
      </w:tr>
      <w:tr w:rsidR="00EF3DFB" w14:paraId="7326BDB6" w14:textId="77777777">
        <w:trPr>
          <w:trHeight w:val="300"/>
        </w:trPr>
        <w:tc>
          <w:tcPr>
            <w:tcW w:w="6105" w:type="dxa"/>
            <w:shd w:val="clear" w:color="auto" w:fill="CCEDFF"/>
          </w:tcPr>
          <w:p w14:paraId="7326BDB2" w14:textId="77777777" w:rsidR="00EF3DFB" w:rsidRDefault="00EF3DFB">
            <w:pPr>
              <w:pStyle w:val="TableParagraph"/>
              <w:rPr>
                <w:sz w:val="18"/>
              </w:rPr>
            </w:pPr>
          </w:p>
        </w:tc>
        <w:tc>
          <w:tcPr>
            <w:tcW w:w="1151" w:type="dxa"/>
            <w:shd w:val="clear" w:color="auto" w:fill="CCEDFF"/>
          </w:tcPr>
          <w:p w14:paraId="7326BDB3" w14:textId="77777777" w:rsidR="00EF3DFB" w:rsidRDefault="00EF3DFB">
            <w:pPr>
              <w:pStyle w:val="TableParagraph"/>
              <w:rPr>
                <w:sz w:val="18"/>
              </w:rPr>
            </w:pPr>
          </w:p>
        </w:tc>
        <w:tc>
          <w:tcPr>
            <w:tcW w:w="2384" w:type="dxa"/>
            <w:shd w:val="clear" w:color="auto" w:fill="CCEDFF"/>
          </w:tcPr>
          <w:p w14:paraId="7326BDB4" w14:textId="77777777" w:rsidR="00EF3DFB" w:rsidRDefault="00EF3DFB">
            <w:pPr>
              <w:pStyle w:val="TableParagraph"/>
              <w:rPr>
                <w:sz w:val="18"/>
              </w:rPr>
            </w:pPr>
          </w:p>
        </w:tc>
        <w:tc>
          <w:tcPr>
            <w:tcW w:w="980" w:type="dxa"/>
            <w:shd w:val="clear" w:color="auto" w:fill="CCEDFF"/>
          </w:tcPr>
          <w:p w14:paraId="7326BDB5" w14:textId="77777777" w:rsidR="00EF3DFB" w:rsidRDefault="00EF3DFB">
            <w:pPr>
              <w:pStyle w:val="TableParagraph"/>
              <w:rPr>
                <w:sz w:val="18"/>
              </w:rPr>
            </w:pPr>
          </w:p>
        </w:tc>
      </w:tr>
      <w:tr w:rsidR="00EF3DFB" w14:paraId="7326BDBB" w14:textId="77777777">
        <w:trPr>
          <w:trHeight w:val="300"/>
        </w:trPr>
        <w:tc>
          <w:tcPr>
            <w:tcW w:w="6105" w:type="dxa"/>
          </w:tcPr>
          <w:p w14:paraId="7326BDB7" w14:textId="77777777" w:rsidR="00EF3DFB" w:rsidRDefault="00D27C17">
            <w:pPr>
              <w:pStyle w:val="TableParagraph"/>
              <w:spacing w:before="40"/>
              <w:ind w:left="52"/>
              <w:rPr>
                <w:b/>
                <w:sz w:val="20"/>
              </w:rPr>
            </w:pPr>
            <w:r>
              <w:rPr>
                <w:b/>
                <w:sz w:val="20"/>
              </w:rPr>
              <w:t>Notable items impacting operating loss comparability:</w:t>
            </w:r>
          </w:p>
        </w:tc>
        <w:tc>
          <w:tcPr>
            <w:tcW w:w="1151" w:type="dxa"/>
          </w:tcPr>
          <w:p w14:paraId="7326BDB8" w14:textId="77777777" w:rsidR="00EF3DFB" w:rsidRDefault="00EF3DFB">
            <w:pPr>
              <w:pStyle w:val="TableParagraph"/>
              <w:rPr>
                <w:sz w:val="18"/>
              </w:rPr>
            </w:pPr>
          </w:p>
        </w:tc>
        <w:tc>
          <w:tcPr>
            <w:tcW w:w="2384" w:type="dxa"/>
          </w:tcPr>
          <w:p w14:paraId="7326BDB9" w14:textId="77777777" w:rsidR="00EF3DFB" w:rsidRDefault="00EF3DFB">
            <w:pPr>
              <w:pStyle w:val="TableParagraph"/>
              <w:rPr>
                <w:sz w:val="18"/>
              </w:rPr>
            </w:pPr>
          </w:p>
        </w:tc>
        <w:tc>
          <w:tcPr>
            <w:tcW w:w="980" w:type="dxa"/>
          </w:tcPr>
          <w:p w14:paraId="7326BDBA" w14:textId="77777777" w:rsidR="00EF3DFB" w:rsidRDefault="00EF3DFB">
            <w:pPr>
              <w:pStyle w:val="TableParagraph"/>
              <w:rPr>
                <w:sz w:val="18"/>
              </w:rPr>
            </w:pPr>
          </w:p>
        </w:tc>
      </w:tr>
      <w:tr w:rsidR="00EF3DFB" w14:paraId="7326BDC0" w14:textId="77777777">
        <w:trPr>
          <w:trHeight w:val="300"/>
        </w:trPr>
        <w:tc>
          <w:tcPr>
            <w:tcW w:w="6105" w:type="dxa"/>
            <w:shd w:val="clear" w:color="auto" w:fill="CCEDFF"/>
          </w:tcPr>
          <w:p w14:paraId="7326BDBC"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BDBD" w14:textId="77777777" w:rsidR="00EF3DFB" w:rsidRDefault="00D27C17">
            <w:pPr>
              <w:pStyle w:val="TableParagraph"/>
              <w:tabs>
                <w:tab w:val="left" w:pos="546"/>
              </w:tabs>
              <w:spacing w:before="40"/>
              <w:ind w:left="52"/>
              <w:rPr>
                <w:sz w:val="20"/>
              </w:rPr>
            </w:pPr>
            <w:r>
              <w:rPr>
                <w:sz w:val="20"/>
              </w:rPr>
              <w:t>$</w:t>
            </w:r>
            <w:r>
              <w:rPr>
                <w:sz w:val="20"/>
              </w:rPr>
              <w:tab/>
              <w:t>482</w:t>
            </w:r>
          </w:p>
        </w:tc>
        <w:tc>
          <w:tcPr>
            <w:tcW w:w="2384" w:type="dxa"/>
            <w:shd w:val="clear" w:color="auto" w:fill="CCEDFF"/>
          </w:tcPr>
          <w:p w14:paraId="7326BDBE" w14:textId="77777777" w:rsidR="00EF3DFB" w:rsidRDefault="00D27C17">
            <w:pPr>
              <w:pStyle w:val="TableParagraph"/>
              <w:tabs>
                <w:tab w:val="left" w:pos="565"/>
                <w:tab w:val="left" w:pos="1241"/>
                <w:tab w:val="left" w:pos="1902"/>
              </w:tabs>
              <w:spacing w:before="40"/>
              <w:ind w:left="71"/>
              <w:rPr>
                <w:sz w:val="20"/>
              </w:rPr>
            </w:pPr>
            <w:r>
              <w:rPr>
                <w:sz w:val="20"/>
              </w:rPr>
              <w:t>$</w:t>
            </w:r>
            <w:r>
              <w:rPr>
                <w:sz w:val="20"/>
              </w:rPr>
              <w:tab/>
              <w:t>120</w:t>
            </w:r>
            <w:r>
              <w:rPr>
                <w:sz w:val="20"/>
              </w:rPr>
              <w:tab/>
              <w:t>$</w:t>
            </w:r>
            <w:r>
              <w:rPr>
                <w:sz w:val="20"/>
              </w:rPr>
              <w:tab/>
              <w:t>362</w:t>
            </w:r>
          </w:p>
        </w:tc>
        <w:tc>
          <w:tcPr>
            <w:tcW w:w="980" w:type="dxa"/>
            <w:shd w:val="clear" w:color="auto" w:fill="CCEDFF"/>
          </w:tcPr>
          <w:p w14:paraId="7326BDBF" w14:textId="77777777" w:rsidR="00EF3DFB" w:rsidRDefault="00EF3DFB">
            <w:pPr>
              <w:pStyle w:val="TableParagraph"/>
              <w:rPr>
                <w:sz w:val="18"/>
              </w:rPr>
            </w:pPr>
          </w:p>
        </w:tc>
      </w:tr>
      <w:tr w:rsidR="00EF3DFB" w14:paraId="7326BDC6" w14:textId="77777777">
        <w:trPr>
          <w:trHeight w:val="682"/>
        </w:trPr>
        <w:tc>
          <w:tcPr>
            <w:tcW w:w="6105" w:type="dxa"/>
          </w:tcPr>
          <w:p w14:paraId="7326BDC1" w14:textId="77777777" w:rsidR="00EF3DFB" w:rsidRDefault="00D27C17">
            <w:pPr>
              <w:pStyle w:val="TableParagraph"/>
              <w:spacing w:before="40"/>
              <w:ind w:left="52"/>
              <w:rPr>
                <w:sz w:val="20"/>
              </w:rPr>
            </w:pPr>
            <w:r>
              <w:rPr>
                <w:sz w:val="20"/>
              </w:rPr>
              <w:t>Product recall costs (See Footnote 18)</w:t>
            </w:r>
          </w:p>
          <w:p w14:paraId="7326BDC2" w14:textId="77777777" w:rsidR="00EF3DFB" w:rsidRDefault="00D27C17">
            <w:pPr>
              <w:pStyle w:val="TableParagraph"/>
              <w:spacing w:before="182" w:line="210" w:lineRule="exact"/>
              <w:rPr>
                <w:i/>
                <w:sz w:val="20"/>
              </w:rPr>
            </w:pPr>
            <w:r>
              <w:rPr>
                <w:i/>
                <w:sz w:val="20"/>
              </w:rPr>
              <w:t>NM — Not meaningful</w:t>
            </w:r>
          </w:p>
        </w:tc>
        <w:tc>
          <w:tcPr>
            <w:tcW w:w="1151" w:type="dxa"/>
          </w:tcPr>
          <w:p w14:paraId="7326BDC3" w14:textId="77777777" w:rsidR="00EF3DFB" w:rsidRDefault="00D27C17">
            <w:pPr>
              <w:pStyle w:val="TableParagraph"/>
              <w:spacing w:before="40"/>
              <w:ind w:left="746"/>
              <w:rPr>
                <w:sz w:val="20"/>
              </w:rPr>
            </w:pPr>
            <w:r>
              <w:rPr>
                <w:sz w:val="20"/>
              </w:rPr>
              <w:t>2</w:t>
            </w:r>
          </w:p>
        </w:tc>
        <w:tc>
          <w:tcPr>
            <w:tcW w:w="2384" w:type="dxa"/>
          </w:tcPr>
          <w:p w14:paraId="7326BDC4" w14:textId="77777777" w:rsidR="00EF3DFB" w:rsidRDefault="00D27C17">
            <w:pPr>
              <w:pStyle w:val="TableParagraph"/>
              <w:tabs>
                <w:tab w:val="left" w:pos="1269"/>
              </w:tabs>
              <w:spacing w:before="40"/>
              <w:ind w:right="114"/>
              <w:jc w:val="right"/>
              <w:rPr>
                <w:sz w:val="20"/>
              </w:rPr>
            </w:pPr>
            <w:r>
              <w:rPr>
                <w:sz w:val="20"/>
              </w:rPr>
              <w:t>20</w:t>
            </w:r>
            <w:r>
              <w:rPr>
                <w:sz w:val="20"/>
              </w:rPr>
              <w:tab/>
              <w:t>(18)</w:t>
            </w:r>
          </w:p>
        </w:tc>
        <w:tc>
          <w:tcPr>
            <w:tcW w:w="980" w:type="dxa"/>
          </w:tcPr>
          <w:p w14:paraId="7326BDC5" w14:textId="77777777" w:rsidR="00EF3DFB" w:rsidRDefault="00EF3DFB">
            <w:pPr>
              <w:pStyle w:val="TableParagraph"/>
              <w:rPr>
                <w:sz w:val="18"/>
              </w:rPr>
            </w:pPr>
          </w:p>
        </w:tc>
      </w:tr>
    </w:tbl>
    <w:p w14:paraId="7326BDC7" w14:textId="77777777" w:rsidR="00EF3DFB" w:rsidRDefault="00EF3DFB">
      <w:pPr>
        <w:pStyle w:val="BodyText"/>
        <w:spacing w:before="8"/>
        <w:rPr>
          <w:sz w:val="21"/>
        </w:rPr>
      </w:pPr>
    </w:p>
    <w:p w14:paraId="7326BDC8" w14:textId="77777777" w:rsidR="00EF3DFB" w:rsidRDefault="00D27C17">
      <w:pPr>
        <w:pStyle w:val="BodyText"/>
        <w:spacing w:line="249" w:lineRule="auto"/>
        <w:ind w:left="190" w:right="168"/>
        <w:jc w:val="both"/>
      </w:pPr>
      <w:r>
        <w:t>Outdoor and Recreation segment net sales for 2020 decreased 9% primarily due to a shift in consumer purchasing patterns, as a result of the ongoing COVID-19 pandemic, which negatively impacted performance during the first half of the year. During the secon</w:t>
      </w:r>
      <w:r>
        <w:t xml:space="preserve">d half of the year, demand for outdoor products and coolers, primarily in North America and Asia improved, partially offset by decreased demand in apparel and beverage products. Changes in foreign currency unfavorably impacted net sales by $12 million, or </w:t>
      </w:r>
      <w:r>
        <w:t>1%.</w:t>
      </w:r>
    </w:p>
    <w:p w14:paraId="7326BDC9" w14:textId="77777777" w:rsidR="00EF3DFB" w:rsidRDefault="00EF3DFB">
      <w:pPr>
        <w:pStyle w:val="BodyText"/>
        <w:spacing w:before="2"/>
        <w:rPr>
          <w:sz w:val="21"/>
        </w:rPr>
      </w:pPr>
    </w:p>
    <w:p w14:paraId="7326BDCA" w14:textId="77777777" w:rsidR="00EF3DFB" w:rsidRDefault="00D27C17">
      <w:pPr>
        <w:pStyle w:val="BodyText"/>
        <w:spacing w:before="1" w:line="249" w:lineRule="auto"/>
        <w:ind w:left="190" w:right="168"/>
        <w:jc w:val="both"/>
      </w:pPr>
      <w:r>
        <w:t>Operating loss for 2020 was $418 million as compared to $64 million in the prior year period. This performance was primarily due to higher non-cash impairment charges of certain indefinite-lived intangibles assets, lower sales volume as noted above, u</w:t>
      </w:r>
      <w:r>
        <w:t>nfavorable product mix, partially offset by lower overhead costs and lower discretionary spending, including advertising and promotional costs, as well as lower costs associated with a product recall in the prior year, and productivity improvements.</w:t>
      </w:r>
    </w:p>
    <w:p w14:paraId="7326BDCB" w14:textId="77777777" w:rsidR="00EF3DFB" w:rsidRDefault="00EF3DFB">
      <w:pPr>
        <w:spacing w:line="249" w:lineRule="auto"/>
        <w:jc w:val="both"/>
        <w:sectPr w:rsidR="00EF3DFB">
          <w:pgSz w:w="12240" w:h="15840"/>
          <w:pgMar w:top="84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015"/>
        <w:gridCol w:w="1189"/>
        <w:gridCol w:w="2429"/>
        <w:gridCol w:w="987"/>
      </w:tblGrid>
      <w:tr w:rsidR="00EF3DFB" w14:paraId="7326BDD2" w14:textId="77777777">
        <w:trPr>
          <w:trHeight w:val="600"/>
        </w:trPr>
        <w:tc>
          <w:tcPr>
            <w:tcW w:w="6015" w:type="dxa"/>
          </w:tcPr>
          <w:p w14:paraId="7326BDCC" w14:textId="77777777" w:rsidR="00EF3DFB" w:rsidRDefault="00D27C17">
            <w:pPr>
              <w:pStyle w:val="TableParagraph"/>
              <w:spacing w:line="219" w:lineRule="exact"/>
              <w:rPr>
                <w:b/>
                <w:i/>
                <w:sz w:val="20"/>
              </w:rPr>
            </w:pPr>
            <w:r>
              <w:rPr>
                <w:b/>
                <w:i/>
                <w:sz w:val="20"/>
              </w:rPr>
              <w:lastRenderedPageBreak/>
              <w:t>Consolidated Operating Results 2019 vs. 2018</w:t>
            </w:r>
          </w:p>
        </w:tc>
        <w:tc>
          <w:tcPr>
            <w:tcW w:w="1189" w:type="dxa"/>
            <w:tcBorders>
              <w:bottom w:val="single" w:sz="18" w:space="0" w:color="000000"/>
            </w:tcBorders>
          </w:tcPr>
          <w:p w14:paraId="7326BDCD" w14:textId="77777777" w:rsidR="00EF3DFB" w:rsidRDefault="00EF3DFB">
            <w:pPr>
              <w:pStyle w:val="TableParagraph"/>
              <w:rPr>
                <w:sz w:val="18"/>
              </w:rPr>
            </w:pPr>
          </w:p>
        </w:tc>
        <w:tc>
          <w:tcPr>
            <w:tcW w:w="2429" w:type="dxa"/>
            <w:tcBorders>
              <w:bottom w:val="single" w:sz="18" w:space="0" w:color="000000"/>
            </w:tcBorders>
          </w:tcPr>
          <w:p w14:paraId="7326BDCE" w14:textId="77777777" w:rsidR="00EF3DFB" w:rsidRDefault="00EF3DFB">
            <w:pPr>
              <w:pStyle w:val="TableParagraph"/>
              <w:rPr>
                <w:sz w:val="18"/>
              </w:rPr>
            </w:pPr>
          </w:p>
          <w:p w14:paraId="7326BDCF" w14:textId="77777777" w:rsidR="00EF3DFB" w:rsidRDefault="00EF3DFB">
            <w:pPr>
              <w:pStyle w:val="TableParagraph"/>
              <w:spacing w:before="3"/>
              <w:rPr>
                <w:sz w:val="17"/>
              </w:rPr>
            </w:pPr>
          </w:p>
          <w:p w14:paraId="7326BDD0" w14:textId="77777777" w:rsidR="00EF3DFB" w:rsidRDefault="00D27C17">
            <w:pPr>
              <w:pStyle w:val="TableParagraph"/>
              <w:spacing w:line="174" w:lineRule="exact"/>
              <w:ind w:left="205"/>
              <w:rPr>
                <w:b/>
                <w:sz w:val="16"/>
              </w:rPr>
            </w:pPr>
            <w:r>
              <w:rPr>
                <w:b/>
                <w:sz w:val="16"/>
              </w:rPr>
              <w:t>Years Ended December 31,</w:t>
            </w:r>
          </w:p>
        </w:tc>
        <w:tc>
          <w:tcPr>
            <w:tcW w:w="987" w:type="dxa"/>
            <w:tcBorders>
              <w:bottom w:val="single" w:sz="18" w:space="0" w:color="000000"/>
            </w:tcBorders>
          </w:tcPr>
          <w:p w14:paraId="7326BDD1" w14:textId="77777777" w:rsidR="00EF3DFB" w:rsidRDefault="00EF3DFB">
            <w:pPr>
              <w:pStyle w:val="TableParagraph"/>
              <w:rPr>
                <w:sz w:val="18"/>
              </w:rPr>
            </w:pPr>
          </w:p>
        </w:tc>
      </w:tr>
      <w:tr w:rsidR="00EF3DFB" w14:paraId="7326BDD7" w14:textId="77777777">
        <w:trPr>
          <w:trHeight w:val="252"/>
        </w:trPr>
        <w:tc>
          <w:tcPr>
            <w:tcW w:w="6015" w:type="dxa"/>
          </w:tcPr>
          <w:p w14:paraId="7326BDD3" w14:textId="77777777" w:rsidR="00EF3DFB" w:rsidRDefault="00D27C17">
            <w:pPr>
              <w:pStyle w:val="TableParagraph"/>
              <w:spacing w:before="46"/>
              <w:ind w:left="52"/>
              <w:rPr>
                <w:b/>
                <w:sz w:val="16"/>
              </w:rPr>
            </w:pPr>
            <w:r>
              <w:rPr>
                <w:b/>
                <w:sz w:val="16"/>
              </w:rPr>
              <w:t>(in millions, except per share data)</w:t>
            </w:r>
          </w:p>
        </w:tc>
        <w:tc>
          <w:tcPr>
            <w:tcW w:w="1189" w:type="dxa"/>
            <w:tcBorders>
              <w:top w:val="single" w:sz="18" w:space="0" w:color="000000"/>
              <w:bottom w:val="single" w:sz="8" w:space="0" w:color="000000"/>
            </w:tcBorders>
          </w:tcPr>
          <w:p w14:paraId="7326BDD4" w14:textId="77777777" w:rsidR="00EF3DFB" w:rsidRDefault="00D27C17">
            <w:pPr>
              <w:pStyle w:val="TableParagraph"/>
              <w:spacing w:before="46"/>
              <w:ind w:left="383" w:right="445"/>
              <w:jc w:val="center"/>
              <w:rPr>
                <w:b/>
                <w:sz w:val="16"/>
              </w:rPr>
            </w:pPr>
            <w:r>
              <w:rPr>
                <w:b/>
                <w:sz w:val="16"/>
              </w:rPr>
              <w:t>2019</w:t>
            </w:r>
          </w:p>
        </w:tc>
        <w:tc>
          <w:tcPr>
            <w:tcW w:w="2429" w:type="dxa"/>
            <w:tcBorders>
              <w:top w:val="single" w:sz="18" w:space="0" w:color="000000"/>
              <w:bottom w:val="single" w:sz="8" w:space="0" w:color="000000"/>
            </w:tcBorders>
          </w:tcPr>
          <w:p w14:paraId="7326BDD5" w14:textId="77777777" w:rsidR="00EF3DFB" w:rsidRDefault="00D27C17">
            <w:pPr>
              <w:pStyle w:val="TableParagraph"/>
              <w:tabs>
                <w:tab w:val="left" w:pos="1436"/>
              </w:tabs>
              <w:spacing w:before="46"/>
              <w:ind w:left="413"/>
              <w:rPr>
                <w:b/>
                <w:sz w:val="16"/>
              </w:rPr>
            </w:pPr>
            <w:r>
              <w:rPr>
                <w:b/>
                <w:sz w:val="16"/>
              </w:rPr>
              <w:t>2018</w:t>
            </w:r>
            <w:r>
              <w:rPr>
                <w:b/>
                <w:sz w:val="16"/>
              </w:rPr>
              <w:tab/>
              <w:t>$</w:t>
            </w:r>
            <w:r>
              <w:rPr>
                <w:b/>
                <w:spacing w:val="-1"/>
                <w:sz w:val="16"/>
              </w:rPr>
              <w:t xml:space="preserve"> </w:t>
            </w:r>
            <w:r>
              <w:rPr>
                <w:b/>
                <w:sz w:val="16"/>
              </w:rPr>
              <w:t>Change</w:t>
            </w:r>
          </w:p>
        </w:tc>
        <w:tc>
          <w:tcPr>
            <w:tcW w:w="987" w:type="dxa"/>
            <w:tcBorders>
              <w:top w:val="single" w:sz="18" w:space="0" w:color="000000"/>
              <w:bottom w:val="single" w:sz="8" w:space="0" w:color="000000"/>
            </w:tcBorders>
          </w:tcPr>
          <w:p w14:paraId="7326BDD6" w14:textId="77777777" w:rsidR="00EF3DFB" w:rsidRDefault="00D27C17">
            <w:pPr>
              <w:pStyle w:val="TableParagraph"/>
              <w:spacing w:before="46"/>
              <w:ind w:left="116" w:right="105"/>
              <w:jc w:val="center"/>
              <w:rPr>
                <w:b/>
                <w:sz w:val="16"/>
              </w:rPr>
            </w:pPr>
            <w:r>
              <w:rPr>
                <w:b/>
                <w:sz w:val="16"/>
              </w:rPr>
              <w:t>% Change</w:t>
            </w:r>
          </w:p>
        </w:tc>
      </w:tr>
      <w:tr w:rsidR="00EF3DFB" w14:paraId="7326BDDC" w14:textId="77777777">
        <w:trPr>
          <w:trHeight w:val="275"/>
        </w:trPr>
        <w:tc>
          <w:tcPr>
            <w:tcW w:w="6015" w:type="dxa"/>
            <w:shd w:val="clear" w:color="auto" w:fill="CCEDFF"/>
          </w:tcPr>
          <w:p w14:paraId="7326BDD8" w14:textId="77777777" w:rsidR="00EF3DFB" w:rsidRDefault="00D27C17">
            <w:pPr>
              <w:pStyle w:val="TableParagraph"/>
              <w:spacing w:before="2"/>
              <w:ind w:left="52"/>
              <w:rPr>
                <w:sz w:val="20"/>
              </w:rPr>
            </w:pPr>
            <w:r>
              <w:rPr>
                <w:sz w:val="20"/>
              </w:rPr>
              <w:t>Net sales</w:t>
            </w:r>
          </w:p>
        </w:tc>
        <w:tc>
          <w:tcPr>
            <w:tcW w:w="1189" w:type="dxa"/>
            <w:tcBorders>
              <w:top w:val="single" w:sz="8" w:space="0" w:color="000000"/>
            </w:tcBorders>
            <w:shd w:val="clear" w:color="auto" w:fill="CCEDFF"/>
          </w:tcPr>
          <w:p w14:paraId="7326BDD9" w14:textId="77777777" w:rsidR="00EF3DFB" w:rsidRDefault="00D27C17">
            <w:pPr>
              <w:pStyle w:val="TableParagraph"/>
              <w:tabs>
                <w:tab w:val="left" w:pos="426"/>
              </w:tabs>
              <w:spacing w:before="12"/>
              <w:ind w:left="52"/>
              <w:rPr>
                <w:sz w:val="20"/>
              </w:rPr>
            </w:pPr>
            <w:r>
              <w:rPr>
                <w:sz w:val="20"/>
              </w:rPr>
              <w:t>$</w:t>
            </w:r>
            <w:r>
              <w:rPr>
                <w:sz w:val="20"/>
              </w:rPr>
              <w:tab/>
              <w:t>9,715</w:t>
            </w:r>
          </w:p>
        </w:tc>
        <w:tc>
          <w:tcPr>
            <w:tcW w:w="2429" w:type="dxa"/>
            <w:tcBorders>
              <w:top w:val="single" w:sz="8" w:space="0" w:color="000000"/>
            </w:tcBorders>
            <w:shd w:val="clear" w:color="auto" w:fill="CCEDFF"/>
          </w:tcPr>
          <w:p w14:paraId="7326BDDA" w14:textId="77777777" w:rsidR="00EF3DFB" w:rsidRDefault="00D27C17">
            <w:pPr>
              <w:pStyle w:val="TableParagraph"/>
              <w:tabs>
                <w:tab w:val="left" w:pos="1263"/>
                <w:tab w:val="left" w:pos="1857"/>
              </w:tabs>
              <w:spacing w:before="12"/>
              <w:ind w:left="63"/>
              <w:rPr>
                <w:sz w:val="20"/>
              </w:rPr>
            </w:pPr>
            <w:r>
              <w:rPr>
                <w:sz w:val="20"/>
              </w:rPr>
              <w:t xml:space="preserve">$  </w:t>
            </w:r>
            <w:r>
              <w:rPr>
                <w:spacing w:val="22"/>
                <w:sz w:val="20"/>
              </w:rPr>
              <w:t xml:space="preserve"> </w:t>
            </w:r>
            <w:r>
              <w:rPr>
                <w:sz w:val="20"/>
              </w:rPr>
              <w:t>10,154</w:t>
            </w:r>
            <w:r>
              <w:rPr>
                <w:sz w:val="20"/>
              </w:rPr>
              <w:tab/>
              <w:t>$</w:t>
            </w:r>
            <w:r>
              <w:rPr>
                <w:sz w:val="20"/>
              </w:rPr>
              <w:tab/>
              <w:t>(439)</w:t>
            </w:r>
          </w:p>
        </w:tc>
        <w:tc>
          <w:tcPr>
            <w:tcW w:w="987" w:type="dxa"/>
            <w:tcBorders>
              <w:top w:val="single" w:sz="8" w:space="0" w:color="000000"/>
            </w:tcBorders>
            <w:shd w:val="clear" w:color="auto" w:fill="CCEDFF"/>
          </w:tcPr>
          <w:p w14:paraId="7326BDDB" w14:textId="77777777" w:rsidR="00EF3DFB" w:rsidRDefault="00D27C17">
            <w:pPr>
              <w:pStyle w:val="TableParagraph"/>
              <w:spacing w:before="2"/>
              <w:ind w:left="116" w:right="67"/>
              <w:jc w:val="center"/>
              <w:rPr>
                <w:sz w:val="20"/>
              </w:rPr>
            </w:pPr>
            <w:r>
              <w:rPr>
                <w:sz w:val="20"/>
              </w:rPr>
              <w:t>(4.3)%</w:t>
            </w:r>
          </w:p>
        </w:tc>
      </w:tr>
      <w:tr w:rsidR="00EF3DFB" w14:paraId="7326BDE1" w14:textId="77777777">
        <w:trPr>
          <w:trHeight w:val="285"/>
        </w:trPr>
        <w:tc>
          <w:tcPr>
            <w:tcW w:w="6015" w:type="dxa"/>
          </w:tcPr>
          <w:p w14:paraId="7326BDDD" w14:textId="77777777" w:rsidR="00EF3DFB" w:rsidRDefault="00D27C17">
            <w:pPr>
              <w:pStyle w:val="TableParagraph"/>
              <w:spacing w:before="12"/>
              <w:ind w:left="52"/>
              <w:rPr>
                <w:sz w:val="20"/>
              </w:rPr>
            </w:pPr>
            <w:r>
              <w:rPr>
                <w:sz w:val="20"/>
              </w:rPr>
              <w:t>Gross profit</w:t>
            </w:r>
          </w:p>
        </w:tc>
        <w:tc>
          <w:tcPr>
            <w:tcW w:w="1189" w:type="dxa"/>
          </w:tcPr>
          <w:p w14:paraId="7326BDDE" w14:textId="77777777" w:rsidR="00EF3DFB" w:rsidRDefault="00D27C17">
            <w:pPr>
              <w:pStyle w:val="TableParagraph"/>
              <w:spacing w:before="22"/>
              <w:ind w:left="426"/>
              <w:rPr>
                <w:sz w:val="20"/>
              </w:rPr>
            </w:pPr>
            <w:r>
              <w:rPr>
                <w:sz w:val="20"/>
              </w:rPr>
              <w:t>3,219</w:t>
            </w:r>
          </w:p>
        </w:tc>
        <w:tc>
          <w:tcPr>
            <w:tcW w:w="2429" w:type="dxa"/>
          </w:tcPr>
          <w:p w14:paraId="7326BDDF" w14:textId="77777777" w:rsidR="00EF3DFB" w:rsidRDefault="00D27C17">
            <w:pPr>
              <w:pStyle w:val="TableParagraph"/>
              <w:tabs>
                <w:tab w:val="left" w:pos="1419"/>
              </w:tabs>
              <w:spacing w:before="22"/>
              <w:ind w:right="137"/>
              <w:jc w:val="right"/>
              <w:rPr>
                <w:sz w:val="20"/>
              </w:rPr>
            </w:pPr>
            <w:r>
              <w:rPr>
                <w:sz w:val="20"/>
              </w:rPr>
              <w:t>3,518</w:t>
            </w:r>
            <w:r>
              <w:rPr>
                <w:sz w:val="20"/>
              </w:rPr>
              <w:tab/>
              <w:t>(299)</w:t>
            </w:r>
          </w:p>
        </w:tc>
        <w:tc>
          <w:tcPr>
            <w:tcW w:w="987" w:type="dxa"/>
          </w:tcPr>
          <w:p w14:paraId="7326BDE0" w14:textId="77777777" w:rsidR="00EF3DFB" w:rsidRDefault="00D27C17">
            <w:pPr>
              <w:pStyle w:val="TableParagraph"/>
              <w:spacing w:before="12"/>
              <w:ind w:left="116" w:right="67"/>
              <w:jc w:val="center"/>
              <w:rPr>
                <w:sz w:val="20"/>
              </w:rPr>
            </w:pPr>
            <w:r>
              <w:rPr>
                <w:sz w:val="20"/>
              </w:rPr>
              <w:t>(8.5)%</w:t>
            </w:r>
          </w:p>
        </w:tc>
      </w:tr>
      <w:tr w:rsidR="00EF3DFB" w14:paraId="7326BDE6" w14:textId="77777777">
        <w:trPr>
          <w:trHeight w:val="285"/>
        </w:trPr>
        <w:tc>
          <w:tcPr>
            <w:tcW w:w="6015" w:type="dxa"/>
            <w:shd w:val="clear" w:color="auto" w:fill="CCEDFF"/>
          </w:tcPr>
          <w:p w14:paraId="7326BDE2" w14:textId="77777777" w:rsidR="00EF3DFB" w:rsidRDefault="00D27C17">
            <w:pPr>
              <w:pStyle w:val="TableParagraph"/>
              <w:spacing w:before="12"/>
              <w:ind w:left="412"/>
              <w:rPr>
                <w:i/>
                <w:sz w:val="20"/>
              </w:rPr>
            </w:pPr>
            <w:r>
              <w:rPr>
                <w:i/>
                <w:sz w:val="20"/>
              </w:rPr>
              <w:t>Gross margin</w:t>
            </w:r>
          </w:p>
        </w:tc>
        <w:tc>
          <w:tcPr>
            <w:tcW w:w="1189" w:type="dxa"/>
            <w:shd w:val="clear" w:color="auto" w:fill="CCEDFF"/>
          </w:tcPr>
          <w:p w14:paraId="7326BDE3" w14:textId="77777777" w:rsidR="00EF3DFB" w:rsidRDefault="00D27C17">
            <w:pPr>
              <w:pStyle w:val="TableParagraph"/>
              <w:spacing w:before="12"/>
              <w:ind w:right="78"/>
              <w:jc w:val="right"/>
              <w:rPr>
                <w:i/>
                <w:sz w:val="20"/>
              </w:rPr>
            </w:pPr>
            <w:r>
              <w:rPr>
                <w:i/>
                <w:sz w:val="20"/>
              </w:rPr>
              <w:t>33.1 %</w:t>
            </w:r>
          </w:p>
        </w:tc>
        <w:tc>
          <w:tcPr>
            <w:tcW w:w="2429" w:type="dxa"/>
            <w:shd w:val="clear" w:color="auto" w:fill="CCEDFF"/>
          </w:tcPr>
          <w:p w14:paraId="7326BDE4" w14:textId="77777777" w:rsidR="00EF3DFB" w:rsidRDefault="00D27C17">
            <w:pPr>
              <w:pStyle w:val="TableParagraph"/>
              <w:spacing w:before="12"/>
              <w:ind w:left="537"/>
              <w:rPr>
                <w:i/>
                <w:sz w:val="20"/>
              </w:rPr>
            </w:pPr>
            <w:r>
              <w:rPr>
                <w:i/>
                <w:sz w:val="20"/>
              </w:rPr>
              <w:t>34.6 %</w:t>
            </w:r>
          </w:p>
        </w:tc>
        <w:tc>
          <w:tcPr>
            <w:tcW w:w="987" w:type="dxa"/>
            <w:shd w:val="clear" w:color="auto" w:fill="CCEDFF"/>
          </w:tcPr>
          <w:p w14:paraId="7326BDE5" w14:textId="77777777" w:rsidR="00EF3DFB" w:rsidRDefault="00EF3DFB">
            <w:pPr>
              <w:pStyle w:val="TableParagraph"/>
              <w:rPr>
                <w:sz w:val="18"/>
              </w:rPr>
            </w:pPr>
          </w:p>
        </w:tc>
      </w:tr>
      <w:tr w:rsidR="00EF3DFB" w14:paraId="7326BDEB" w14:textId="77777777">
        <w:trPr>
          <w:trHeight w:val="285"/>
        </w:trPr>
        <w:tc>
          <w:tcPr>
            <w:tcW w:w="6015" w:type="dxa"/>
          </w:tcPr>
          <w:p w14:paraId="7326BDE7" w14:textId="77777777" w:rsidR="00EF3DFB" w:rsidRDefault="00EF3DFB">
            <w:pPr>
              <w:pStyle w:val="TableParagraph"/>
              <w:rPr>
                <w:sz w:val="18"/>
              </w:rPr>
            </w:pPr>
          </w:p>
        </w:tc>
        <w:tc>
          <w:tcPr>
            <w:tcW w:w="1189" w:type="dxa"/>
          </w:tcPr>
          <w:p w14:paraId="7326BDE8" w14:textId="77777777" w:rsidR="00EF3DFB" w:rsidRDefault="00EF3DFB">
            <w:pPr>
              <w:pStyle w:val="TableParagraph"/>
              <w:rPr>
                <w:sz w:val="18"/>
              </w:rPr>
            </w:pPr>
          </w:p>
        </w:tc>
        <w:tc>
          <w:tcPr>
            <w:tcW w:w="2429" w:type="dxa"/>
          </w:tcPr>
          <w:p w14:paraId="7326BDE9" w14:textId="77777777" w:rsidR="00EF3DFB" w:rsidRDefault="00EF3DFB">
            <w:pPr>
              <w:pStyle w:val="TableParagraph"/>
              <w:rPr>
                <w:sz w:val="18"/>
              </w:rPr>
            </w:pPr>
          </w:p>
        </w:tc>
        <w:tc>
          <w:tcPr>
            <w:tcW w:w="987" w:type="dxa"/>
          </w:tcPr>
          <w:p w14:paraId="7326BDEA" w14:textId="77777777" w:rsidR="00EF3DFB" w:rsidRDefault="00EF3DFB">
            <w:pPr>
              <w:pStyle w:val="TableParagraph"/>
              <w:rPr>
                <w:sz w:val="18"/>
              </w:rPr>
            </w:pPr>
          </w:p>
        </w:tc>
      </w:tr>
      <w:tr w:rsidR="00EF3DFB" w14:paraId="7326BDF0" w14:textId="77777777">
        <w:trPr>
          <w:trHeight w:val="285"/>
        </w:trPr>
        <w:tc>
          <w:tcPr>
            <w:tcW w:w="6015" w:type="dxa"/>
            <w:shd w:val="clear" w:color="auto" w:fill="CCEDFF"/>
          </w:tcPr>
          <w:p w14:paraId="7326BDEC" w14:textId="77777777" w:rsidR="00EF3DFB" w:rsidRDefault="00D27C17">
            <w:pPr>
              <w:pStyle w:val="TableParagraph"/>
              <w:spacing w:before="12"/>
              <w:ind w:left="52"/>
              <w:rPr>
                <w:sz w:val="20"/>
              </w:rPr>
            </w:pPr>
            <w:r>
              <w:rPr>
                <w:sz w:val="20"/>
              </w:rPr>
              <w:t>Operating loss</w:t>
            </w:r>
          </w:p>
        </w:tc>
        <w:tc>
          <w:tcPr>
            <w:tcW w:w="1189" w:type="dxa"/>
            <w:shd w:val="clear" w:color="auto" w:fill="CCEDFF"/>
          </w:tcPr>
          <w:p w14:paraId="7326BDED" w14:textId="77777777" w:rsidR="00EF3DFB" w:rsidRDefault="00D27C17">
            <w:pPr>
              <w:pStyle w:val="TableParagraph"/>
              <w:spacing w:before="22"/>
              <w:ind w:left="510"/>
              <w:rPr>
                <w:sz w:val="20"/>
              </w:rPr>
            </w:pPr>
            <w:r>
              <w:rPr>
                <w:sz w:val="20"/>
              </w:rPr>
              <w:t>(482)</w:t>
            </w:r>
          </w:p>
        </w:tc>
        <w:tc>
          <w:tcPr>
            <w:tcW w:w="2429" w:type="dxa"/>
            <w:shd w:val="clear" w:color="auto" w:fill="CCEDFF"/>
          </w:tcPr>
          <w:p w14:paraId="7326BDEE" w14:textId="77777777" w:rsidR="00EF3DFB" w:rsidRDefault="00D27C17">
            <w:pPr>
              <w:pStyle w:val="TableParagraph"/>
              <w:tabs>
                <w:tab w:val="left" w:pos="1774"/>
              </w:tabs>
              <w:spacing w:before="22"/>
              <w:ind w:left="371"/>
              <w:rPr>
                <w:sz w:val="20"/>
              </w:rPr>
            </w:pPr>
            <w:r>
              <w:rPr>
                <w:sz w:val="20"/>
              </w:rPr>
              <w:t>(7,554)</w:t>
            </w:r>
            <w:r>
              <w:rPr>
                <w:sz w:val="20"/>
              </w:rPr>
              <w:tab/>
              <w:t>7,072</w:t>
            </w:r>
          </w:p>
        </w:tc>
        <w:tc>
          <w:tcPr>
            <w:tcW w:w="987" w:type="dxa"/>
            <w:shd w:val="clear" w:color="auto" w:fill="CCEDFF"/>
          </w:tcPr>
          <w:p w14:paraId="7326BDEF" w14:textId="77777777" w:rsidR="00EF3DFB" w:rsidRDefault="00D27C17">
            <w:pPr>
              <w:pStyle w:val="TableParagraph"/>
              <w:spacing w:before="12"/>
              <w:ind w:left="116" w:right="67"/>
              <w:jc w:val="center"/>
              <w:rPr>
                <w:sz w:val="20"/>
              </w:rPr>
            </w:pPr>
            <w:r>
              <w:rPr>
                <w:sz w:val="20"/>
              </w:rPr>
              <w:t>93.6%</w:t>
            </w:r>
          </w:p>
        </w:tc>
      </w:tr>
      <w:tr w:rsidR="00EF3DFB" w14:paraId="7326BDF5" w14:textId="77777777">
        <w:trPr>
          <w:trHeight w:val="285"/>
        </w:trPr>
        <w:tc>
          <w:tcPr>
            <w:tcW w:w="6015" w:type="dxa"/>
          </w:tcPr>
          <w:p w14:paraId="7326BDF1" w14:textId="77777777" w:rsidR="00EF3DFB" w:rsidRDefault="00D27C17">
            <w:pPr>
              <w:pStyle w:val="TableParagraph"/>
              <w:spacing w:before="12"/>
              <w:ind w:left="412"/>
              <w:rPr>
                <w:i/>
                <w:sz w:val="20"/>
              </w:rPr>
            </w:pPr>
            <w:r>
              <w:rPr>
                <w:i/>
                <w:sz w:val="20"/>
              </w:rPr>
              <w:t>Operating margin</w:t>
            </w:r>
          </w:p>
        </w:tc>
        <w:tc>
          <w:tcPr>
            <w:tcW w:w="1189" w:type="dxa"/>
          </w:tcPr>
          <w:p w14:paraId="7326BDF2" w14:textId="77777777" w:rsidR="00EF3DFB" w:rsidRDefault="00D27C17">
            <w:pPr>
              <w:pStyle w:val="TableParagraph"/>
              <w:spacing w:before="12"/>
              <w:ind w:right="78"/>
              <w:jc w:val="right"/>
              <w:rPr>
                <w:i/>
                <w:sz w:val="20"/>
              </w:rPr>
            </w:pPr>
            <w:r>
              <w:rPr>
                <w:i/>
                <w:sz w:val="20"/>
              </w:rPr>
              <w:t>(5.0)%</w:t>
            </w:r>
          </w:p>
        </w:tc>
        <w:tc>
          <w:tcPr>
            <w:tcW w:w="2429" w:type="dxa"/>
          </w:tcPr>
          <w:p w14:paraId="7326BDF3" w14:textId="77777777" w:rsidR="00EF3DFB" w:rsidRDefault="00D27C17">
            <w:pPr>
              <w:pStyle w:val="TableParagraph"/>
              <w:spacing w:before="12"/>
              <w:ind w:left="471"/>
              <w:rPr>
                <w:i/>
                <w:sz w:val="20"/>
              </w:rPr>
            </w:pPr>
            <w:r>
              <w:rPr>
                <w:i/>
                <w:sz w:val="20"/>
              </w:rPr>
              <w:t>(74.4)%</w:t>
            </w:r>
          </w:p>
        </w:tc>
        <w:tc>
          <w:tcPr>
            <w:tcW w:w="987" w:type="dxa"/>
          </w:tcPr>
          <w:p w14:paraId="7326BDF4" w14:textId="77777777" w:rsidR="00EF3DFB" w:rsidRDefault="00EF3DFB">
            <w:pPr>
              <w:pStyle w:val="TableParagraph"/>
              <w:rPr>
                <w:sz w:val="18"/>
              </w:rPr>
            </w:pPr>
          </w:p>
        </w:tc>
      </w:tr>
      <w:tr w:rsidR="00EF3DFB" w14:paraId="7326BDFA" w14:textId="77777777">
        <w:trPr>
          <w:trHeight w:val="285"/>
        </w:trPr>
        <w:tc>
          <w:tcPr>
            <w:tcW w:w="6015" w:type="dxa"/>
            <w:shd w:val="clear" w:color="auto" w:fill="CCEDFF"/>
          </w:tcPr>
          <w:p w14:paraId="7326BDF6" w14:textId="77777777" w:rsidR="00EF3DFB" w:rsidRDefault="00EF3DFB">
            <w:pPr>
              <w:pStyle w:val="TableParagraph"/>
              <w:rPr>
                <w:sz w:val="18"/>
              </w:rPr>
            </w:pPr>
          </w:p>
        </w:tc>
        <w:tc>
          <w:tcPr>
            <w:tcW w:w="1189" w:type="dxa"/>
            <w:shd w:val="clear" w:color="auto" w:fill="CCEDFF"/>
          </w:tcPr>
          <w:p w14:paraId="7326BDF7" w14:textId="77777777" w:rsidR="00EF3DFB" w:rsidRDefault="00EF3DFB">
            <w:pPr>
              <w:pStyle w:val="TableParagraph"/>
              <w:rPr>
                <w:sz w:val="18"/>
              </w:rPr>
            </w:pPr>
          </w:p>
        </w:tc>
        <w:tc>
          <w:tcPr>
            <w:tcW w:w="2429" w:type="dxa"/>
            <w:shd w:val="clear" w:color="auto" w:fill="CCEDFF"/>
          </w:tcPr>
          <w:p w14:paraId="7326BDF8" w14:textId="77777777" w:rsidR="00EF3DFB" w:rsidRDefault="00EF3DFB">
            <w:pPr>
              <w:pStyle w:val="TableParagraph"/>
              <w:rPr>
                <w:sz w:val="18"/>
              </w:rPr>
            </w:pPr>
          </w:p>
        </w:tc>
        <w:tc>
          <w:tcPr>
            <w:tcW w:w="987" w:type="dxa"/>
            <w:shd w:val="clear" w:color="auto" w:fill="CCEDFF"/>
          </w:tcPr>
          <w:p w14:paraId="7326BDF9" w14:textId="77777777" w:rsidR="00EF3DFB" w:rsidRDefault="00EF3DFB">
            <w:pPr>
              <w:pStyle w:val="TableParagraph"/>
              <w:rPr>
                <w:sz w:val="18"/>
              </w:rPr>
            </w:pPr>
          </w:p>
        </w:tc>
      </w:tr>
      <w:tr w:rsidR="00EF3DFB" w14:paraId="7326BDFF" w14:textId="77777777">
        <w:trPr>
          <w:trHeight w:val="285"/>
        </w:trPr>
        <w:tc>
          <w:tcPr>
            <w:tcW w:w="6015" w:type="dxa"/>
          </w:tcPr>
          <w:p w14:paraId="7326BDFB" w14:textId="77777777" w:rsidR="00EF3DFB" w:rsidRDefault="00D27C17">
            <w:pPr>
              <w:pStyle w:val="TableParagraph"/>
              <w:spacing w:before="12"/>
              <w:ind w:left="52"/>
              <w:rPr>
                <w:sz w:val="20"/>
              </w:rPr>
            </w:pPr>
            <w:r>
              <w:rPr>
                <w:sz w:val="20"/>
              </w:rPr>
              <w:t>Interest expense, net</w:t>
            </w:r>
          </w:p>
        </w:tc>
        <w:tc>
          <w:tcPr>
            <w:tcW w:w="1189" w:type="dxa"/>
          </w:tcPr>
          <w:p w14:paraId="7326BDFC" w14:textId="77777777" w:rsidR="00EF3DFB" w:rsidRDefault="00D27C17">
            <w:pPr>
              <w:pStyle w:val="TableParagraph"/>
              <w:spacing w:before="22"/>
              <w:ind w:left="576"/>
              <w:rPr>
                <w:sz w:val="20"/>
              </w:rPr>
            </w:pPr>
            <w:r>
              <w:rPr>
                <w:sz w:val="20"/>
              </w:rPr>
              <w:t>303</w:t>
            </w:r>
          </w:p>
        </w:tc>
        <w:tc>
          <w:tcPr>
            <w:tcW w:w="2429" w:type="dxa"/>
          </w:tcPr>
          <w:p w14:paraId="7326BDFD" w14:textId="77777777" w:rsidR="00EF3DFB" w:rsidRDefault="00D27C17">
            <w:pPr>
              <w:pStyle w:val="TableParagraph"/>
              <w:tabs>
                <w:tab w:val="left" w:pos="1269"/>
              </w:tabs>
              <w:spacing w:before="22"/>
              <w:ind w:right="137"/>
              <w:jc w:val="right"/>
              <w:rPr>
                <w:sz w:val="20"/>
              </w:rPr>
            </w:pPr>
            <w:r>
              <w:rPr>
                <w:sz w:val="20"/>
              </w:rPr>
              <w:t>446</w:t>
            </w:r>
            <w:r>
              <w:rPr>
                <w:sz w:val="20"/>
              </w:rPr>
              <w:tab/>
              <w:t>(143)</w:t>
            </w:r>
          </w:p>
        </w:tc>
        <w:tc>
          <w:tcPr>
            <w:tcW w:w="987" w:type="dxa"/>
          </w:tcPr>
          <w:p w14:paraId="7326BDFE" w14:textId="77777777" w:rsidR="00EF3DFB" w:rsidRDefault="00D27C17">
            <w:pPr>
              <w:pStyle w:val="TableParagraph"/>
              <w:spacing w:before="12"/>
              <w:ind w:left="116" w:right="67"/>
              <w:jc w:val="center"/>
              <w:rPr>
                <w:sz w:val="20"/>
              </w:rPr>
            </w:pPr>
            <w:r>
              <w:rPr>
                <w:sz w:val="20"/>
              </w:rPr>
              <w:t>(32.1)%</w:t>
            </w:r>
          </w:p>
        </w:tc>
      </w:tr>
      <w:tr w:rsidR="00EF3DFB" w14:paraId="7326BE04" w14:textId="77777777">
        <w:trPr>
          <w:trHeight w:val="285"/>
        </w:trPr>
        <w:tc>
          <w:tcPr>
            <w:tcW w:w="6015" w:type="dxa"/>
            <w:shd w:val="clear" w:color="auto" w:fill="CCEDFF"/>
          </w:tcPr>
          <w:p w14:paraId="7326BE00" w14:textId="77777777" w:rsidR="00EF3DFB" w:rsidRDefault="00D27C17">
            <w:pPr>
              <w:pStyle w:val="TableParagraph"/>
              <w:spacing w:before="12"/>
              <w:ind w:left="52"/>
              <w:rPr>
                <w:sz w:val="20"/>
              </w:rPr>
            </w:pPr>
            <w:r>
              <w:rPr>
                <w:sz w:val="20"/>
              </w:rPr>
              <w:t>Loss on extinguishment of debt</w:t>
            </w:r>
          </w:p>
        </w:tc>
        <w:tc>
          <w:tcPr>
            <w:tcW w:w="1189" w:type="dxa"/>
            <w:shd w:val="clear" w:color="auto" w:fill="CCEDFF"/>
          </w:tcPr>
          <w:p w14:paraId="7326BE01" w14:textId="77777777" w:rsidR="00EF3DFB" w:rsidRDefault="00D27C17">
            <w:pPr>
              <w:pStyle w:val="TableParagraph"/>
              <w:spacing w:before="22"/>
              <w:ind w:left="676"/>
              <w:rPr>
                <w:sz w:val="20"/>
              </w:rPr>
            </w:pPr>
            <w:r>
              <w:rPr>
                <w:sz w:val="20"/>
              </w:rPr>
              <w:t>28</w:t>
            </w:r>
          </w:p>
        </w:tc>
        <w:tc>
          <w:tcPr>
            <w:tcW w:w="2429" w:type="dxa"/>
            <w:shd w:val="clear" w:color="auto" w:fill="CCEDFF"/>
          </w:tcPr>
          <w:p w14:paraId="7326BE02" w14:textId="77777777" w:rsidR="00EF3DFB" w:rsidRDefault="00D27C17">
            <w:pPr>
              <w:pStyle w:val="TableParagraph"/>
              <w:tabs>
                <w:tab w:val="left" w:pos="1236"/>
              </w:tabs>
              <w:spacing w:before="22"/>
              <w:ind w:right="202"/>
              <w:jc w:val="right"/>
              <w:rPr>
                <w:sz w:val="20"/>
              </w:rPr>
            </w:pPr>
            <w:r>
              <w:rPr>
                <w:sz w:val="20"/>
              </w:rPr>
              <w:t>4</w:t>
            </w:r>
            <w:r>
              <w:rPr>
                <w:sz w:val="20"/>
              </w:rPr>
              <w:tab/>
              <w:t>24</w:t>
            </w:r>
          </w:p>
        </w:tc>
        <w:tc>
          <w:tcPr>
            <w:tcW w:w="987" w:type="dxa"/>
            <w:shd w:val="clear" w:color="auto" w:fill="CCEDFF"/>
          </w:tcPr>
          <w:p w14:paraId="7326BE03" w14:textId="77777777" w:rsidR="00EF3DFB" w:rsidRDefault="00D27C17">
            <w:pPr>
              <w:pStyle w:val="TableParagraph"/>
              <w:spacing w:before="12"/>
              <w:ind w:left="116" w:right="67"/>
              <w:jc w:val="center"/>
              <w:rPr>
                <w:sz w:val="20"/>
              </w:rPr>
            </w:pPr>
            <w:r>
              <w:rPr>
                <w:sz w:val="20"/>
              </w:rPr>
              <w:t>NM</w:t>
            </w:r>
          </w:p>
        </w:tc>
      </w:tr>
      <w:tr w:rsidR="00EF3DFB" w14:paraId="7326BE09" w14:textId="77777777">
        <w:trPr>
          <w:trHeight w:val="285"/>
        </w:trPr>
        <w:tc>
          <w:tcPr>
            <w:tcW w:w="6015" w:type="dxa"/>
          </w:tcPr>
          <w:p w14:paraId="7326BE05" w14:textId="77777777" w:rsidR="00EF3DFB" w:rsidRDefault="00D27C17">
            <w:pPr>
              <w:pStyle w:val="TableParagraph"/>
              <w:spacing w:before="12"/>
              <w:ind w:left="52"/>
              <w:rPr>
                <w:sz w:val="20"/>
              </w:rPr>
            </w:pPr>
            <w:r>
              <w:rPr>
                <w:sz w:val="20"/>
              </w:rPr>
              <w:t>Other (income) expense, net</w:t>
            </w:r>
          </w:p>
        </w:tc>
        <w:tc>
          <w:tcPr>
            <w:tcW w:w="1189" w:type="dxa"/>
          </w:tcPr>
          <w:p w14:paraId="7326BE06" w14:textId="77777777" w:rsidR="00EF3DFB" w:rsidRDefault="00D27C17">
            <w:pPr>
              <w:pStyle w:val="TableParagraph"/>
              <w:spacing w:before="22"/>
              <w:ind w:left="676"/>
              <w:rPr>
                <w:sz w:val="20"/>
              </w:rPr>
            </w:pPr>
            <w:r>
              <w:rPr>
                <w:sz w:val="20"/>
              </w:rPr>
              <w:t>39</w:t>
            </w:r>
          </w:p>
        </w:tc>
        <w:tc>
          <w:tcPr>
            <w:tcW w:w="2429" w:type="dxa"/>
          </w:tcPr>
          <w:p w14:paraId="7326BE07" w14:textId="77777777" w:rsidR="00EF3DFB" w:rsidRDefault="00D27C17">
            <w:pPr>
              <w:pStyle w:val="TableParagraph"/>
              <w:tabs>
                <w:tab w:val="left" w:pos="1403"/>
              </w:tabs>
              <w:spacing w:before="22"/>
              <w:ind w:right="202"/>
              <w:jc w:val="right"/>
              <w:rPr>
                <w:sz w:val="20"/>
              </w:rPr>
            </w:pPr>
            <w:r>
              <w:rPr>
                <w:sz w:val="20"/>
              </w:rPr>
              <w:t>(12)</w:t>
            </w:r>
            <w:r>
              <w:rPr>
                <w:sz w:val="20"/>
              </w:rPr>
              <w:tab/>
              <w:t>51</w:t>
            </w:r>
          </w:p>
        </w:tc>
        <w:tc>
          <w:tcPr>
            <w:tcW w:w="987" w:type="dxa"/>
          </w:tcPr>
          <w:p w14:paraId="7326BE08" w14:textId="77777777" w:rsidR="00EF3DFB" w:rsidRDefault="00D27C17">
            <w:pPr>
              <w:pStyle w:val="TableParagraph"/>
              <w:spacing w:before="12"/>
              <w:ind w:left="116" w:right="67"/>
              <w:jc w:val="center"/>
              <w:rPr>
                <w:sz w:val="20"/>
              </w:rPr>
            </w:pPr>
            <w:r>
              <w:rPr>
                <w:sz w:val="20"/>
              </w:rPr>
              <w:t>NM</w:t>
            </w:r>
          </w:p>
        </w:tc>
      </w:tr>
      <w:tr w:rsidR="00EF3DFB" w14:paraId="7326BE0E" w14:textId="77777777">
        <w:trPr>
          <w:trHeight w:val="285"/>
        </w:trPr>
        <w:tc>
          <w:tcPr>
            <w:tcW w:w="6015" w:type="dxa"/>
            <w:shd w:val="clear" w:color="auto" w:fill="CCEDFF"/>
          </w:tcPr>
          <w:p w14:paraId="7326BE0A" w14:textId="77777777" w:rsidR="00EF3DFB" w:rsidRDefault="00D27C17">
            <w:pPr>
              <w:pStyle w:val="TableParagraph"/>
              <w:spacing w:before="12"/>
              <w:ind w:left="52"/>
              <w:rPr>
                <w:sz w:val="20"/>
              </w:rPr>
            </w:pPr>
            <w:r>
              <w:rPr>
                <w:sz w:val="20"/>
              </w:rPr>
              <w:t>Loss before income taxes</w:t>
            </w:r>
          </w:p>
        </w:tc>
        <w:tc>
          <w:tcPr>
            <w:tcW w:w="1189" w:type="dxa"/>
            <w:shd w:val="clear" w:color="auto" w:fill="CCEDFF"/>
          </w:tcPr>
          <w:p w14:paraId="7326BE0B" w14:textId="77777777" w:rsidR="00EF3DFB" w:rsidRDefault="00D27C17">
            <w:pPr>
              <w:pStyle w:val="TableParagraph"/>
              <w:spacing w:before="22"/>
              <w:ind w:left="510"/>
              <w:rPr>
                <w:sz w:val="20"/>
              </w:rPr>
            </w:pPr>
            <w:r>
              <w:rPr>
                <w:sz w:val="20"/>
              </w:rPr>
              <w:t>(852)</w:t>
            </w:r>
          </w:p>
        </w:tc>
        <w:tc>
          <w:tcPr>
            <w:tcW w:w="2429" w:type="dxa"/>
            <w:shd w:val="clear" w:color="auto" w:fill="CCEDFF"/>
          </w:tcPr>
          <w:p w14:paraId="7326BE0C" w14:textId="77777777" w:rsidR="00EF3DFB" w:rsidRDefault="00D27C17">
            <w:pPr>
              <w:pStyle w:val="TableParagraph"/>
              <w:tabs>
                <w:tab w:val="left" w:pos="1774"/>
              </w:tabs>
              <w:spacing w:before="22"/>
              <w:ind w:left="371"/>
              <w:rPr>
                <w:sz w:val="20"/>
              </w:rPr>
            </w:pPr>
            <w:r>
              <w:rPr>
                <w:sz w:val="20"/>
              </w:rPr>
              <w:t>(7,992)</w:t>
            </w:r>
            <w:r>
              <w:rPr>
                <w:sz w:val="20"/>
              </w:rPr>
              <w:tab/>
              <w:t>7,140</w:t>
            </w:r>
          </w:p>
        </w:tc>
        <w:tc>
          <w:tcPr>
            <w:tcW w:w="987" w:type="dxa"/>
            <w:shd w:val="clear" w:color="auto" w:fill="CCEDFF"/>
          </w:tcPr>
          <w:p w14:paraId="7326BE0D" w14:textId="77777777" w:rsidR="00EF3DFB" w:rsidRDefault="00D27C17">
            <w:pPr>
              <w:pStyle w:val="TableParagraph"/>
              <w:spacing w:before="12"/>
              <w:ind w:left="116" w:right="67"/>
              <w:jc w:val="center"/>
              <w:rPr>
                <w:sz w:val="20"/>
              </w:rPr>
            </w:pPr>
            <w:r>
              <w:rPr>
                <w:sz w:val="20"/>
              </w:rPr>
              <w:t>89.3%</w:t>
            </w:r>
          </w:p>
        </w:tc>
      </w:tr>
      <w:tr w:rsidR="00EF3DFB" w14:paraId="7326BE13" w14:textId="77777777">
        <w:trPr>
          <w:trHeight w:val="285"/>
        </w:trPr>
        <w:tc>
          <w:tcPr>
            <w:tcW w:w="6015" w:type="dxa"/>
          </w:tcPr>
          <w:p w14:paraId="7326BE0F" w14:textId="77777777" w:rsidR="00EF3DFB" w:rsidRDefault="00D27C17">
            <w:pPr>
              <w:pStyle w:val="TableParagraph"/>
              <w:spacing w:before="12"/>
              <w:ind w:left="52"/>
              <w:rPr>
                <w:sz w:val="20"/>
              </w:rPr>
            </w:pPr>
            <w:r>
              <w:rPr>
                <w:sz w:val="20"/>
              </w:rPr>
              <w:t>Income tax benefit</w:t>
            </w:r>
          </w:p>
        </w:tc>
        <w:tc>
          <w:tcPr>
            <w:tcW w:w="1189" w:type="dxa"/>
          </w:tcPr>
          <w:p w14:paraId="7326BE10" w14:textId="77777777" w:rsidR="00EF3DFB" w:rsidRDefault="00D27C17">
            <w:pPr>
              <w:pStyle w:val="TableParagraph"/>
              <w:spacing w:before="22"/>
              <w:ind w:left="360"/>
              <w:rPr>
                <w:sz w:val="20"/>
              </w:rPr>
            </w:pPr>
            <w:r>
              <w:rPr>
                <w:sz w:val="20"/>
              </w:rPr>
              <w:t>(1,038)</w:t>
            </w:r>
          </w:p>
        </w:tc>
        <w:tc>
          <w:tcPr>
            <w:tcW w:w="2429" w:type="dxa"/>
          </w:tcPr>
          <w:p w14:paraId="7326BE11" w14:textId="77777777" w:rsidR="00EF3DFB" w:rsidRDefault="00D27C17">
            <w:pPr>
              <w:pStyle w:val="TableParagraph"/>
              <w:tabs>
                <w:tab w:val="left" w:pos="1924"/>
              </w:tabs>
              <w:spacing w:before="22"/>
              <w:ind w:left="371"/>
              <w:rPr>
                <w:sz w:val="20"/>
              </w:rPr>
            </w:pPr>
            <w:r>
              <w:rPr>
                <w:sz w:val="20"/>
              </w:rPr>
              <w:t>(1,359)</w:t>
            </w:r>
            <w:r>
              <w:rPr>
                <w:sz w:val="20"/>
              </w:rPr>
              <w:tab/>
              <w:t>321</w:t>
            </w:r>
          </w:p>
        </w:tc>
        <w:tc>
          <w:tcPr>
            <w:tcW w:w="987" w:type="dxa"/>
          </w:tcPr>
          <w:p w14:paraId="7326BE12" w14:textId="77777777" w:rsidR="00EF3DFB" w:rsidRDefault="00D27C17">
            <w:pPr>
              <w:pStyle w:val="TableParagraph"/>
              <w:spacing w:before="12"/>
              <w:ind w:left="116" w:right="67"/>
              <w:jc w:val="center"/>
              <w:rPr>
                <w:sz w:val="20"/>
              </w:rPr>
            </w:pPr>
            <w:r>
              <w:rPr>
                <w:sz w:val="20"/>
              </w:rPr>
              <w:t>23.6%</w:t>
            </w:r>
          </w:p>
        </w:tc>
      </w:tr>
      <w:tr w:rsidR="00EF3DFB" w14:paraId="7326BE18" w14:textId="77777777">
        <w:trPr>
          <w:trHeight w:val="285"/>
        </w:trPr>
        <w:tc>
          <w:tcPr>
            <w:tcW w:w="6015" w:type="dxa"/>
            <w:shd w:val="clear" w:color="auto" w:fill="CCEDFF"/>
          </w:tcPr>
          <w:p w14:paraId="7326BE14" w14:textId="77777777" w:rsidR="00EF3DFB" w:rsidRDefault="00D27C17">
            <w:pPr>
              <w:pStyle w:val="TableParagraph"/>
              <w:spacing w:before="12"/>
              <w:ind w:left="412"/>
              <w:rPr>
                <w:i/>
                <w:sz w:val="20"/>
              </w:rPr>
            </w:pPr>
            <w:r>
              <w:rPr>
                <w:i/>
                <w:sz w:val="20"/>
              </w:rPr>
              <w:t>Income tax rate</w:t>
            </w:r>
          </w:p>
        </w:tc>
        <w:tc>
          <w:tcPr>
            <w:tcW w:w="1189" w:type="dxa"/>
            <w:shd w:val="clear" w:color="auto" w:fill="CCEDFF"/>
          </w:tcPr>
          <w:p w14:paraId="7326BE15" w14:textId="77777777" w:rsidR="00EF3DFB" w:rsidRDefault="00D27C17">
            <w:pPr>
              <w:pStyle w:val="TableParagraph"/>
              <w:spacing w:before="12"/>
              <w:ind w:right="78"/>
              <w:jc w:val="right"/>
              <w:rPr>
                <w:i/>
                <w:sz w:val="20"/>
              </w:rPr>
            </w:pPr>
            <w:r>
              <w:rPr>
                <w:i/>
                <w:sz w:val="20"/>
              </w:rPr>
              <w:t>121.9 %</w:t>
            </w:r>
          </w:p>
        </w:tc>
        <w:tc>
          <w:tcPr>
            <w:tcW w:w="2429" w:type="dxa"/>
            <w:shd w:val="clear" w:color="auto" w:fill="CCEDFF"/>
          </w:tcPr>
          <w:p w14:paraId="7326BE16" w14:textId="77777777" w:rsidR="00EF3DFB" w:rsidRDefault="00D27C17">
            <w:pPr>
              <w:pStyle w:val="TableParagraph"/>
              <w:spacing w:before="12"/>
              <w:ind w:left="537"/>
              <w:rPr>
                <w:i/>
                <w:sz w:val="20"/>
              </w:rPr>
            </w:pPr>
            <w:r>
              <w:rPr>
                <w:i/>
                <w:sz w:val="20"/>
              </w:rPr>
              <w:t>17.0 %</w:t>
            </w:r>
          </w:p>
        </w:tc>
        <w:tc>
          <w:tcPr>
            <w:tcW w:w="987" w:type="dxa"/>
            <w:shd w:val="clear" w:color="auto" w:fill="CCEDFF"/>
          </w:tcPr>
          <w:p w14:paraId="7326BE17" w14:textId="77777777" w:rsidR="00EF3DFB" w:rsidRDefault="00EF3DFB">
            <w:pPr>
              <w:pStyle w:val="TableParagraph"/>
              <w:rPr>
                <w:sz w:val="18"/>
              </w:rPr>
            </w:pPr>
          </w:p>
        </w:tc>
      </w:tr>
      <w:tr w:rsidR="00EF3DFB" w14:paraId="7326BE1D" w14:textId="77777777">
        <w:trPr>
          <w:trHeight w:val="285"/>
        </w:trPr>
        <w:tc>
          <w:tcPr>
            <w:tcW w:w="6015" w:type="dxa"/>
          </w:tcPr>
          <w:p w14:paraId="7326BE19" w14:textId="77777777" w:rsidR="00EF3DFB" w:rsidRDefault="00EF3DFB">
            <w:pPr>
              <w:pStyle w:val="TableParagraph"/>
              <w:rPr>
                <w:sz w:val="18"/>
              </w:rPr>
            </w:pPr>
          </w:p>
        </w:tc>
        <w:tc>
          <w:tcPr>
            <w:tcW w:w="1189" w:type="dxa"/>
          </w:tcPr>
          <w:p w14:paraId="7326BE1A" w14:textId="77777777" w:rsidR="00EF3DFB" w:rsidRDefault="00EF3DFB">
            <w:pPr>
              <w:pStyle w:val="TableParagraph"/>
              <w:rPr>
                <w:sz w:val="18"/>
              </w:rPr>
            </w:pPr>
          </w:p>
        </w:tc>
        <w:tc>
          <w:tcPr>
            <w:tcW w:w="2429" w:type="dxa"/>
          </w:tcPr>
          <w:p w14:paraId="7326BE1B" w14:textId="77777777" w:rsidR="00EF3DFB" w:rsidRDefault="00EF3DFB">
            <w:pPr>
              <w:pStyle w:val="TableParagraph"/>
              <w:rPr>
                <w:sz w:val="18"/>
              </w:rPr>
            </w:pPr>
          </w:p>
        </w:tc>
        <w:tc>
          <w:tcPr>
            <w:tcW w:w="987" w:type="dxa"/>
          </w:tcPr>
          <w:p w14:paraId="7326BE1C" w14:textId="77777777" w:rsidR="00EF3DFB" w:rsidRDefault="00EF3DFB">
            <w:pPr>
              <w:pStyle w:val="TableParagraph"/>
              <w:rPr>
                <w:sz w:val="18"/>
              </w:rPr>
            </w:pPr>
          </w:p>
        </w:tc>
      </w:tr>
      <w:tr w:rsidR="00EF3DFB" w14:paraId="7326BE22" w14:textId="77777777">
        <w:trPr>
          <w:trHeight w:val="285"/>
        </w:trPr>
        <w:tc>
          <w:tcPr>
            <w:tcW w:w="6015" w:type="dxa"/>
            <w:shd w:val="clear" w:color="auto" w:fill="CCEDFF"/>
          </w:tcPr>
          <w:p w14:paraId="7326BE1E" w14:textId="77777777" w:rsidR="00EF3DFB" w:rsidRDefault="00D27C17">
            <w:pPr>
              <w:pStyle w:val="TableParagraph"/>
              <w:spacing w:before="12"/>
              <w:ind w:left="52"/>
              <w:rPr>
                <w:sz w:val="20"/>
              </w:rPr>
            </w:pPr>
            <w:r>
              <w:rPr>
                <w:sz w:val="20"/>
              </w:rPr>
              <w:t>Diluted earnings (loss) per share - continuing operations</w:t>
            </w:r>
          </w:p>
        </w:tc>
        <w:tc>
          <w:tcPr>
            <w:tcW w:w="1189" w:type="dxa"/>
            <w:shd w:val="clear" w:color="auto" w:fill="CCEDFF"/>
          </w:tcPr>
          <w:p w14:paraId="7326BE1F" w14:textId="77777777" w:rsidR="00EF3DFB" w:rsidRDefault="00D27C17">
            <w:pPr>
              <w:pStyle w:val="TableParagraph"/>
              <w:tabs>
                <w:tab w:val="left" w:pos="526"/>
              </w:tabs>
              <w:spacing w:before="22"/>
              <w:ind w:left="52"/>
              <w:rPr>
                <w:sz w:val="20"/>
              </w:rPr>
            </w:pPr>
            <w:r>
              <w:rPr>
                <w:sz w:val="20"/>
              </w:rPr>
              <w:t>$</w:t>
            </w:r>
            <w:r>
              <w:rPr>
                <w:sz w:val="20"/>
              </w:rPr>
              <w:tab/>
              <w:t>0.44</w:t>
            </w:r>
          </w:p>
        </w:tc>
        <w:tc>
          <w:tcPr>
            <w:tcW w:w="2429" w:type="dxa"/>
            <w:shd w:val="clear" w:color="auto" w:fill="CCEDFF"/>
          </w:tcPr>
          <w:p w14:paraId="7326BE20" w14:textId="77777777" w:rsidR="00EF3DFB" w:rsidRDefault="00D27C17">
            <w:pPr>
              <w:pStyle w:val="TableParagraph"/>
              <w:tabs>
                <w:tab w:val="left" w:pos="371"/>
              </w:tabs>
              <w:spacing w:before="22"/>
              <w:ind w:left="63"/>
              <w:rPr>
                <w:sz w:val="20"/>
              </w:rPr>
            </w:pPr>
            <w:r>
              <w:rPr>
                <w:sz w:val="20"/>
              </w:rPr>
              <w:t>$</w:t>
            </w:r>
            <w:r>
              <w:rPr>
                <w:sz w:val="20"/>
              </w:rPr>
              <w:tab/>
              <w:t>(14.00)</w:t>
            </w:r>
          </w:p>
        </w:tc>
        <w:tc>
          <w:tcPr>
            <w:tcW w:w="987" w:type="dxa"/>
            <w:shd w:val="clear" w:color="auto" w:fill="CCEDFF"/>
          </w:tcPr>
          <w:p w14:paraId="7326BE21" w14:textId="77777777" w:rsidR="00EF3DFB" w:rsidRDefault="00EF3DFB">
            <w:pPr>
              <w:pStyle w:val="TableParagraph"/>
              <w:rPr>
                <w:sz w:val="18"/>
              </w:rPr>
            </w:pPr>
          </w:p>
        </w:tc>
      </w:tr>
      <w:tr w:rsidR="00EF3DFB" w14:paraId="7326BE27" w14:textId="77777777">
        <w:trPr>
          <w:trHeight w:val="275"/>
        </w:trPr>
        <w:tc>
          <w:tcPr>
            <w:tcW w:w="6015" w:type="dxa"/>
          </w:tcPr>
          <w:p w14:paraId="7326BE23" w14:textId="77777777" w:rsidR="00EF3DFB" w:rsidRDefault="00D27C17">
            <w:pPr>
              <w:pStyle w:val="TableParagraph"/>
              <w:spacing w:before="12"/>
              <w:ind w:left="52"/>
              <w:rPr>
                <w:sz w:val="20"/>
              </w:rPr>
            </w:pPr>
            <w:r>
              <w:rPr>
                <w:sz w:val="20"/>
              </w:rPr>
              <w:t>Diluted loss per share - discontinued operations</w:t>
            </w:r>
          </w:p>
        </w:tc>
        <w:tc>
          <w:tcPr>
            <w:tcW w:w="1189" w:type="dxa"/>
            <w:tcBorders>
              <w:bottom w:val="single" w:sz="8" w:space="0" w:color="000000"/>
            </w:tcBorders>
          </w:tcPr>
          <w:p w14:paraId="7326BE24" w14:textId="77777777" w:rsidR="00EF3DFB" w:rsidRDefault="00D27C17">
            <w:pPr>
              <w:pStyle w:val="TableParagraph"/>
              <w:spacing w:before="22"/>
              <w:ind w:left="460"/>
              <w:rPr>
                <w:sz w:val="20"/>
              </w:rPr>
            </w:pPr>
            <w:r>
              <w:rPr>
                <w:sz w:val="20"/>
              </w:rPr>
              <w:t>(0.19)</w:t>
            </w:r>
          </w:p>
        </w:tc>
        <w:tc>
          <w:tcPr>
            <w:tcW w:w="2429" w:type="dxa"/>
            <w:tcBorders>
              <w:bottom w:val="single" w:sz="8" w:space="0" w:color="000000"/>
            </w:tcBorders>
          </w:tcPr>
          <w:p w14:paraId="7326BE25" w14:textId="77777777" w:rsidR="00EF3DFB" w:rsidRDefault="00D27C17">
            <w:pPr>
              <w:pStyle w:val="TableParagraph"/>
              <w:spacing w:before="22"/>
              <w:ind w:left="471"/>
              <w:rPr>
                <w:sz w:val="20"/>
              </w:rPr>
            </w:pPr>
            <w:r>
              <w:rPr>
                <w:sz w:val="20"/>
              </w:rPr>
              <w:t>(0.65)</w:t>
            </w:r>
          </w:p>
        </w:tc>
        <w:tc>
          <w:tcPr>
            <w:tcW w:w="987" w:type="dxa"/>
          </w:tcPr>
          <w:p w14:paraId="7326BE26" w14:textId="77777777" w:rsidR="00EF3DFB" w:rsidRDefault="00EF3DFB">
            <w:pPr>
              <w:pStyle w:val="TableParagraph"/>
              <w:rPr>
                <w:sz w:val="18"/>
              </w:rPr>
            </w:pPr>
          </w:p>
        </w:tc>
      </w:tr>
      <w:tr w:rsidR="00EF3DFB" w14:paraId="7326BE2C" w14:textId="77777777">
        <w:trPr>
          <w:trHeight w:val="465"/>
        </w:trPr>
        <w:tc>
          <w:tcPr>
            <w:tcW w:w="6015" w:type="dxa"/>
            <w:shd w:val="clear" w:color="auto" w:fill="CCEDFF"/>
          </w:tcPr>
          <w:p w14:paraId="7326BE28" w14:textId="77777777" w:rsidR="00EF3DFB" w:rsidRDefault="00D27C17">
            <w:pPr>
              <w:pStyle w:val="TableParagraph"/>
              <w:spacing w:before="14" w:line="208" w:lineRule="auto"/>
              <w:ind w:left="52"/>
              <w:rPr>
                <w:b/>
                <w:sz w:val="20"/>
              </w:rPr>
            </w:pPr>
            <w:r>
              <w:rPr>
                <w:b/>
                <w:sz w:val="20"/>
              </w:rPr>
              <w:t>Diluted earnings (loss) per share - attributable to common shareholders</w:t>
            </w:r>
          </w:p>
        </w:tc>
        <w:tc>
          <w:tcPr>
            <w:tcW w:w="1189" w:type="dxa"/>
            <w:tcBorders>
              <w:top w:val="single" w:sz="8" w:space="0" w:color="000000"/>
              <w:bottom w:val="single" w:sz="8" w:space="0" w:color="000000"/>
            </w:tcBorders>
            <w:shd w:val="clear" w:color="auto" w:fill="CCEDFF"/>
          </w:tcPr>
          <w:p w14:paraId="7326BE29" w14:textId="77777777" w:rsidR="00EF3DFB" w:rsidRDefault="00D27C17">
            <w:pPr>
              <w:pStyle w:val="TableParagraph"/>
              <w:tabs>
                <w:tab w:val="left" w:pos="526"/>
                <w:tab w:val="left" w:pos="1124"/>
              </w:tabs>
              <w:spacing w:before="192"/>
              <w:ind w:left="52"/>
              <w:rPr>
                <w:b/>
                <w:sz w:val="20"/>
              </w:rPr>
            </w:pPr>
            <w:r>
              <w:rPr>
                <w:b/>
                <w:sz w:val="20"/>
                <w:u w:val="single"/>
              </w:rPr>
              <w:t>$</w:t>
            </w:r>
            <w:r>
              <w:rPr>
                <w:b/>
                <w:sz w:val="20"/>
                <w:u w:val="single"/>
              </w:rPr>
              <w:tab/>
              <w:t>0.25</w:t>
            </w:r>
            <w:r>
              <w:rPr>
                <w:b/>
                <w:sz w:val="20"/>
                <w:u w:val="single"/>
              </w:rPr>
              <w:tab/>
            </w:r>
          </w:p>
        </w:tc>
        <w:tc>
          <w:tcPr>
            <w:tcW w:w="2429" w:type="dxa"/>
            <w:tcBorders>
              <w:top w:val="single" w:sz="8" w:space="0" w:color="000000"/>
              <w:bottom w:val="single" w:sz="8" w:space="0" w:color="000000"/>
            </w:tcBorders>
            <w:shd w:val="clear" w:color="auto" w:fill="CCEDFF"/>
          </w:tcPr>
          <w:p w14:paraId="7326BE2A" w14:textId="77777777" w:rsidR="00EF3DFB" w:rsidRDefault="00D27C17">
            <w:pPr>
              <w:pStyle w:val="TableParagraph"/>
              <w:tabs>
                <w:tab w:val="left" w:pos="371"/>
              </w:tabs>
              <w:spacing w:before="192"/>
              <w:ind w:left="63"/>
              <w:rPr>
                <w:b/>
                <w:sz w:val="20"/>
              </w:rPr>
            </w:pPr>
            <w:r>
              <w:rPr>
                <w:b/>
                <w:sz w:val="20"/>
                <w:u w:val="single"/>
              </w:rPr>
              <w:t>$</w:t>
            </w:r>
            <w:r>
              <w:rPr>
                <w:b/>
                <w:sz w:val="20"/>
                <w:u w:val="single"/>
              </w:rPr>
              <w:tab/>
              <w:t>(14.65)</w:t>
            </w:r>
            <w:r>
              <w:rPr>
                <w:b/>
                <w:spacing w:val="-19"/>
                <w:sz w:val="20"/>
                <w:u w:val="single"/>
              </w:rPr>
              <w:t xml:space="preserve"> </w:t>
            </w:r>
          </w:p>
        </w:tc>
        <w:tc>
          <w:tcPr>
            <w:tcW w:w="987" w:type="dxa"/>
            <w:shd w:val="clear" w:color="auto" w:fill="CCEDFF"/>
          </w:tcPr>
          <w:p w14:paraId="7326BE2B" w14:textId="77777777" w:rsidR="00EF3DFB" w:rsidRDefault="00EF3DFB">
            <w:pPr>
              <w:pStyle w:val="TableParagraph"/>
              <w:rPr>
                <w:sz w:val="18"/>
              </w:rPr>
            </w:pPr>
          </w:p>
        </w:tc>
      </w:tr>
      <w:tr w:rsidR="00EF3DFB" w14:paraId="7326BE32" w14:textId="77777777">
        <w:trPr>
          <w:trHeight w:val="492"/>
        </w:trPr>
        <w:tc>
          <w:tcPr>
            <w:tcW w:w="6015" w:type="dxa"/>
          </w:tcPr>
          <w:p w14:paraId="7326BE2D" w14:textId="77777777" w:rsidR="00EF3DFB" w:rsidRDefault="00EF3DFB">
            <w:pPr>
              <w:pStyle w:val="TableParagraph"/>
              <w:spacing w:before="6"/>
            </w:pPr>
          </w:p>
          <w:p w14:paraId="7326BE2E" w14:textId="77777777" w:rsidR="00EF3DFB" w:rsidRDefault="00D27C17">
            <w:pPr>
              <w:pStyle w:val="TableParagraph"/>
              <w:spacing w:line="213" w:lineRule="exact"/>
              <w:rPr>
                <w:i/>
                <w:sz w:val="20"/>
              </w:rPr>
            </w:pPr>
            <w:r>
              <w:rPr>
                <w:i/>
                <w:sz w:val="20"/>
              </w:rPr>
              <w:t>NM — Not meaningful</w:t>
            </w:r>
          </w:p>
        </w:tc>
        <w:tc>
          <w:tcPr>
            <w:tcW w:w="1189" w:type="dxa"/>
            <w:tcBorders>
              <w:top w:val="single" w:sz="8" w:space="0" w:color="000000"/>
            </w:tcBorders>
          </w:tcPr>
          <w:p w14:paraId="7326BE2F" w14:textId="77777777" w:rsidR="00EF3DFB" w:rsidRDefault="00EF3DFB">
            <w:pPr>
              <w:pStyle w:val="TableParagraph"/>
              <w:rPr>
                <w:sz w:val="18"/>
              </w:rPr>
            </w:pPr>
          </w:p>
        </w:tc>
        <w:tc>
          <w:tcPr>
            <w:tcW w:w="2429" w:type="dxa"/>
            <w:tcBorders>
              <w:top w:val="single" w:sz="8" w:space="0" w:color="000000"/>
            </w:tcBorders>
          </w:tcPr>
          <w:p w14:paraId="7326BE30" w14:textId="77777777" w:rsidR="00EF3DFB" w:rsidRDefault="00EF3DFB">
            <w:pPr>
              <w:pStyle w:val="TableParagraph"/>
              <w:rPr>
                <w:sz w:val="18"/>
              </w:rPr>
            </w:pPr>
          </w:p>
        </w:tc>
        <w:tc>
          <w:tcPr>
            <w:tcW w:w="987" w:type="dxa"/>
          </w:tcPr>
          <w:p w14:paraId="7326BE31" w14:textId="77777777" w:rsidR="00EF3DFB" w:rsidRDefault="00EF3DFB">
            <w:pPr>
              <w:pStyle w:val="TableParagraph"/>
              <w:rPr>
                <w:sz w:val="18"/>
              </w:rPr>
            </w:pPr>
          </w:p>
        </w:tc>
      </w:tr>
    </w:tbl>
    <w:p w14:paraId="7326BE33" w14:textId="77777777" w:rsidR="00EF3DFB" w:rsidRDefault="00EF3DFB">
      <w:pPr>
        <w:pStyle w:val="BodyText"/>
        <w:spacing w:before="6"/>
        <w:rPr>
          <w:sz w:val="13"/>
        </w:rPr>
      </w:pPr>
    </w:p>
    <w:p w14:paraId="7326BE34" w14:textId="77777777" w:rsidR="00EF3DFB" w:rsidRDefault="00D27C17">
      <w:pPr>
        <w:pStyle w:val="BodyText"/>
        <w:spacing w:before="91" w:line="249" w:lineRule="auto"/>
        <w:ind w:left="190" w:right="168"/>
        <w:jc w:val="both"/>
      </w:pPr>
      <w:r>
        <w:t>Net sales for 2019 decreased 4%, with declines across all segments, primarily within the Appliances and Cookware, Commercial Solutions, and Outdoor and Recreation segments. Changes in foreign currency exchange rates unfavorably impacted net sales by</w:t>
      </w:r>
    </w:p>
    <w:p w14:paraId="7326BE35" w14:textId="77777777" w:rsidR="00EF3DFB" w:rsidRDefault="00D27C17">
      <w:pPr>
        <w:pStyle w:val="BodyText"/>
        <w:spacing w:before="2"/>
        <w:ind w:left="190"/>
      </w:pPr>
      <w:r>
        <w:t>$163 m</w:t>
      </w:r>
      <w:r>
        <w:t>illion, or 2%.</w:t>
      </w:r>
    </w:p>
    <w:p w14:paraId="7326BE36" w14:textId="77777777" w:rsidR="00EF3DFB" w:rsidRDefault="00EF3DFB">
      <w:pPr>
        <w:pStyle w:val="BodyText"/>
        <w:spacing w:before="8"/>
        <w:rPr>
          <w:sz w:val="21"/>
        </w:rPr>
      </w:pPr>
    </w:p>
    <w:p w14:paraId="7326BE37" w14:textId="77777777" w:rsidR="00EF3DFB" w:rsidRDefault="00D27C17">
      <w:pPr>
        <w:pStyle w:val="BodyText"/>
        <w:spacing w:line="249" w:lineRule="auto"/>
        <w:ind w:left="190" w:right="169"/>
        <w:jc w:val="both"/>
      </w:pPr>
      <w:r>
        <w:t>Gross profit for 2019 decreased 8% and gross profit margin declined to 33.1% in 2019 as compared with 34.6% in 2018. This performance was primarily due to lower net sales, product mix, inflation related to input costs and tariffs. Gross pro</w:t>
      </w:r>
      <w:r>
        <w:t>fit and margin in 2019 were also unfavorably impacted by a cumulative catch-up adjustment for depreciation expense of $48 million related to the Company’s decision to retain the Commercial Business. Approximately $27 million of this depreciation expense re</w:t>
      </w:r>
      <w:r>
        <w:t xml:space="preserve">lated to the amounts that would have been recorded in the prior year had the Commercial Business been continuously classified as held and used. See </w:t>
      </w:r>
      <w:r>
        <w:rPr>
          <w:i/>
        </w:rPr>
        <w:t xml:space="preserve">Footnote 6 of the Notes to the Consolidated Financial Statements </w:t>
      </w:r>
      <w:r>
        <w:t>for further information. In addition, gross</w:t>
      </w:r>
      <w:r>
        <w:t xml:space="preserve"> profit and margin in 2019 were unfavorably impacted by approximately $20 million of costs associated with a product recall in the Outdoor and Recreation segment. See </w:t>
      </w:r>
      <w:r>
        <w:rPr>
          <w:i/>
        </w:rPr>
        <w:t xml:space="preserve">Footnote 18 of the Notes to the Consolidated Financial Statements </w:t>
      </w:r>
      <w:r>
        <w:t>for further information</w:t>
      </w:r>
      <w:r>
        <w:t>. The gross profit decrease was partially offset by productivity improvement in 2019 from various initiatives. Changes in foreign currency exchange rates unfavorably impacted gross profit by $56 million, or 2%.</w:t>
      </w:r>
    </w:p>
    <w:p w14:paraId="7326BE38" w14:textId="77777777" w:rsidR="00EF3DFB" w:rsidRDefault="00EF3DFB">
      <w:pPr>
        <w:pStyle w:val="BodyText"/>
        <w:spacing w:before="7"/>
        <w:rPr>
          <w:sz w:val="21"/>
        </w:rPr>
      </w:pPr>
    </w:p>
    <w:p w14:paraId="7326BE39" w14:textId="77777777" w:rsidR="00EF3DFB" w:rsidRDefault="00D27C17">
      <w:pPr>
        <w:pStyle w:val="BodyText"/>
        <w:ind w:left="190"/>
        <w:jc w:val="both"/>
      </w:pPr>
      <w:r>
        <w:t>Notable items impacting operating loss for 2</w:t>
      </w:r>
      <w:r>
        <w:t>019 and 2018 are as follows:</w:t>
      </w:r>
    </w:p>
    <w:p w14:paraId="7326BE3A" w14:textId="77777777" w:rsidR="00EF3DFB" w:rsidRDefault="00EF3DFB">
      <w:pPr>
        <w:pStyle w:val="BodyText"/>
        <w:spacing w:before="2"/>
        <w:rPr>
          <w:sz w:val="13"/>
        </w:rPr>
      </w:pPr>
    </w:p>
    <w:p w14:paraId="7326BE3B" w14:textId="77777777" w:rsidR="00EF3DFB" w:rsidRDefault="00D27C17">
      <w:pPr>
        <w:spacing w:before="93" w:after="10"/>
        <w:ind w:right="1094"/>
        <w:jc w:val="right"/>
        <w:rPr>
          <w:b/>
          <w:sz w:val="16"/>
        </w:rPr>
      </w:pPr>
      <w:r>
        <w:rPr>
          <w:b/>
          <w:sz w:val="16"/>
        </w:rPr>
        <w:t>Years Ended December 31,</w:t>
      </w:r>
    </w:p>
    <w:p w14:paraId="7326BE3C" w14:textId="1667D574" w:rsidR="00EF3DFB" w:rsidRDefault="00D27C17">
      <w:pPr>
        <w:pStyle w:val="BodyText"/>
        <w:spacing w:line="40" w:lineRule="exact"/>
        <w:ind w:left="7040"/>
        <w:rPr>
          <w:sz w:val="4"/>
        </w:rPr>
      </w:pPr>
      <w:r>
        <w:rPr>
          <w:noProof/>
          <w:sz w:val="4"/>
        </w:rPr>
        <mc:AlternateContent>
          <mc:Choice Requires="wpg">
            <w:drawing>
              <wp:inline distT="0" distB="0" distL="0" distR="0" wp14:anchorId="7326D6E6" wp14:editId="7E3A1C97">
                <wp:extent cx="2381250" cy="25400"/>
                <wp:effectExtent l="15875" t="2540" r="12700" b="635"/>
                <wp:docPr id="531"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5400"/>
                          <a:chOff x="0" y="0"/>
                          <a:chExt cx="3750" cy="40"/>
                        </a:xfrm>
                      </wpg:grpSpPr>
                      <wps:wsp>
                        <wps:cNvPr id="532" name="Line 516"/>
                        <wps:cNvCnPr>
                          <a:cxnSpLocks noChangeShapeType="1"/>
                        </wps:cNvCnPr>
                        <wps:spPr bwMode="auto">
                          <a:xfrm>
                            <a:off x="0" y="20"/>
                            <a:ext cx="3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515"/>
                        <wps:cNvCnPr>
                          <a:cxnSpLocks noChangeShapeType="1"/>
                        </wps:cNvCnPr>
                        <wps:spPr bwMode="auto">
                          <a:xfrm>
                            <a:off x="0" y="20"/>
                            <a:ext cx="37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37B36A" id="Group 514" o:spid="_x0000_s1026" style="width:187.5pt;height:2pt;mso-position-horizontal-relative:char;mso-position-vertical-relative:line" coordsize="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">
                <v:line id="Line 516" o:spid="_x0000_s1027" style="position:absolute;visibility:visible;mso-wrap-style:square" from="0,20" to="37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line id="Line 515" o:spid="_x0000_s1028" style="position:absolute;visibility:visible;mso-wrap-style:square" from="0,20" to="37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" strokeweight="2pt"/>
                <w10:anchorlock/>
              </v:group>
            </w:pict>
          </mc:Fallback>
        </mc:AlternateContent>
      </w:r>
    </w:p>
    <w:p w14:paraId="7326BE3D" w14:textId="5EE74A6D" w:rsidR="00EF3DFB" w:rsidRDefault="00D27C17">
      <w:pPr>
        <w:tabs>
          <w:tab w:val="left" w:pos="7499"/>
          <w:tab w:val="left" w:pos="8774"/>
          <w:tab w:val="left" w:pos="9906"/>
        </w:tabs>
        <w:spacing w:before="19"/>
        <w:ind w:left="242"/>
        <w:rPr>
          <w:b/>
          <w:sz w:val="16"/>
        </w:rPr>
      </w:pPr>
      <w:r>
        <w:rPr>
          <w:noProof/>
        </w:rPr>
        <mc:AlternateContent>
          <mc:Choice Requires="wpg">
            <w:drawing>
              <wp:anchor distT="0" distB="0" distL="114300" distR="114300" simplePos="0" relativeHeight="502905200" behindDoc="1" locked="0" layoutInCell="1" allowOverlap="1" wp14:anchorId="7326D6E8" wp14:editId="1193671C">
                <wp:simplePos x="0" y="0"/>
                <wp:positionH relativeFrom="page">
                  <wp:posOffset>514350</wp:posOffset>
                </wp:positionH>
                <wp:positionV relativeFrom="paragraph">
                  <wp:posOffset>171450</wp:posOffset>
                </wp:positionV>
                <wp:extent cx="6743700" cy="187325"/>
                <wp:effectExtent l="0" t="7620" r="9525" b="0"/>
                <wp:wrapNone/>
                <wp:docPr id="52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270"/>
                          <a:chExt cx="10620" cy="295"/>
                        </a:xfrm>
                      </wpg:grpSpPr>
                      <wps:wsp>
                        <wps:cNvPr id="524" name="Rectangle 513"/>
                        <wps:cNvSpPr>
                          <a:spLocks noChangeArrowheads="1"/>
                        </wps:cNvSpPr>
                        <wps:spPr bwMode="auto">
                          <a:xfrm>
                            <a:off x="810" y="280"/>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12"/>
                        <wps:cNvCnPr>
                          <a:cxnSpLocks noChangeShapeType="1"/>
                        </wps:cNvCnPr>
                        <wps:spPr bwMode="auto">
                          <a:xfrm>
                            <a:off x="7680" y="28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511"/>
                        <wps:cNvCnPr>
                          <a:cxnSpLocks noChangeShapeType="1"/>
                        </wps:cNvCnPr>
                        <wps:spPr bwMode="auto">
                          <a:xfrm>
                            <a:off x="7680" y="28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510"/>
                        <wps:cNvCnPr>
                          <a:cxnSpLocks noChangeShapeType="1"/>
                        </wps:cNvCnPr>
                        <wps:spPr bwMode="auto">
                          <a:xfrm>
                            <a:off x="8955" y="28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509"/>
                        <wps:cNvCnPr>
                          <a:cxnSpLocks noChangeShapeType="1"/>
                        </wps:cNvCnPr>
                        <wps:spPr bwMode="auto">
                          <a:xfrm>
                            <a:off x="8955" y="28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508"/>
                        <wps:cNvCnPr>
                          <a:cxnSpLocks noChangeShapeType="1"/>
                        </wps:cNvCnPr>
                        <wps:spPr bwMode="auto">
                          <a:xfrm>
                            <a:off x="10230" y="28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507"/>
                        <wps:cNvCnPr>
                          <a:cxnSpLocks noChangeShapeType="1"/>
                        </wps:cNvCnPr>
                        <wps:spPr bwMode="auto">
                          <a:xfrm>
                            <a:off x="10230" y="28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0BD6E" id="Group 506" o:spid="_x0000_s1026" style="position:absolute;margin-left:40.5pt;margin-top:13.5pt;width:531pt;height:14.75pt;z-index:-411280;mso-position-horizontal-relative:page" coordorigin="810,27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">
                <v:rect id="Rectangle 513" o:spid="_x0000_s1027" style="position:absolute;left:810;top:280;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" fillcolor="#ccedff" stroked="f"/>
                <v:line id="Line 512" o:spid="_x0000_s1028" style="position:absolute;visibility:visible;mso-wrap-style:square" from="7680,280" to="888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line id="Line 511" o:spid="_x0000_s1029" style="position:absolute;visibility:visible;mso-wrap-style:square" from="7680,280" to="888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" strokeweight="1pt"/>
                <v:line id="Line 510" o:spid="_x0000_s1030" style="position:absolute;visibility:visible;mso-wrap-style:square" from="8955,280" to="1015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" strokeweight="0"/>
                <v:line id="Line 509" o:spid="_x0000_s1031" style="position:absolute;visibility:visible;mso-wrap-style:square" from="8955,280" to="1015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" strokeweight="1pt"/>
                <v:line id="Line 508" o:spid="_x0000_s1032" style="position:absolute;visibility:visible;mso-wrap-style:square" from="10230,280" to="1143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line id="Line 507" o:spid="_x0000_s1033" style="position:absolute;visibility:visible;mso-wrap-style:square" from="10230,280" to="1143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" strokeweight="1pt"/>
                <w10:wrap anchorx="page"/>
              </v:group>
            </w:pict>
          </mc:Fallback>
        </mc:AlternateContent>
      </w:r>
      <w:r>
        <w:rPr>
          <w:b/>
          <w:position w:val="1"/>
          <w:sz w:val="20"/>
        </w:rPr>
        <w:t>(in</w:t>
      </w:r>
      <w:r>
        <w:rPr>
          <w:b/>
          <w:spacing w:val="-4"/>
          <w:position w:val="1"/>
          <w:sz w:val="20"/>
        </w:rPr>
        <w:t xml:space="preserve"> </w:t>
      </w:r>
      <w:r>
        <w:rPr>
          <w:b/>
          <w:position w:val="1"/>
          <w:sz w:val="20"/>
        </w:rPr>
        <w:t>millions)</w:t>
      </w:r>
      <w:r>
        <w:rPr>
          <w:b/>
          <w:position w:val="1"/>
          <w:sz w:val="20"/>
        </w:rPr>
        <w:tab/>
      </w:r>
      <w:r>
        <w:rPr>
          <w:b/>
          <w:sz w:val="16"/>
        </w:rPr>
        <w:t>2019</w:t>
      </w:r>
      <w:r>
        <w:rPr>
          <w:b/>
          <w:sz w:val="16"/>
        </w:rPr>
        <w:tab/>
        <w:t>2018</w:t>
      </w:r>
      <w:r>
        <w:rPr>
          <w:b/>
          <w:sz w:val="16"/>
        </w:rPr>
        <w:tab/>
        <w:t>$</w:t>
      </w:r>
      <w:r>
        <w:rPr>
          <w:b/>
          <w:spacing w:val="-1"/>
          <w:sz w:val="16"/>
        </w:rPr>
        <w:t xml:space="preserve"> </w:t>
      </w:r>
      <w:r>
        <w:rPr>
          <w:b/>
          <w:sz w:val="16"/>
        </w:rPr>
        <w:t>Change</w:t>
      </w:r>
    </w:p>
    <w:p w14:paraId="7326BE3E" w14:textId="77777777" w:rsidR="00EF3DFB" w:rsidRDefault="00D27C17">
      <w:pPr>
        <w:pStyle w:val="BodyText"/>
        <w:tabs>
          <w:tab w:val="left" w:pos="7112"/>
          <w:tab w:val="left" w:pos="7728"/>
          <w:tab w:val="left" w:pos="8387"/>
          <w:tab w:val="left" w:pos="9003"/>
          <w:tab w:val="left" w:pos="9662"/>
          <w:tab w:val="left" w:pos="10211"/>
        </w:tabs>
        <w:spacing w:before="55"/>
        <w:ind w:left="242"/>
      </w:pPr>
      <w:r>
        <w:t>Impairment of intangible assets (See</w:t>
      </w:r>
      <w:r>
        <w:rPr>
          <w:spacing w:val="-16"/>
        </w:rPr>
        <w:t xml:space="preserve"> </w:t>
      </w:r>
      <w:r>
        <w:t>Footnote</w:t>
      </w:r>
      <w:r>
        <w:rPr>
          <w:spacing w:val="-4"/>
        </w:rPr>
        <w:t xml:space="preserve"> </w:t>
      </w:r>
      <w:r>
        <w:t>7)</w:t>
      </w:r>
      <w:r>
        <w:tab/>
        <w:t>$</w:t>
      </w:r>
      <w:r>
        <w:tab/>
        <w:t>1,213</w:t>
      </w:r>
      <w:r>
        <w:tab/>
        <w:t>$</w:t>
      </w:r>
      <w:r>
        <w:tab/>
        <w:t>8,296</w:t>
      </w:r>
      <w:r>
        <w:tab/>
        <w:t>$</w:t>
      </w:r>
      <w:r>
        <w:tab/>
        <w:t>(7,083)</w:t>
      </w:r>
    </w:p>
    <w:p w14:paraId="7326BE3F" w14:textId="77777777" w:rsidR="00EF3DFB" w:rsidRDefault="00D27C17">
      <w:pPr>
        <w:pStyle w:val="BodyText"/>
        <w:spacing w:before="50" w:line="215" w:lineRule="exact"/>
        <w:ind w:left="242"/>
      </w:pPr>
      <w:r>
        <w:t>Restructuring and restructuring related</w:t>
      </w:r>
    </w:p>
    <w:p w14:paraId="7326BE40" w14:textId="77777777" w:rsidR="00EF3DFB" w:rsidRDefault="00D27C17">
      <w:pPr>
        <w:pStyle w:val="BodyText"/>
        <w:tabs>
          <w:tab w:val="left" w:pos="7978"/>
          <w:tab w:val="left" w:pos="9253"/>
          <w:tab w:val="left" w:pos="10461"/>
        </w:tabs>
        <w:spacing w:line="215" w:lineRule="exact"/>
        <w:ind w:left="292"/>
      </w:pPr>
      <w:r>
        <w:t>(See Footnote</w:t>
      </w:r>
      <w:r>
        <w:rPr>
          <w:spacing w:val="-4"/>
        </w:rPr>
        <w:t xml:space="preserve"> </w:t>
      </w:r>
      <w:r>
        <w:t xml:space="preserve">4)  </w:t>
      </w:r>
      <w:r>
        <w:rPr>
          <w:spacing w:val="46"/>
        </w:rPr>
        <w:t xml:space="preserve"> </w:t>
      </w:r>
      <w:r>
        <w:t>(a)</w:t>
      </w:r>
      <w:r>
        <w:tab/>
        <w:t>82</w:t>
      </w:r>
      <w:r>
        <w:tab/>
        <w:t>98</w:t>
      </w:r>
      <w:r>
        <w:tab/>
        <w:t>(16)</w:t>
      </w:r>
    </w:p>
    <w:p w14:paraId="7326BE41" w14:textId="124A1C33" w:rsidR="00EF3DFB" w:rsidRDefault="00D27C17">
      <w:pPr>
        <w:pStyle w:val="BodyText"/>
        <w:spacing w:before="50" w:line="215" w:lineRule="exact"/>
        <w:ind w:left="242"/>
      </w:pPr>
      <w:r>
        <w:rPr>
          <w:noProof/>
        </w:rPr>
        <mc:AlternateContent>
          <mc:Choice Requires="wps">
            <w:drawing>
              <wp:anchor distT="0" distB="0" distL="114300" distR="114300" simplePos="0" relativeHeight="502905224" behindDoc="1" locked="0" layoutInCell="1" allowOverlap="1" wp14:anchorId="7326D6E9" wp14:editId="10E73E34">
                <wp:simplePos x="0" y="0"/>
                <wp:positionH relativeFrom="page">
                  <wp:posOffset>514350</wp:posOffset>
                </wp:positionH>
                <wp:positionV relativeFrom="paragraph">
                  <wp:posOffset>19050</wp:posOffset>
                </wp:positionV>
                <wp:extent cx="6743700" cy="304800"/>
                <wp:effectExtent l="0" t="4445" r="0" b="0"/>
                <wp:wrapNone/>
                <wp:docPr id="522"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048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AF02" id="Rectangle 505" o:spid="_x0000_s1026" style="position:absolute;margin-left:40.5pt;margin-top:1.5pt;width:531pt;height:24pt;z-index:-411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" fillcolor="#ccedff" stroked="f">
                <w10:wrap anchorx="page"/>
              </v:rect>
            </w:pict>
          </mc:Fallback>
        </mc:AlternateContent>
      </w:r>
      <w:r>
        <w:t>Held for sale depreciation and amortization catch-up adjustments</w:t>
      </w:r>
    </w:p>
    <w:p w14:paraId="7326BE42" w14:textId="77777777" w:rsidR="00EF3DFB" w:rsidRDefault="00D27C17">
      <w:pPr>
        <w:pStyle w:val="BodyText"/>
        <w:tabs>
          <w:tab w:val="left" w:pos="7978"/>
          <w:tab w:val="left" w:pos="9253"/>
          <w:tab w:val="right" w:pos="10728"/>
        </w:tabs>
        <w:spacing w:line="215" w:lineRule="exact"/>
        <w:ind w:left="242"/>
      </w:pPr>
      <w:r>
        <w:t>(See Footnotes 6 and</w:t>
      </w:r>
      <w:r>
        <w:rPr>
          <w:spacing w:val="-5"/>
        </w:rPr>
        <w:t xml:space="preserve"> </w:t>
      </w:r>
      <w:r>
        <w:t xml:space="preserve">7) </w:t>
      </w:r>
      <w:r>
        <w:rPr>
          <w:spacing w:val="46"/>
        </w:rPr>
        <w:t xml:space="preserve"> </w:t>
      </w:r>
      <w:r>
        <w:t>(b)</w:t>
      </w:r>
      <w:r>
        <w:tab/>
        <w:t>57</w:t>
      </w:r>
      <w:r>
        <w:tab/>
        <w:t>—</w:t>
      </w:r>
      <w:r>
        <w:tab/>
        <w:t>57</w:t>
      </w:r>
    </w:p>
    <w:p w14:paraId="7326BE43" w14:textId="08E619C4" w:rsidR="00EF3DFB" w:rsidRDefault="00D27C17">
      <w:pPr>
        <w:pStyle w:val="BodyText"/>
        <w:tabs>
          <w:tab w:val="left" w:pos="7978"/>
          <w:tab w:val="left" w:pos="9253"/>
          <w:tab w:val="right" w:pos="10728"/>
        </w:tabs>
        <w:spacing w:before="70"/>
        <w:ind w:left="242"/>
      </w:pPr>
      <w:r>
        <w:rPr>
          <w:noProof/>
        </w:rPr>
        <mc:AlternateContent>
          <mc:Choice Requires="wps">
            <w:drawing>
              <wp:anchor distT="0" distB="0" distL="114300" distR="114300" simplePos="0" relativeHeight="502905248" behindDoc="1" locked="0" layoutInCell="1" allowOverlap="1" wp14:anchorId="7326D6EA" wp14:editId="4A17AA1E">
                <wp:simplePos x="0" y="0"/>
                <wp:positionH relativeFrom="page">
                  <wp:posOffset>514350</wp:posOffset>
                </wp:positionH>
                <wp:positionV relativeFrom="paragraph">
                  <wp:posOffset>209550</wp:posOffset>
                </wp:positionV>
                <wp:extent cx="6743700" cy="190500"/>
                <wp:effectExtent l="0" t="4445" r="0" b="0"/>
                <wp:wrapNone/>
                <wp:docPr id="521"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DD17" id="Rectangle 504" o:spid="_x0000_s1026" style="position:absolute;margin-left:40.5pt;margin-top:16.5pt;width:531pt;height:15pt;z-index:-4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" fillcolor="#ccedff" stroked="f">
                <w10:wrap anchorx="page"/>
              </v:rect>
            </w:pict>
          </mc:Fallback>
        </mc:AlternateContent>
      </w:r>
      <w:r>
        <w:t>Product recall costs (See</w:t>
      </w:r>
      <w:r>
        <w:rPr>
          <w:spacing w:val="-12"/>
        </w:rPr>
        <w:t xml:space="preserve"> </w:t>
      </w:r>
      <w:r>
        <w:t>Footnote</w:t>
      </w:r>
      <w:r>
        <w:rPr>
          <w:spacing w:val="-3"/>
        </w:rPr>
        <w:t xml:space="preserve"> </w:t>
      </w:r>
      <w:r>
        <w:t>18)</w:t>
      </w:r>
      <w:r>
        <w:tab/>
        <w:t>20</w:t>
      </w:r>
      <w:r>
        <w:tab/>
        <w:t>—</w:t>
      </w:r>
      <w:r>
        <w:tab/>
        <w:t>20</w:t>
      </w:r>
    </w:p>
    <w:p w14:paraId="7326BE44" w14:textId="77777777" w:rsidR="00EF3DFB" w:rsidRDefault="00D27C17">
      <w:pPr>
        <w:pStyle w:val="BodyText"/>
        <w:tabs>
          <w:tab w:val="left" w:pos="7978"/>
          <w:tab w:val="left" w:pos="9253"/>
          <w:tab w:val="left" w:pos="10461"/>
        </w:tabs>
        <w:spacing w:before="70"/>
        <w:ind w:left="242"/>
      </w:pPr>
      <w:r>
        <w:t>Bad debt write-off for</w:t>
      </w:r>
      <w:r>
        <w:rPr>
          <w:spacing w:val="-9"/>
        </w:rPr>
        <w:t xml:space="preserve"> </w:t>
      </w:r>
      <w:r>
        <w:t>large</w:t>
      </w:r>
      <w:r>
        <w:rPr>
          <w:spacing w:val="-3"/>
        </w:rPr>
        <w:t xml:space="preserve"> </w:t>
      </w:r>
      <w:r>
        <w:t>customer</w:t>
      </w:r>
      <w:r>
        <w:tab/>
        <w:t>—</w:t>
      </w:r>
      <w:r>
        <w:tab/>
        <w:t>26</w:t>
      </w:r>
      <w:r>
        <w:tab/>
        <w:t>(26)</w:t>
      </w:r>
    </w:p>
    <w:p w14:paraId="7326BE45" w14:textId="77777777" w:rsidR="00EF3DFB" w:rsidRDefault="00D27C17">
      <w:pPr>
        <w:pStyle w:val="ListParagraph"/>
        <w:numPr>
          <w:ilvl w:val="0"/>
          <w:numId w:val="27"/>
        </w:numPr>
        <w:tabs>
          <w:tab w:val="left" w:pos="730"/>
        </w:tabs>
        <w:spacing w:before="91" w:line="249" w:lineRule="auto"/>
        <w:ind w:right="166"/>
        <w:jc w:val="both"/>
        <w:rPr>
          <w:sz w:val="16"/>
        </w:rPr>
      </w:pPr>
      <w:r>
        <w:rPr>
          <w:sz w:val="16"/>
        </w:rPr>
        <w:t>Restructuring-related costs reported in cost of products sold and SG&amp;A for 2019 were $16 million and $39 million, respectively, and primarily relate to accelerated depreciation associated with restructuring activities. Restructuring-related costs of $11 mi</w:t>
      </w:r>
      <w:r>
        <w:rPr>
          <w:sz w:val="16"/>
        </w:rPr>
        <w:t>llion for 2018 were reported in SG&amp;A. Restructuring costs for 2019 and 2018 were $27 million and $87 million, respectively, and primarily represent costs associated with the ATP, which was completed at the end of</w:t>
      </w:r>
      <w:r>
        <w:rPr>
          <w:spacing w:val="-1"/>
          <w:sz w:val="16"/>
        </w:rPr>
        <w:t xml:space="preserve"> </w:t>
      </w:r>
      <w:r>
        <w:rPr>
          <w:sz w:val="16"/>
        </w:rPr>
        <w:t>2019.</w:t>
      </w:r>
    </w:p>
    <w:p w14:paraId="7326BE46" w14:textId="77777777" w:rsidR="00EF3DFB" w:rsidRDefault="00EF3DFB">
      <w:pPr>
        <w:spacing w:line="249" w:lineRule="auto"/>
        <w:jc w:val="both"/>
        <w:rPr>
          <w:sz w:val="16"/>
        </w:rPr>
        <w:sectPr w:rsidR="00EF3DFB">
          <w:pgSz w:w="12240" w:h="15840"/>
          <w:pgMar w:top="920" w:right="640" w:bottom="480" w:left="620" w:header="0" w:footer="291" w:gutter="0"/>
          <w:cols w:space="720"/>
        </w:sectPr>
      </w:pPr>
    </w:p>
    <w:p w14:paraId="7326BE47" w14:textId="77777777" w:rsidR="00EF3DFB" w:rsidRDefault="00D27C17">
      <w:pPr>
        <w:pStyle w:val="ListParagraph"/>
        <w:numPr>
          <w:ilvl w:val="0"/>
          <w:numId w:val="27"/>
        </w:numPr>
        <w:tabs>
          <w:tab w:val="left" w:pos="729"/>
          <w:tab w:val="left" w:pos="730"/>
        </w:tabs>
        <w:spacing w:before="81"/>
        <w:rPr>
          <w:sz w:val="16"/>
        </w:rPr>
      </w:pPr>
      <w:r>
        <w:rPr>
          <w:sz w:val="16"/>
        </w:rPr>
        <w:lastRenderedPageBreak/>
        <w:t>Amounts reported in cos</w:t>
      </w:r>
      <w:r>
        <w:rPr>
          <w:sz w:val="16"/>
        </w:rPr>
        <w:t>t of products sold and SG&amp;A for 2019 were $48 million and $9 million,</w:t>
      </w:r>
      <w:r>
        <w:rPr>
          <w:spacing w:val="-10"/>
          <w:sz w:val="16"/>
        </w:rPr>
        <w:t xml:space="preserve"> </w:t>
      </w:r>
      <w:r>
        <w:rPr>
          <w:sz w:val="16"/>
        </w:rPr>
        <w:t>respectively.</w:t>
      </w:r>
    </w:p>
    <w:p w14:paraId="7326BE48" w14:textId="77777777" w:rsidR="00EF3DFB" w:rsidRDefault="00EF3DFB">
      <w:pPr>
        <w:pStyle w:val="BodyText"/>
        <w:spacing w:before="11"/>
        <w:rPr>
          <w:sz w:val="25"/>
        </w:rPr>
      </w:pPr>
    </w:p>
    <w:p w14:paraId="7326BE49" w14:textId="77777777" w:rsidR="00EF3DFB" w:rsidRDefault="00D27C17">
      <w:pPr>
        <w:pStyle w:val="BodyText"/>
        <w:spacing w:line="249" w:lineRule="auto"/>
        <w:ind w:left="190" w:right="169"/>
        <w:jc w:val="both"/>
      </w:pPr>
      <w:r>
        <w:t>Operating loss decreased to $482 million in 2019 as compared to $7.6 billion in 2018. Operating loss included non-cash impairment charges of goodwill and certain indefinit</w:t>
      </w:r>
      <w:r>
        <w:t>e-lived intangible assets of $1.2 billion recorded in 2019 as compared to $8.3 billion of non-cash impairment charges of goodwill and certain indefinite-lived intangible assets recorded in 2018. This performance also included overhead reduction driven by v</w:t>
      </w:r>
      <w:r>
        <w:t xml:space="preserve">arious initiatives, lower restructuring and restructuring-related charges in 2019 primarily related to the now completed ATP, and the lapping of a bad debt write off of $26 million from a large customer in the prior year. These decreases in operating loss </w:t>
      </w:r>
      <w:r>
        <w:t>and operating margin were partially offset by the cumulative catch-up adjustment for depreciation and amortization expense of $57 million recorded in 2019 as a result of the Company’s decision to retain the Commercial Business. Approximately $33 million of</w:t>
      </w:r>
      <w:r>
        <w:t xml:space="preserve"> this depreciation and amortization expense in 2019 related to the amounts that would have been recorded in the prior year had the Commercial Business been continuously classified as held and used. In addition, operating loss and</w:t>
      </w:r>
      <w:r>
        <w:rPr>
          <w:spacing w:val="-3"/>
        </w:rPr>
        <w:t xml:space="preserve"> </w:t>
      </w:r>
      <w:r>
        <w:t>operating</w:t>
      </w:r>
      <w:r>
        <w:rPr>
          <w:spacing w:val="-3"/>
        </w:rPr>
        <w:t xml:space="preserve"> </w:t>
      </w:r>
      <w:r>
        <w:t>margin</w:t>
      </w:r>
      <w:r>
        <w:rPr>
          <w:spacing w:val="-3"/>
        </w:rPr>
        <w:t xml:space="preserve"> </w:t>
      </w:r>
      <w:r>
        <w:t>in</w:t>
      </w:r>
      <w:r>
        <w:rPr>
          <w:spacing w:val="-3"/>
        </w:rPr>
        <w:t xml:space="preserve"> </w:t>
      </w:r>
      <w:r>
        <w:t>2019</w:t>
      </w:r>
      <w:r>
        <w:rPr>
          <w:spacing w:val="-3"/>
        </w:rPr>
        <w:t xml:space="preserve"> </w:t>
      </w:r>
      <w:r>
        <w:t>w</w:t>
      </w:r>
      <w:r>
        <w:t>ere</w:t>
      </w:r>
      <w:r>
        <w:rPr>
          <w:spacing w:val="-4"/>
        </w:rPr>
        <w:t xml:space="preserve"> </w:t>
      </w:r>
      <w:r>
        <w:t>unfavorably</w:t>
      </w:r>
      <w:r>
        <w:rPr>
          <w:spacing w:val="-3"/>
        </w:rPr>
        <w:t xml:space="preserve"> </w:t>
      </w:r>
      <w:r>
        <w:t>impacted</w:t>
      </w:r>
      <w:r>
        <w:rPr>
          <w:spacing w:val="-3"/>
        </w:rPr>
        <w:t xml:space="preserve"> </w:t>
      </w:r>
      <w:r>
        <w:t>by</w:t>
      </w:r>
      <w:r>
        <w:rPr>
          <w:spacing w:val="-3"/>
        </w:rPr>
        <w:t xml:space="preserve"> </w:t>
      </w:r>
      <w:r>
        <w:t>$20</w:t>
      </w:r>
      <w:r>
        <w:rPr>
          <w:spacing w:val="-3"/>
        </w:rPr>
        <w:t xml:space="preserve"> </w:t>
      </w:r>
      <w:r>
        <w:t>million</w:t>
      </w:r>
      <w:r>
        <w:rPr>
          <w:spacing w:val="-3"/>
        </w:rPr>
        <w:t xml:space="preserve"> </w:t>
      </w:r>
      <w:r>
        <w:t>of</w:t>
      </w:r>
      <w:r>
        <w:rPr>
          <w:spacing w:val="-3"/>
        </w:rPr>
        <w:t xml:space="preserve"> </w:t>
      </w:r>
      <w:r>
        <w:t>costs</w:t>
      </w:r>
      <w:r>
        <w:rPr>
          <w:spacing w:val="-4"/>
        </w:rPr>
        <w:t xml:space="preserve"> </w:t>
      </w:r>
      <w:r>
        <w:t>associated</w:t>
      </w:r>
      <w:r>
        <w:rPr>
          <w:spacing w:val="-3"/>
        </w:rPr>
        <w:t xml:space="preserve"> </w:t>
      </w:r>
      <w:r>
        <w:t>with</w:t>
      </w:r>
      <w:r>
        <w:rPr>
          <w:spacing w:val="-3"/>
        </w:rPr>
        <w:t xml:space="preserve"> </w:t>
      </w:r>
      <w:r>
        <w:t>a</w:t>
      </w:r>
      <w:r>
        <w:rPr>
          <w:spacing w:val="-4"/>
        </w:rPr>
        <w:t xml:space="preserve"> </w:t>
      </w:r>
      <w:r>
        <w:t>product</w:t>
      </w:r>
      <w:r>
        <w:rPr>
          <w:spacing w:val="-4"/>
        </w:rPr>
        <w:t xml:space="preserve"> </w:t>
      </w:r>
      <w:r>
        <w:t>recall</w:t>
      </w:r>
      <w:r>
        <w:rPr>
          <w:spacing w:val="-4"/>
        </w:rPr>
        <w:t xml:space="preserve"> </w:t>
      </w:r>
      <w:r>
        <w:t>in</w:t>
      </w:r>
      <w:r>
        <w:rPr>
          <w:spacing w:val="-3"/>
        </w:rPr>
        <w:t xml:space="preserve"> </w:t>
      </w:r>
      <w:r>
        <w:t>the</w:t>
      </w:r>
      <w:r>
        <w:rPr>
          <w:spacing w:val="-4"/>
        </w:rPr>
        <w:t xml:space="preserve"> </w:t>
      </w:r>
      <w:r>
        <w:t>Outdoor</w:t>
      </w:r>
      <w:r>
        <w:rPr>
          <w:spacing w:val="-3"/>
        </w:rPr>
        <w:t xml:space="preserve"> </w:t>
      </w:r>
      <w:r>
        <w:t>and Recreation</w:t>
      </w:r>
      <w:r>
        <w:rPr>
          <w:spacing w:val="-1"/>
        </w:rPr>
        <w:t xml:space="preserve"> </w:t>
      </w:r>
      <w:r>
        <w:t>segment.</w:t>
      </w:r>
    </w:p>
    <w:p w14:paraId="7326BE4A" w14:textId="77777777" w:rsidR="00EF3DFB" w:rsidRDefault="00EF3DFB">
      <w:pPr>
        <w:pStyle w:val="BodyText"/>
        <w:spacing w:before="7"/>
        <w:rPr>
          <w:sz w:val="21"/>
        </w:rPr>
      </w:pPr>
    </w:p>
    <w:p w14:paraId="7326BE4B" w14:textId="77777777" w:rsidR="00EF3DFB" w:rsidRDefault="00D27C17">
      <w:pPr>
        <w:pStyle w:val="BodyText"/>
        <w:spacing w:before="1" w:line="249" w:lineRule="auto"/>
        <w:ind w:left="190" w:right="171"/>
        <w:jc w:val="both"/>
      </w:pPr>
      <w:r>
        <w:t>Interest expense, net for 2019 decreased primarily due to lower debt levels. The weighted average interest rates for 2019 and 2018 were approximately 4.4% and 4.2%, respectively.</w:t>
      </w:r>
    </w:p>
    <w:p w14:paraId="7326BE4C" w14:textId="77777777" w:rsidR="00EF3DFB" w:rsidRDefault="00EF3DFB">
      <w:pPr>
        <w:pStyle w:val="BodyText"/>
        <w:rPr>
          <w:sz w:val="21"/>
        </w:rPr>
      </w:pPr>
    </w:p>
    <w:p w14:paraId="7326BE4D" w14:textId="77777777" w:rsidR="00EF3DFB" w:rsidRDefault="00D27C17">
      <w:pPr>
        <w:spacing w:line="249" w:lineRule="auto"/>
        <w:ind w:left="190" w:right="170"/>
        <w:jc w:val="both"/>
        <w:rPr>
          <w:sz w:val="20"/>
        </w:rPr>
      </w:pPr>
      <w:r>
        <w:rPr>
          <w:sz w:val="20"/>
        </w:rPr>
        <w:t>The loss on the extinguishment of debt of $28 million and $4 million for 201</w:t>
      </w:r>
      <w:r>
        <w:rPr>
          <w:sz w:val="20"/>
        </w:rPr>
        <w:t xml:space="preserve">9 and 2018, respectively, were related to the Company’s tender offer of certain of its senior notes and debt redemptions. See </w:t>
      </w:r>
      <w:r>
        <w:rPr>
          <w:i/>
          <w:sz w:val="20"/>
        </w:rPr>
        <w:t xml:space="preserve">Footnote 9 of the Notes to the Consolidated Financial Statements </w:t>
      </w:r>
      <w:r>
        <w:rPr>
          <w:sz w:val="20"/>
        </w:rPr>
        <w:t>for further</w:t>
      </w:r>
      <w:r>
        <w:rPr>
          <w:spacing w:val="-3"/>
          <w:sz w:val="20"/>
        </w:rPr>
        <w:t xml:space="preserve"> </w:t>
      </w:r>
      <w:r>
        <w:rPr>
          <w:sz w:val="20"/>
        </w:rPr>
        <w:t>information.</w:t>
      </w:r>
    </w:p>
    <w:p w14:paraId="7326BE4E" w14:textId="77777777" w:rsidR="00EF3DFB" w:rsidRDefault="00EF3DFB">
      <w:pPr>
        <w:pStyle w:val="BodyText"/>
        <w:spacing w:before="1"/>
        <w:rPr>
          <w:sz w:val="21"/>
        </w:rPr>
      </w:pPr>
    </w:p>
    <w:p w14:paraId="7326BE4F" w14:textId="77777777" w:rsidR="00EF3DFB" w:rsidRDefault="00D27C17">
      <w:pPr>
        <w:pStyle w:val="BodyText"/>
        <w:ind w:left="190"/>
        <w:jc w:val="both"/>
      </w:pPr>
      <w:r>
        <w:t>Other (income) expense, net for 2019 an</w:t>
      </w:r>
      <w:r>
        <w:t>d 2018 include the following items:</w:t>
      </w:r>
    </w:p>
    <w:p w14:paraId="7326BE50" w14:textId="77777777" w:rsidR="00EF3DFB" w:rsidRDefault="00EF3DFB">
      <w:pPr>
        <w:pStyle w:val="BodyText"/>
        <w:spacing w:before="1"/>
        <w:rPr>
          <w:sz w:val="13"/>
        </w:rPr>
      </w:pPr>
    </w:p>
    <w:p w14:paraId="7326BE51" w14:textId="77777777" w:rsidR="00EF3DFB" w:rsidRDefault="00D27C17">
      <w:pPr>
        <w:spacing w:before="94" w:after="10"/>
        <w:ind w:right="439"/>
        <w:jc w:val="right"/>
        <w:rPr>
          <w:b/>
          <w:sz w:val="16"/>
        </w:rPr>
      </w:pPr>
      <w:r>
        <w:rPr>
          <w:b/>
          <w:sz w:val="16"/>
        </w:rPr>
        <w:t>Years Ended December 31,</w:t>
      </w:r>
    </w:p>
    <w:p w14:paraId="7326BE52" w14:textId="31E977C2" w:rsidR="00EF3DFB" w:rsidRDefault="00D27C17">
      <w:pPr>
        <w:pStyle w:val="BodyText"/>
        <w:spacing w:line="40" w:lineRule="exact"/>
        <w:ind w:left="8315"/>
        <w:rPr>
          <w:sz w:val="4"/>
        </w:rPr>
      </w:pPr>
      <w:r>
        <w:rPr>
          <w:noProof/>
          <w:sz w:val="4"/>
        </w:rPr>
        <mc:AlternateContent>
          <mc:Choice Requires="wpg">
            <w:drawing>
              <wp:inline distT="0" distB="0" distL="0" distR="0" wp14:anchorId="7326D6EB" wp14:editId="68CA3F40">
                <wp:extent cx="1571625" cy="25400"/>
                <wp:effectExtent l="15875" t="6350" r="12700" b="6350"/>
                <wp:docPr id="518"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25400"/>
                          <a:chOff x="0" y="0"/>
                          <a:chExt cx="2475" cy="40"/>
                        </a:xfrm>
                      </wpg:grpSpPr>
                      <wps:wsp>
                        <wps:cNvPr id="519" name="Line 503"/>
                        <wps:cNvCnPr>
                          <a:cxnSpLocks noChangeShapeType="1"/>
                        </wps:cNvCnPr>
                        <wps:spPr bwMode="auto">
                          <a:xfrm>
                            <a:off x="0" y="20"/>
                            <a:ext cx="24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502"/>
                        <wps:cNvCnPr>
                          <a:cxnSpLocks noChangeShapeType="1"/>
                        </wps:cNvCnPr>
                        <wps:spPr bwMode="auto">
                          <a:xfrm>
                            <a:off x="0" y="20"/>
                            <a:ext cx="247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2227A" id="Group 501" o:spid="_x0000_s1026" style="width:123.75pt;height:2pt;mso-position-horizontal-relative:char;mso-position-vertical-relative:line" coordsize="24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">
                <v:line id="Line 503" o:spid="_x0000_s1027" style="position:absolute;visibility:visible;mso-wrap-style:square" from="0,20" to="24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line id="Line 502" o:spid="_x0000_s1028" style="position:absolute;visibility:visible;mso-wrap-style:square" from="0,20" to="24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" strokeweight="2pt"/>
                <w10:anchorlock/>
              </v:group>
            </w:pict>
          </mc:Fallback>
        </mc:AlternateContent>
      </w:r>
    </w:p>
    <w:p w14:paraId="7326BE53" w14:textId="1F768975" w:rsidR="00EF3DFB" w:rsidRDefault="00D27C17">
      <w:pPr>
        <w:tabs>
          <w:tab w:val="left" w:pos="8774"/>
          <w:tab w:val="left" w:pos="10049"/>
        </w:tabs>
        <w:spacing w:before="19"/>
        <w:ind w:left="242"/>
        <w:rPr>
          <w:b/>
          <w:sz w:val="16"/>
        </w:rPr>
      </w:pPr>
      <w:r>
        <w:rPr>
          <w:noProof/>
        </w:rPr>
        <mc:AlternateContent>
          <mc:Choice Requires="wpg">
            <w:drawing>
              <wp:anchor distT="0" distB="0" distL="114300" distR="114300" simplePos="0" relativeHeight="502905296" behindDoc="1" locked="0" layoutInCell="1" allowOverlap="1" wp14:anchorId="7326D6ED" wp14:editId="014DC476">
                <wp:simplePos x="0" y="0"/>
                <wp:positionH relativeFrom="page">
                  <wp:posOffset>514350</wp:posOffset>
                </wp:positionH>
                <wp:positionV relativeFrom="paragraph">
                  <wp:posOffset>171450</wp:posOffset>
                </wp:positionV>
                <wp:extent cx="6743700" cy="196850"/>
                <wp:effectExtent l="0" t="1905" r="9525" b="1270"/>
                <wp:wrapNone/>
                <wp:docPr id="512"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6850"/>
                          <a:chOff x="810" y="270"/>
                          <a:chExt cx="10620" cy="310"/>
                        </a:xfrm>
                      </wpg:grpSpPr>
                      <wps:wsp>
                        <wps:cNvPr id="513" name="Rectangle 500"/>
                        <wps:cNvSpPr>
                          <a:spLocks noChangeArrowheads="1"/>
                        </wps:cNvSpPr>
                        <wps:spPr bwMode="auto">
                          <a:xfrm>
                            <a:off x="810" y="280"/>
                            <a:ext cx="10620"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99"/>
                        <wps:cNvCnPr>
                          <a:cxnSpLocks noChangeShapeType="1"/>
                        </wps:cNvCnPr>
                        <wps:spPr bwMode="auto">
                          <a:xfrm>
                            <a:off x="8955" y="28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498"/>
                        <wps:cNvCnPr>
                          <a:cxnSpLocks noChangeShapeType="1"/>
                        </wps:cNvCnPr>
                        <wps:spPr bwMode="auto">
                          <a:xfrm>
                            <a:off x="8955" y="28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497"/>
                        <wps:cNvCnPr>
                          <a:cxnSpLocks noChangeShapeType="1"/>
                        </wps:cNvCnPr>
                        <wps:spPr bwMode="auto">
                          <a:xfrm>
                            <a:off x="10230" y="28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496"/>
                        <wps:cNvCnPr>
                          <a:cxnSpLocks noChangeShapeType="1"/>
                        </wps:cNvCnPr>
                        <wps:spPr bwMode="auto">
                          <a:xfrm>
                            <a:off x="10230" y="28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2DC4B" id="Group 495" o:spid="_x0000_s1026" style="position:absolute;margin-left:40.5pt;margin-top:13.5pt;width:531pt;height:15.5pt;z-index:-411184;mso-position-horizontal-relative:page" coordorigin="810,270" coordsize="106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">
                <v:rect id="Rectangle 500" o:spid="_x0000_s1027" style="position:absolute;left:810;top:280;width:10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" fillcolor="#ccedff" stroked="f"/>
                <v:line id="Line 499" o:spid="_x0000_s1028" style="position:absolute;visibility:visible;mso-wrap-style:square" from="8955,280" to="1015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line id="Line 498" o:spid="_x0000_s1029" style="position:absolute;visibility:visible;mso-wrap-style:square" from="8955,280" to="1015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87xAAAANwAAAAPAAAAZHJzL2Rvd25yZXYueG1sRI/RagIx&#10;FETfC/5DuIJvNbsFpV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G7hPzvEAAAA3AAAAA8A&#10;AAAAAAAAAAAAAAAABwIAAGRycy9kb3ducmV2LnhtbFBLBQYAAAAAAwADALcAAAD4AgAAAAA=&#10;" strokeweight="1pt"/>
                <v:line id="Line 497" o:spid="_x0000_s1030" style="position:absolute;visibility:visible;mso-wrap-style:square" from="10230,280" to="1143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line id="Line 496" o:spid="_x0000_s1031" style="position:absolute;visibility:visible;mso-wrap-style:square" from="10230,280" to="1143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" strokeweight="1pt"/>
                <w10:wrap anchorx="page"/>
              </v:group>
            </w:pict>
          </mc:Fallback>
        </mc:AlternateContent>
      </w:r>
      <w:r>
        <w:rPr>
          <w:b/>
          <w:position w:val="1"/>
          <w:sz w:val="20"/>
        </w:rPr>
        <w:t>(in</w:t>
      </w:r>
      <w:r>
        <w:rPr>
          <w:b/>
          <w:spacing w:val="-4"/>
          <w:position w:val="1"/>
          <w:sz w:val="20"/>
        </w:rPr>
        <w:t xml:space="preserve"> </w:t>
      </w:r>
      <w:r>
        <w:rPr>
          <w:b/>
          <w:position w:val="1"/>
          <w:sz w:val="20"/>
        </w:rPr>
        <w:t>millions)</w:t>
      </w:r>
      <w:r>
        <w:rPr>
          <w:b/>
          <w:position w:val="1"/>
          <w:sz w:val="20"/>
        </w:rPr>
        <w:tab/>
      </w:r>
      <w:r>
        <w:rPr>
          <w:b/>
          <w:sz w:val="16"/>
        </w:rPr>
        <w:t>2019</w:t>
      </w:r>
      <w:r>
        <w:rPr>
          <w:b/>
          <w:sz w:val="16"/>
        </w:rPr>
        <w:tab/>
        <w:t>2018</w:t>
      </w:r>
    </w:p>
    <w:p w14:paraId="7326BE54" w14:textId="77777777" w:rsidR="00EF3DFB" w:rsidRDefault="00D27C17">
      <w:pPr>
        <w:pStyle w:val="BodyText"/>
        <w:tabs>
          <w:tab w:val="left" w:pos="8387"/>
          <w:tab w:val="left" w:pos="9253"/>
          <w:tab w:val="left" w:pos="9662"/>
          <w:tab w:val="right" w:pos="10728"/>
        </w:tabs>
        <w:spacing w:before="70"/>
        <w:ind w:left="242"/>
      </w:pPr>
      <w:r>
        <w:t>Foreign exchange losses, net (See</w:t>
      </w:r>
      <w:r>
        <w:rPr>
          <w:spacing w:val="-14"/>
        </w:rPr>
        <w:t xml:space="preserve"> </w:t>
      </w:r>
      <w:r>
        <w:t>Footnote</w:t>
      </w:r>
      <w:r>
        <w:rPr>
          <w:spacing w:val="-4"/>
        </w:rPr>
        <w:t xml:space="preserve"> </w:t>
      </w:r>
      <w:r>
        <w:t>10)</w:t>
      </w:r>
      <w:r>
        <w:tab/>
        <w:t>$</w:t>
      </w:r>
      <w:r>
        <w:tab/>
        <w:t>13</w:t>
      </w:r>
      <w:r>
        <w:tab/>
        <w:t>$</w:t>
      </w:r>
      <w:r>
        <w:tab/>
        <w:t>8</w:t>
      </w:r>
    </w:p>
    <w:p w14:paraId="7326BE55" w14:textId="23CE81B2" w:rsidR="00EF3DFB" w:rsidRDefault="00D27C17">
      <w:pPr>
        <w:pStyle w:val="BodyText"/>
        <w:tabs>
          <w:tab w:val="left" w:pos="9253"/>
          <w:tab w:val="right" w:pos="10728"/>
        </w:tabs>
        <w:spacing w:before="70"/>
        <w:ind w:left="242"/>
      </w:pPr>
      <w:r>
        <w:rPr>
          <w:noProof/>
        </w:rPr>
        <mc:AlternateContent>
          <mc:Choice Requires="wps">
            <w:drawing>
              <wp:anchor distT="0" distB="0" distL="114300" distR="114300" simplePos="0" relativeHeight="502905320" behindDoc="1" locked="0" layoutInCell="1" allowOverlap="1" wp14:anchorId="7326D6EE" wp14:editId="7618785D">
                <wp:simplePos x="0" y="0"/>
                <wp:positionH relativeFrom="page">
                  <wp:posOffset>514350</wp:posOffset>
                </wp:positionH>
                <wp:positionV relativeFrom="paragraph">
                  <wp:posOffset>209550</wp:posOffset>
                </wp:positionV>
                <wp:extent cx="6743700" cy="190500"/>
                <wp:effectExtent l="0" t="0" r="0" b="1270"/>
                <wp:wrapNone/>
                <wp:docPr id="511"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A8A8" id="Rectangle 494" o:spid="_x0000_s1026" style="position:absolute;margin-left:40.5pt;margin-top:16.5pt;width:531pt;height:15pt;z-index:-411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" fillcolor="#ccedff" stroked="f">
                <w10:wrap anchorx="page"/>
              </v:rect>
            </w:pict>
          </mc:Fallback>
        </mc:AlternateContent>
      </w:r>
      <w:r>
        <w:t>Fair value equity adjustments (See</w:t>
      </w:r>
      <w:r>
        <w:rPr>
          <w:spacing w:val="-15"/>
        </w:rPr>
        <w:t xml:space="preserve"> </w:t>
      </w:r>
      <w:r>
        <w:t>Footnote</w:t>
      </w:r>
      <w:r>
        <w:rPr>
          <w:spacing w:val="-4"/>
        </w:rPr>
        <w:t xml:space="preserve"> </w:t>
      </w:r>
      <w:r>
        <w:t>16)</w:t>
      </w:r>
      <w:r>
        <w:tab/>
        <w:t>21</w:t>
      </w:r>
      <w:r>
        <w:tab/>
        <w:t>1</w:t>
      </w:r>
    </w:p>
    <w:p w14:paraId="7326BE56" w14:textId="77777777" w:rsidR="00EF3DFB" w:rsidRDefault="00D27C17">
      <w:pPr>
        <w:pStyle w:val="BodyText"/>
        <w:tabs>
          <w:tab w:val="left" w:pos="9353"/>
          <w:tab w:val="left" w:pos="10561"/>
        </w:tabs>
        <w:spacing w:before="70"/>
        <w:ind w:left="242"/>
      </w:pPr>
      <w:r>
        <w:t>Pension-related non-service costs, net (See</w:t>
      </w:r>
      <w:r>
        <w:rPr>
          <w:spacing w:val="-17"/>
        </w:rPr>
        <w:t xml:space="preserve"> </w:t>
      </w:r>
      <w:r>
        <w:t>Footnote</w:t>
      </w:r>
      <w:r>
        <w:rPr>
          <w:spacing w:val="-4"/>
        </w:rPr>
        <w:t xml:space="preserve"> </w:t>
      </w:r>
      <w:r>
        <w:t>11)</w:t>
      </w:r>
      <w:r>
        <w:tab/>
        <w:t>1</w:t>
      </w:r>
      <w:r>
        <w:tab/>
        <w:t>(6)</w:t>
      </w:r>
    </w:p>
    <w:p w14:paraId="7326BE57" w14:textId="196E38EE" w:rsidR="00EF3DFB" w:rsidRDefault="00D27C17">
      <w:pPr>
        <w:pStyle w:val="BodyText"/>
        <w:tabs>
          <w:tab w:val="left" w:pos="9253"/>
          <w:tab w:val="left" w:pos="10461"/>
        </w:tabs>
        <w:spacing w:before="70"/>
        <w:ind w:left="242"/>
      </w:pPr>
      <w:r>
        <w:rPr>
          <w:noProof/>
        </w:rPr>
        <mc:AlternateContent>
          <mc:Choice Requires="wps">
            <w:drawing>
              <wp:anchor distT="0" distB="0" distL="114300" distR="114300" simplePos="0" relativeHeight="502905344" behindDoc="1" locked="0" layoutInCell="1" allowOverlap="1" wp14:anchorId="7326D6EF" wp14:editId="415C9FE0">
                <wp:simplePos x="0" y="0"/>
                <wp:positionH relativeFrom="page">
                  <wp:posOffset>514350</wp:posOffset>
                </wp:positionH>
                <wp:positionV relativeFrom="paragraph">
                  <wp:posOffset>209550</wp:posOffset>
                </wp:positionV>
                <wp:extent cx="6743700" cy="190500"/>
                <wp:effectExtent l="0" t="0" r="0" b="1270"/>
                <wp:wrapNone/>
                <wp:docPr id="510"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5A7F" id="Rectangle 493" o:spid="_x0000_s1026" style="position:absolute;margin-left:40.5pt;margin-top:16.5pt;width:531pt;height:15pt;z-index:-4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" fillcolor="#ccedff" stroked="f">
                <w10:wrap anchorx="page"/>
              </v:rect>
            </w:pict>
          </mc:Fallback>
        </mc:AlternateContent>
      </w:r>
      <w:r>
        <w:t>Gain on legacy</w:t>
      </w:r>
      <w:r>
        <w:rPr>
          <w:spacing w:val="-8"/>
        </w:rPr>
        <w:t xml:space="preserve"> </w:t>
      </w:r>
      <w:r>
        <w:t>J</w:t>
      </w:r>
      <w:r>
        <w:t>arden</w:t>
      </w:r>
      <w:r>
        <w:rPr>
          <w:spacing w:val="-3"/>
        </w:rPr>
        <w:t xml:space="preserve"> </w:t>
      </w:r>
      <w:r>
        <w:t>investment</w:t>
      </w:r>
      <w:r>
        <w:tab/>
        <w:t>—</w:t>
      </w:r>
      <w:r>
        <w:tab/>
        <w:t>(11)</w:t>
      </w:r>
    </w:p>
    <w:p w14:paraId="7326BE58" w14:textId="77777777" w:rsidR="00EF3DFB" w:rsidRDefault="00D27C17">
      <w:pPr>
        <w:pStyle w:val="BodyText"/>
        <w:tabs>
          <w:tab w:val="left" w:pos="9253"/>
          <w:tab w:val="left" w:pos="10561"/>
        </w:tabs>
        <w:spacing w:before="70"/>
        <w:ind w:left="242"/>
      </w:pPr>
      <w:r>
        <w:t>Gain on disposition of</w:t>
      </w:r>
      <w:r>
        <w:rPr>
          <w:spacing w:val="-10"/>
        </w:rPr>
        <w:t xml:space="preserve"> </w:t>
      </w:r>
      <w:r>
        <w:t>businesses,</w:t>
      </w:r>
      <w:r>
        <w:rPr>
          <w:spacing w:val="-3"/>
        </w:rPr>
        <w:t xml:space="preserve"> </w:t>
      </w:r>
      <w:r>
        <w:t>net</w:t>
      </w:r>
      <w:r>
        <w:tab/>
        <w:t>—</w:t>
      </w:r>
      <w:r>
        <w:tab/>
        <w:t>(2)</w:t>
      </w:r>
    </w:p>
    <w:p w14:paraId="7326BE59" w14:textId="1B85C5BE" w:rsidR="00EF3DFB" w:rsidRDefault="00D27C17">
      <w:pPr>
        <w:pStyle w:val="BodyText"/>
        <w:tabs>
          <w:tab w:val="left" w:pos="9353"/>
          <w:tab w:val="left" w:pos="10561"/>
        </w:tabs>
        <w:spacing w:before="70"/>
        <w:ind w:left="242"/>
      </w:pPr>
      <w:r>
        <w:rPr>
          <w:noProof/>
        </w:rPr>
        <mc:AlternateContent>
          <mc:Choice Requires="wpg">
            <w:drawing>
              <wp:anchor distT="0" distB="0" distL="114300" distR="114300" simplePos="0" relativeHeight="502905368" behindDoc="1" locked="0" layoutInCell="1" allowOverlap="1" wp14:anchorId="7326D6F0" wp14:editId="62957A68">
                <wp:simplePos x="0" y="0"/>
                <wp:positionH relativeFrom="page">
                  <wp:posOffset>514350</wp:posOffset>
                </wp:positionH>
                <wp:positionV relativeFrom="paragraph">
                  <wp:posOffset>203200</wp:posOffset>
                </wp:positionV>
                <wp:extent cx="6743700" cy="215900"/>
                <wp:effectExtent l="0" t="1905" r="9525" b="1270"/>
                <wp:wrapNone/>
                <wp:docPr id="50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15900"/>
                          <a:chOff x="810" y="320"/>
                          <a:chExt cx="10620" cy="340"/>
                        </a:xfrm>
                      </wpg:grpSpPr>
                      <wps:wsp>
                        <wps:cNvPr id="505" name="Rectangle 492"/>
                        <wps:cNvSpPr>
                          <a:spLocks noChangeArrowheads="1"/>
                        </wps:cNvSpPr>
                        <wps:spPr bwMode="auto">
                          <a:xfrm>
                            <a:off x="810" y="329"/>
                            <a:ext cx="10620"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91"/>
                        <wps:cNvCnPr>
                          <a:cxnSpLocks noChangeShapeType="1"/>
                        </wps:cNvCnPr>
                        <wps:spPr bwMode="auto">
                          <a:xfrm>
                            <a:off x="8955" y="3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490"/>
                        <wps:cNvCnPr>
                          <a:cxnSpLocks noChangeShapeType="1"/>
                        </wps:cNvCnPr>
                        <wps:spPr bwMode="auto">
                          <a:xfrm>
                            <a:off x="8955" y="3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489"/>
                        <wps:cNvCnPr>
                          <a:cxnSpLocks noChangeShapeType="1"/>
                        </wps:cNvCnPr>
                        <wps:spPr bwMode="auto">
                          <a:xfrm>
                            <a:off x="10230" y="3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AutoShape 488"/>
                        <wps:cNvSpPr>
                          <a:spLocks/>
                        </wps:cNvSpPr>
                        <wps:spPr bwMode="auto">
                          <a:xfrm>
                            <a:off x="8955" y="329"/>
                            <a:ext cx="2475" cy="320"/>
                          </a:xfrm>
                          <a:custGeom>
                            <a:avLst/>
                            <a:gdLst>
                              <a:gd name="T0" fmla="+- 0 10230 8955"/>
                              <a:gd name="T1" fmla="*/ T0 w 2475"/>
                              <a:gd name="T2" fmla="+- 0 330 330"/>
                              <a:gd name="T3" fmla="*/ 330 h 320"/>
                              <a:gd name="T4" fmla="+- 0 11430 8955"/>
                              <a:gd name="T5" fmla="*/ T4 w 2475"/>
                              <a:gd name="T6" fmla="+- 0 330 330"/>
                              <a:gd name="T7" fmla="*/ 330 h 320"/>
                              <a:gd name="T8" fmla="+- 0 8955 8955"/>
                              <a:gd name="T9" fmla="*/ T8 w 2475"/>
                              <a:gd name="T10" fmla="+- 0 650 330"/>
                              <a:gd name="T11" fmla="*/ 650 h 320"/>
                              <a:gd name="T12" fmla="+- 0 10155 8955"/>
                              <a:gd name="T13" fmla="*/ T12 w 2475"/>
                              <a:gd name="T14" fmla="+- 0 650 330"/>
                              <a:gd name="T15" fmla="*/ 650 h 320"/>
                              <a:gd name="T16" fmla="+- 0 10230 8955"/>
                              <a:gd name="T17" fmla="*/ T16 w 2475"/>
                              <a:gd name="T18" fmla="+- 0 650 330"/>
                              <a:gd name="T19" fmla="*/ 650 h 320"/>
                              <a:gd name="T20" fmla="+- 0 11430 8955"/>
                              <a:gd name="T21" fmla="*/ T20 w 2475"/>
                              <a:gd name="T22" fmla="+- 0 650 330"/>
                              <a:gd name="T23" fmla="*/ 650 h 320"/>
                            </a:gdLst>
                            <a:ahLst/>
                            <a:cxnLst>
                              <a:cxn ang="0">
                                <a:pos x="T1" y="T3"/>
                              </a:cxn>
                              <a:cxn ang="0">
                                <a:pos x="T5" y="T7"/>
                              </a:cxn>
                              <a:cxn ang="0">
                                <a:pos x="T9" y="T11"/>
                              </a:cxn>
                              <a:cxn ang="0">
                                <a:pos x="T13" y="T15"/>
                              </a:cxn>
                              <a:cxn ang="0">
                                <a:pos x="T17" y="T19"/>
                              </a:cxn>
                              <a:cxn ang="0">
                                <a:pos x="T21" y="T23"/>
                              </a:cxn>
                            </a:cxnLst>
                            <a:rect l="0" t="0" r="r" b="b"/>
                            <a:pathLst>
                              <a:path w="2475" h="320">
                                <a:moveTo>
                                  <a:pt x="1275" y="0"/>
                                </a:moveTo>
                                <a:lnTo>
                                  <a:pt x="2475" y="0"/>
                                </a:lnTo>
                                <a:moveTo>
                                  <a:pt x="0" y="320"/>
                                </a:moveTo>
                                <a:lnTo>
                                  <a:pt x="1200" y="320"/>
                                </a:lnTo>
                                <a:moveTo>
                                  <a:pt x="1275" y="320"/>
                                </a:moveTo>
                                <a:lnTo>
                                  <a:pt x="2475" y="32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063C0" id="Group 487" o:spid="_x0000_s1026" style="position:absolute;margin-left:40.5pt;margin-top:16pt;width:531pt;height:17pt;z-index:-411112;mso-position-horizontal-relative:page" coordorigin="810,320" coordsize="106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">
                <v:rect id="Rectangle 492" o:spid="_x0000_s1027" style="position:absolute;left:810;top:329;width:10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" fillcolor="#ccedff" stroked="f"/>
                <v:line id="Line 491" o:spid="_x0000_s1028" style="position:absolute;visibility:visible;mso-wrap-style:square" from="8955,330" to="1015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line id="Line 490" o:spid="_x0000_s1029" style="position:absolute;visibility:visible;mso-wrap-style:square" from="8955,330" to="1015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" strokeweight="1pt"/>
                <v:line id="Line 489" o:spid="_x0000_s1030" style="position:absolute;visibility:visible;mso-wrap-style:square" from="10230,330" to="114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shape id="AutoShape 488" o:spid="_x0000_s1031" style="position:absolute;left:8955;top:329;width:2475;height:320;visibility:visible;mso-wrap-style:square;v-text-anchor:top" coordsize="247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" path="m1275,l2475,m,320r1200,m1275,320r1200,e" filled="f" strokeweight="1pt">
                  <v:path arrowok="t" o:connecttype="custom" o:connectlocs="1275,330;2475,330;0,650;1200,650;1275,650;2475,650" o:connectangles="0,0,0,0,0,0"/>
                </v:shape>
                <w10:wrap anchorx="page"/>
              </v:group>
            </w:pict>
          </mc:Fallback>
        </mc:AlternateContent>
      </w:r>
      <w:r>
        <w:t>Other</w:t>
      </w:r>
      <w:r>
        <w:tab/>
        <w:t>4</w:t>
      </w:r>
      <w:r>
        <w:tab/>
        <w:t>(2)</w:t>
      </w:r>
    </w:p>
    <w:p w14:paraId="7326BE5A" w14:textId="77777777" w:rsidR="00EF3DFB" w:rsidRDefault="00D27C17">
      <w:pPr>
        <w:pStyle w:val="BodyText"/>
        <w:tabs>
          <w:tab w:val="left" w:pos="865"/>
          <w:tab w:val="left" w:pos="1274"/>
          <w:tab w:val="left" w:pos="2074"/>
        </w:tabs>
        <w:spacing w:before="70"/>
        <w:ind w:right="184"/>
        <w:jc w:val="right"/>
      </w:pPr>
      <w:r>
        <w:rPr>
          <w:u w:val="single"/>
        </w:rPr>
        <w:t>$</w:t>
      </w:r>
      <w:r>
        <w:rPr>
          <w:u w:val="single"/>
        </w:rPr>
        <w:tab/>
        <w:t>39</w:t>
      </w:r>
      <w:r>
        <w:tab/>
      </w:r>
      <w:r>
        <w:rPr>
          <w:u w:val="single"/>
        </w:rPr>
        <w:t>$</w:t>
      </w:r>
      <w:r>
        <w:rPr>
          <w:u w:val="single"/>
        </w:rPr>
        <w:tab/>
        <w:t>(12)</w:t>
      </w:r>
    </w:p>
    <w:p w14:paraId="7326BE5B" w14:textId="77777777" w:rsidR="00EF3DFB" w:rsidRDefault="00EF3DFB">
      <w:pPr>
        <w:pStyle w:val="BodyText"/>
        <w:spacing w:before="8"/>
        <w:rPr>
          <w:sz w:val="28"/>
        </w:rPr>
      </w:pPr>
    </w:p>
    <w:p w14:paraId="7326BE5C" w14:textId="77777777" w:rsidR="00EF3DFB" w:rsidRDefault="00D27C17">
      <w:pPr>
        <w:pStyle w:val="BodyText"/>
        <w:spacing w:before="91" w:line="249" w:lineRule="auto"/>
        <w:ind w:left="190" w:right="169"/>
        <w:jc w:val="both"/>
      </w:pPr>
      <w:r>
        <w:t>Income tax benefit for 2019 was $1.0 billion as compared to $1.4 billion in 2018. The effective tax rate for 2019 was 121.9% as compared to 17.0% in 2018. The income tax benefit for 2019 primarily relates to a benefit of $522 million related to the deferre</w:t>
      </w:r>
      <w:r>
        <w:t xml:space="preserve">d tax effects associated with the internal realignment of certain intellectual property rights, a benefit of $227 million associated with a taxable loss related to the impairment of certain assets and the pre-tax net loss for the year. See </w:t>
      </w:r>
      <w:r>
        <w:rPr>
          <w:i/>
        </w:rPr>
        <w:t>Footnote 12 of t</w:t>
      </w:r>
      <w:r>
        <w:rPr>
          <w:i/>
        </w:rPr>
        <w:t xml:space="preserve">he Notes to Consolidated Financial Statements </w:t>
      </w:r>
      <w:r>
        <w:t>for information. The income tax benefit for 2018 primarily relates to the pre-tax net loss for the year, partially offset by the impact of goodwill impairment charges which were not tax effected.</w:t>
      </w:r>
    </w:p>
    <w:p w14:paraId="7326BE5D" w14:textId="77777777" w:rsidR="00EF3DFB" w:rsidRDefault="00EF3DFB">
      <w:pPr>
        <w:pStyle w:val="BodyText"/>
        <w:spacing w:before="9"/>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150"/>
        <w:gridCol w:w="1136"/>
        <w:gridCol w:w="2354"/>
        <w:gridCol w:w="980"/>
      </w:tblGrid>
      <w:tr w:rsidR="00EF3DFB" w14:paraId="7326BE68" w14:textId="77777777">
        <w:trPr>
          <w:trHeight w:val="1140"/>
        </w:trPr>
        <w:tc>
          <w:tcPr>
            <w:tcW w:w="6150" w:type="dxa"/>
          </w:tcPr>
          <w:p w14:paraId="7326BE5E" w14:textId="77777777" w:rsidR="00EF3DFB" w:rsidRDefault="00D27C17">
            <w:pPr>
              <w:pStyle w:val="TableParagraph"/>
              <w:spacing w:line="221" w:lineRule="exact"/>
              <w:rPr>
                <w:b/>
                <w:i/>
                <w:sz w:val="20"/>
              </w:rPr>
            </w:pPr>
            <w:r>
              <w:rPr>
                <w:b/>
                <w:i/>
                <w:sz w:val="20"/>
              </w:rPr>
              <w:t>Business Segm</w:t>
            </w:r>
            <w:r>
              <w:rPr>
                <w:b/>
                <w:i/>
                <w:sz w:val="20"/>
              </w:rPr>
              <w:t>ent Operating Results 2019 vs. 2018</w:t>
            </w:r>
          </w:p>
          <w:p w14:paraId="7326BE5F" w14:textId="77777777" w:rsidR="00EF3DFB" w:rsidRDefault="00EF3DFB">
            <w:pPr>
              <w:pStyle w:val="TableParagraph"/>
              <w:spacing w:before="8"/>
              <w:rPr>
                <w:sz w:val="21"/>
              </w:rPr>
            </w:pPr>
          </w:p>
          <w:p w14:paraId="7326BE60" w14:textId="77777777" w:rsidR="00EF3DFB" w:rsidRDefault="00D27C17">
            <w:pPr>
              <w:pStyle w:val="TableParagraph"/>
              <w:rPr>
                <w:b/>
                <w:sz w:val="20"/>
              </w:rPr>
            </w:pPr>
            <w:r>
              <w:rPr>
                <w:b/>
                <w:sz w:val="20"/>
              </w:rPr>
              <w:t>Appliances and Cookware</w:t>
            </w:r>
          </w:p>
        </w:tc>
        <w:tc>
          <w:tcPr>
            <w:tcW w:w="1136" w:type="dxa"/>
            <w:tcBorders>
              <w:bottom w:val="single" w:sz="18" w:space="0" w:color="000000"/>
            </w:tcBorders>
          </w:tcPr>
          <w:p w14:paraId="7326BE61" w14:textId="77777777" w:rsidR="00EF3DFB" w:rsidRDefault="00EF3DFB">
            <w:pPr>
              <w:pStyle w:val="TableParagraph"/>
              <w:rPr>
                <w:sz w:val="18"/>
              </w:rPr>
            </w:pPr>
          </w:p>
        </w:tc>
        <w:tc>
          <w:tcPr>
            <w:tcW w:w="2354" w:type="dxa"/>
            <w:tcBorders>
              <w:bottom w:val="single" w:sz="18" w:space="0" w:color="000000"/>
            </w:tcBorders>
          </w:tcPr>
          <w:p w14:paraId="7326BE62" w14:textId="77777777" w:rsidR="00EF3DFB" w:rsidRDefault="00EF3DFB">
            <w:pPr>
              <w:pStyle w:val="TableParagraph"/>
              <w:rPr>
                <w:sz w:val="18"/>
              </w:rPr>
            </w:pPr>
          </w:p>
          <w:p w14:paraId="7326BE63" w14:textId="77777777" w:rsidR="00EF3DFB" w:rsidRDefault="00EF3DFB">
            <w:pPr>
              <w:pStyle w:val="TableParagraph"/>
              <w:rPr>
                <w:sz w:val="18"/>
              </w:rPr>
            </w:pPr>
          </w:p>
          <w:p w14:paraId="7326BE64" w14:textId="77777777" w:rsidR="00EF3DFB" w:rsidRDefault="00EF3DFB">
            <w:pPr>
              <w:pStyle w:val="TableParagraph"/>
              <w:rPr>
                <w:sz w:val="18"/>
              </w:rPr>
            </w:pPr>
          </w:p>
          <w:p w14:paraId="7326BE65" w14:textId="77777777" w:rsidR="00EF3DFB" w:rsidRDefault="00EF3DFB">
            <w:pPr>
              <w:pStyle w:val="TableParagraph"/>
              <w:rPr>
                <w:sz w:val="18"/>
              </w:rPr>
            </w:pPr>
          </w:p>
          <w:p w14:paraId="7326BE66" w14:textId="77777777" w:rsidR="00EF3DFB" w:rsidRDefault="00D27C17">
            <w:pPr>
              <w:pStyle w:val="TableParagraph"/>
              <w:spacing w:before="121" w:line="171" w:lineRule="exact"/>
              <w:ind w:left="191"/>
              <w:rPr>
                <w:b/>
                <w:sz w:val="16"/>
              </w:rPr>
            </w:pPr>
            <w:r>
              <w:rPr>
                <w:b/>
                <w:sz w:val="16"/>
              </w:rPr>
              <w:t>Years Ended December 31,</w:t>
            </w:r>
          </w:p>
        </w:tc>
        <w:tc>
          <w:tcPr>
            <w:tcW w:w="980" w:type="dxa"/>
            <w:tcBorders>
              <w:bottom w:val="single" w:sz="18" w:space="0" w:color="000000"/>
            </w:tcBorders>
          </w:tcPr>
          <w:p w14:paraId="7326BE67" w14:textId="77777777" w:rsidR="00EF3DFB" w:rsidRDefault="00EF3DFB">
            <w:pPr>
              <w:pStyle w:val="TableParagraph"/>
              <w:rPr>
                <w:sz w:val="18"/>
              </w:rPr>
            </w:pPr>
          </w:p>
        </w:tc>
      </w:tr>
      <w:tr w:rsidR="00EF3DFB" w14:paraId="7326BE6D" w14:textId="77777777">
        <w:trPr>
          <w:trHeight w:val="267"/>
        </w:trPr>
        <w:tc>
          <w:tcPr>
            <w:tcW w:w="6150" w:type="dxa"/>
          </w:tcPr>
          <w:p w14:paraId="7326BE69" w14:textId="77777777" w:rsidR="00EF3DFB" w:rsidRDefault="00D27C17">
            <w:pPr>
              <w:pStyle w:val="TableParagraph"/>
              <w:spacing w:before="17" w:line="230" w:lineRule="exact"/>
              <w:ind w:left="52"/>
              <w:rPr>
                <w:b/>
                <w:sz w:val="20"/>
              </w:rPr>
            </w:pPr>
            <w:r>
              <w:rPr>
                <w:b/>
                <w:sz w:val="20"/>
              </w:rPr>
              <w:t>(in millions)</w:t>
            </w:r>
          </w:p>
        </w:tc>
        <w:tc>
          <w:tcPr>
            <w:tcW w:w="1136" w:type="dxa"/>
            <w:tcBorders>
              <w:top w:val="single" w:sz="18" w:space="0" w:color="000000"/>
              <w:bottom w:val="single" w:sz="8" w:space="0" w:color="000000"/>
            </w:tcBorders>
          </w:tcPr>
          <w:p w14:paraId="7326BE6A" w14:textId="77777777" w:rsidR="00EF3DFB" w:rsidRDefault="00D27C17">
            <w:pPr>
              <w:pStyle w:val="TableParagraph"/>
              <w:spacing w:before="63" w:line="184" w:lineRule="exact"/>
              <w:ind w:left="360" w:right="415"/>
              <w:jc w:val="center"/>
              <w:rPr>
                <w:b/>
                <w:sz w:val="16"/>
              </w:rPr>
            </w:pPr>
            <w:r>
              <w:rPr>
                <w:b/>
                <w:sz w:val="16"/>
              </w:rPr>
              <w:t>2019</w:t>
            </w:r>
          </w:p>
        </w:tc>
        <w:tc>
          <w:tcPr>
            <w:tcW w:w="2354" w:type="dxa"/>
            <w:tcBorders>
              <w:top w:val="single" w:sz="18" w:space="0" w:color="000000"/>
              <w:bottom w:val="single" w:sz="8" w:space="0" w:color="000000"/>
            </w:tcBorders>
          </w:tcPr>
          <w:p w14:paraId="7326BE6B" w14:textId="77777777" w:rsidR="00EF3DFB" w:rsidRDefault="00D27C17">
            <w:pPr>
              <w:pStyle w:val="TableParagraph"/>
              <w:tabs>
                <w:tab w:val="left" w:pos="1391"/>
              </w:tabs>
              <w:spacing w:before="63" w:line="184" w:lineRule="exact"/>
              <w:ind w:left="398"/>
              <w:rPr>
                <w:b/>
                <w:sz w:val="16"/>
              </w:rPr>
            </w:pPr>
            <w:r>
              <w:rPr>
                <w:b/>
                <w:sz w:val="16"/>
              </w:rPr>
              <w:t>2018</w:t>
            </w:r>
            <w:r>
              <w:rPr>
                <w:b/>
                <w:sz w:val="16"/>
              </w:rPr>
              <w:tab/>
              <w:t>$</w:t>
            </w:r>
            <w:r>
              <w:rPr>
                <w:b/>
                <w:spacing w:val="-1"/>
                <w:sz w:val="16"/>
              </w:rPr>
              <w:t xml:space="preserve"> </w:t>
            </w:r>
            <w:r>
              <w:rPr>
                <w:b/>
                <w:sz w:val="16"/>
              </w:rPr>
              <w:t>Change</w:t>
            </w:r>
          </w:p>
        </w:tc>
        <w:tc>
          <w:tcPr>
            <w:tcW w:w="980" w:type="dxa"/>
            <w:tcBorders>
              <w:top w:val="single" w:sz="18" w:space="0" w:color="000000"/>
              <w:bottom w:val="single" w:sz="8" w:space="0" w:color="000000"/>
            </w:tcBorders>
          </w:tcPr>
          <w:p w14:paraId="7326BE6C" w14:textId="77777777" w:rsidR="00EF3DFB" w:rsidRDefault="00D27C17">
            <w:pPr>
              <w:pStyle w:val="TableParagraph"/>
              <w:spacing w:before="63" w:line="184" w:lineRule="exact"/>
              <w:ind w:left="86" w:right="109"/>
              <w:jc w:val="center"/>
              <w:rPr>
                <w:b/>
                <w:sz w:val="16"/>
              </w:rPr>
            </w:pPr>
            <w:r>
              <w:rPr>
                <w:b/>
                <w:sz w:val="16"/>
              </w:rPr>
              <w:t>% Change</w:t>
            </w:r>
          </w:p>
        </w:tc>
      </w:tr>
      <w:tr w:rsidR="00EF3DFB" w14:paraId="7326BE72" w14:textId="77777777">
        <w:trPr>
          <w:trHeight w:val="290"/>
        </w:trPr>
        <w:tc>
          <w:tcPr>
            <w:tcW w:w="6150" w:type="dxa"/>
            <w:shd w:val="clear" w:color="auto" w:fill="CCEDFF"/>
          </w:tcPr>
          <w:p w14:paraId="7326BE6E" w14:textId="77777777" w:rsidR="00EF3DFB" w:rsidRDefault="00D27C17">
            <w:pPr>
              <w:pStyle w:val="TableParagraph"/>
              <w:spacing w:before="12"/>
              <w:ind w:left="52"/>
              <w:rPr>
                <w:sz w:val="20"/>
              </w:rPr>
            </w:pPr>
            <w:r>
              <w:rPr>
                <w:sz w:val="20"/>
              </w:rPr>
              <w:t>Net sales</w:t>
            </w:r>
          </w:p>
        </w:tc>
        <w:tc>
          <w:tcPr>
            <w:tcW w:w="1136" w:type="dxa"/>
            <w:tcBorders>
              <w:top w:val="single" w:sz="8" w:space="0" w:color="000000"/>
            </w:tcBorders>
            <w:shd w:val="clear" w:color="auto" w:fill="CCEDFF"/>
          </w:tcPr>
          <w:p w14:paraId="7326BE6F" w14:textId="77777777" w:rsidR="00EF3DFB" w:rsidRDefault="00D27C17">
            <w:pPr>
              <w:pStyle w:val="TableParagraph"/>
              <w:tabs>
                <w:tab w:val="left" w:pos="381"/>
              </w:tabs>
              <w:spacing w:before="30"/>
              <w:ind w:left="52"/>
              <w:rPr>
                <w:sz w:val="20"/>
              </w:rPr>
            </w:pPr>
            <w:r>
              <w:rPr>
                <w:sz w:val="20"/>
              </w:rPr>
              <w:t>$</w:t>
            </w:r>
            <w:r>
              <w:rPr>
                <w:sz w:val="20"/>
              </w:rPr>
              <w:tab/>
              <w:t>1,692</w:t>
            </w:r>
          </w:p>
        </w:tc>
        <w:tc>
          <w:tcPr>
            <w:tcW w:w="2354" w:type="dxa"/>
            <w:tcBorders>
              <w:top w:val="single" w:sz="8" w:space="0" w:color="000000"/>
            </w:tcBorders>
            <w:shd w:val="clear" w:color="auto" w:fill="CCEDFF"/>
          </w:tcPr>
          <w:p w14:paraId="7326BE70" w14:textId="77777777" w:rsidR="00EF3DFB" w:rsidRDefault="00D27C17">
            <w:pPr>
              <w:pStyle w:val="TableParagraph"/>
              <w:tabs>
                <w:tab w:val="left" w:pos="329"/>
                <w:tab w:val="left" w:pos="1154"/>
                <w:tab w:val="left" w:pos="1734"/>
              </w:tabs>
              <w:spacing w:before="30"/>
              <w:ind w:right="114"/>
              <w:jc w:val="right"/>
              <w:rPr>
                <w:sz w:val="20"/>
              </w:rPr>
            </w:pPr>
            <w:r>
              <w:rPr>
                <w:sz w:val="20"/>
              </w:rPr>
              <w:t>$</w:t>
            </w:r>
            <w:r>
              <w:rPr>
                <w:sz w:val="20"/>
              </w:rPr>
              <w:tab/>
              <w:t>1,819</w:t>
            </w:r>
            <w:r>
              <w:rPr>
                <w:sz w:val="20"/>
              </w:rPr>
              <w:tab/>
              <w:t>$</w:t>
            </w:r>
            <w:r>
              <w:rPr>
                <w:sz w:val="20"/>
              </w:rPr>
              <w:tab/>
              <w:t>(127)</w:t>
            </w:r>
          </w:p>
        </w:tc>
        <w:tc>
          <w:tcPr>
            <w:tcW w:w="980" w:type="dxa"/>
            <w:tcBorders>
              <w:top w:val="single" w:sz="8" w:space="0" w:color="000000"/>
            </w:tcBorders>
            <w:shd w:val="clear" w:color="auto" w:fill="CCEDFF"/>
          </w:tcPr>
          <w:p w14:paraId="7326BE71" w14:textId="77777777" w:rsidR="00EF3DFB" w:rsidRDefault="00D27C17">
            <w:pPr>
              <w:pStyle w:val="TableParagraph"/>
              <w:spacing w:before="12"/>
              <w:ind w:left="96" w:right="84"/>
              <w:jc w:val="center"/>
              <w:rPr>
                <w:sz w:val="20"/>
              </w:rPr>
            </w:pPr>
            <w:r>
              <w:rPr>
                <w:sz w:val="20"/>
              </w:rPr>
              <w:t>(7.0)%</w:t>
            </w:r>
          </w:p>
        </w:tc>
      </w:tr>
      <w:tr w:rsidR="00EF3DFB" w14:paraId="7326BE77" w14:textId="77777777">
        <w:trPr>
          <w:trHeight w:val="300"/>
        </w:trPr>
        <w:tc>
          <w:tcPr>
            <w:tcW w:w="6150" w:type="dxa"/>
          </w:tcPr>
          <w:p w14:paraId="7326BE73" w14:textId="77777777" w:rsidR="00EF3DFB" w:rsidRDefault="00EF3DFB">
            <w:pPr>
              <w:pStyle w:val="TableParagraph"/>
              <w:rPr>
                <w:sz w:val="18"/>
              </w:rPr>
            </w:pPr>
          </w:p>
        </w:tc>
        <w:tc>
          <w:tcPr>
            <w:tcW w:w="1136" w:type="dxa"/>
          </w:tcPr>
          <w:p w14:paraId="7326BE74" w14:textId="77777777" w:rsidR="00EF3DFB" w:rsidRDefault="00EF3DFB">
            <w:pPr>
              <w:pStyle w:val="TableParagraph"/>
              <w:rPr>
                <w:sz w:val="18"/>
              </w:rPr>
            </w:pPr>
          </w:p>
        </w:tc>
        <w:tc>
          <w:tcPr>
            <w:tcW w:w="2354" w:type="dxa"/>
          </w:tcPr>
          <w:p w14:paraId="7326BE75" w14:textId="77777777" w:rsidR="00EF3DFB" w:rsidRDefault="00EF3DFB">
            <w:pPr>
              <w:pStyle w:val="TableParagraph"/>
              <w:rPr>
                <w:sz w:val="18"/>
              </w:rPr>
            </w:pPr>
          </w:p>
        </w:tc>
        <w:tc>
          <w:tcPr>
            <w:tcW w:w="980" w:type="dxa"/>
          </w:tcPr>
          <w:p w14:paraId="7326BE76" w14:textId="77777777" w:rsidR="00EF3DFB" w:rsidRDefault="00EF3DFB">
            <w:pPr>
              <w:pStyle w:val="TableParagraph"/>
              <w:rPr>
                <w:sz w:val="18"/>
              </w:rPr>
            </w:pPr>
          </w:p>
        </w:tc>
      </w:tr>
      <w:tr w:rsidR="00EF3DFB" w14:paraId="7326BE7C" w14:textId="77777777">
        <w:trPr>
          <w:trHeight w:val="300"/>
        </w:trPr>
        <w:tc>
          <w:tcPr>
            <w:tcW w:w="6150" w:type="dxa"/>
            <w:shd w:val="clear" w:color="auto" w:fill="CCEDFF"/>
          </w:tcPr>
          <w:p w14:paraId="7326BE78" w14:textId="77777777" w:rsidR="00EF3DFB" w:rsidRDefault="00D27C17">
            <w:pPr>
              <w:pStyle w:val="TableParagraph"/>
              <w:spacing w:before="22"/>
              <w:ind w:left="52"/>
              <w:rPr>
                <w:sz w:val="20"/>
              </w:rPr>
            </w:pPr>
            <w:r>
              <w:rPr>
                <w:sz w:val="20"/>
              </w:rPr>
              <w:t>Operating loss</w:t>
            </w:r>
          </w:p>
        </w:tc>
        <w:tc>
          <w:tcPr>
            <w:tcW w:w="1136" w:type="dxa"/>
            <w:shd w:val="clear" w:color="auto" w:fill="CCEDFF"/>
          </w:tcPr>
          <w:p w14:paraId="7326BE79" w14:textId="77777777" w:rsidR="00EF3DFB" w:rsidRDefault="00D27C17">
            <w:pPr>
              <w:pStyle w:val="TableParagraph"/>
              <w:spacing w:before="40"/>
              <w:ind w:left="465"/>
              <w:rPr>
                <w:sz w:val="20"/>
              </w:rPr>
            </w:pPr>
            <w:r>
              <w:rPr>
                <w:sz w:val="20"/>
              </w:rPr>
              <w:t>(535)</w:t>
            </w:r>
          </w:p>
        </w:tc>
        <w:tc>
          <w:tcPr>
            <w:tcW w:w="2354" w:type="dxa"/>
            <w:shd w:val="clear" w:color="auto" w:fill="CCEDFF"/>
          </w:tcPr>
          <w:p w14:paraId="7326BE7A" w14:textId="77777777" w:rsidR="00EF3DFB" w:rsidRDefault="00D27C17">
            <w:pPr>
              <w:pStyle w:val="TableParagraph"/>
              <w:tabs>
                <w:tab w:val="left" w:pos="1722"/>
              </w:tabs>
              <w:spacing w:before="40"/>
              <w:ind w:left="334"/>
              <w:rPr>
                <w:sz w:val="20"/>
              </w:rPr>
            </w:pPr>
            <w:r>
              <w:rPr>
                <w:sz w:val="20"/>
              </w:rPr>
              <w:t>(1,596)</w:t>
            </w:r>
            <w:r>
              <w:rPr>
                <w:sz w:val="20"/>
              </w:rPr>
              <w:tab/>
              <w:t>1,061</w:t>
            </w:r>
          </w:p>
        </w:tc>
        <w:tc>
          <w:tcPr>
            <w:tcW w:w="980" w:type="dxa"/>
            <w:shd w:val="clear" w:color="auto" w:fill="CCEDFF"/>
          </w:tcPr>
          <w:p w14:paraId="7326BE7B" w14:textId="77777777" w:rsidR="00EF3DFB" w:rsidRDefault="00D27C17">
            <w:pPr>
              <w:pStyle w:val="TableParagraph"/>
              <w:spacing w:before="22"/>
              <w:ind w:left="96" w:right="84"/>
              <w:jc w:val="center"/>
              <w:rPr>
                <w:sz w:val="20"/>
              </w:rPr>
            </w:pPr>
            <w:r>
              <w:rPr>
                <w:sz w:val="20"/>
              </w:rPr>
              <w:t>66.5%</w:t>
            </w:r>
          </w:p>
        </w:tc>
      </w:tr>
      <w:tr w:rsidR="00EF3DFB" w14:paraId="7326BE81" w14:textId="77777777">
        <w:trPr>
          <w:trHeight w:val="300"/>
        </w:trPr>
        <w:tc>
          <w:tcPr>
            <w:tcW w:w="6150" w:type="dxa"/>
          </w:tcPr>
          <w:p w14:paraId="7326BE7D" w14:textId="77777777" w:rsidR="00EF3DFB" w:rsidRDefault="00D27C17">
            <w:pPr>
              <w:pStyle w:val="TableParagraph"/>
              <w:spacing w:before="22"/>
              <w:ind w:left="412"/>
              <w:rPr>
                <w:i/>
                <w:sz w:val="20"/>
              </w:rPr>
            </w:pPr>
            <w:r>
              <w:rPr>
                <w:i/>
                <w:sz w:val="20"/>
              </w:rPr>
              <w:t>Operating margin</w:t>
            </w:r>
          </w:p>
        </w:tc>
        <w:tc>
          <w:tcPr>
            <w:tcW w:w="1136" w:type="dxa"/>
          </w:tcPr>
          <w:p w14:paraId="7326BE7E" w14:textId="77777777" w:rsidR="00EF3DFB" w:rsidRDefault="00D27C17">
            <w:pPr>
              <w:pStyle w:val="TableParagraph"/>
              <w:spacing w:before="22"/>
              <w:ind w:left="415"/>
              <w:rPr>
                <w:i/>
                <w:sz w:val="20"/>
              </w:rPr>
            </w:pPr>
            <w:r>
              <w:rPr>
                <w:i/>
                <w:sz w:val="20"/>
              </w:rPr>
              <w:t>(31.6)%</w:t>
            </w:r>
          </w:p>
        </w:tc>
        <w:tc>
          <w:tcPr>
            <w:tcW w:w="2354" w:type="dxa"/>
          </w:tcPr>
          <w:p w14:paraId="7326BE7F" w14:textId="77777777" w:rsidR="00EF3DFB" w:rsidRDefault="00D27C17">
            <w:pPr>
              <w:pStyle w:val="TableParagraph"/>
              <w:spacing w:before="22"/>
              <w:ind w:left="434"/>
              <w:rPr>
                <w:i/>
                <w:sz w:val="20"/>
              </w:rPr>
            </w:pPr>
            <w:r>
              <w:rPr>
                <w:i/>
                <w:sz w:val="20"/>
              </w:rPr>
              <w:t>(87.7)%</w:t>
            </w:r>
          </w:p>
        </w:tc>
        <w:tc>
          <w:tcPr>
            <w:tcW w:w="980" w:type="dxa"/>
          </w:tcPr>
          <w:p w14:paraId="7326BE80" w14:textId="77777777" w:rsidR="00EF3DFB" w:rsidRDefault="00EF3DFB">
            <w:pPr>
              <w:pStyle w:val="TableParagraph"/>
              <w:rPr>
                <w:sz w:val="18"/>
              </w:rPr>
            </w:pPr>
          </w:p>
        </w:tc>
      </w:tr>
      <w:tr w:rsidR="00EF3DFB" w14:paraId="7326BE86" w14:textId="77777777">
        <w:trPr>
          <w:trHeight w:val="300"/>
        </w:trPr>
        <w:tc>
          <w:tcPr>
            <w:tcW w:w="6150" w:type="dxa"/>
            <w:shd w:val="clear" w:color="auto" w:fill="CCEDFF"/>
          </w:tcPr>
          <w:p w14:paraId="7326BE82" w14:textId="77777777" w:rsidR="00EF3DFB" w:rsidRDefault="00EF3DFB">
            <w:pPr>
              <w:pStyle w:val="TableParagraph"/>
              <w:rPr>
                <w:sz w:val="18"/>
              </w:rPr>
            </w:pPr>
          </w:p>
        </w:tc>
        <w:tc>
          <w:tcPr>
            <w:tcW w:w="1136" w:type="dxa"/>
            <w:shd w:val="clear" w:color="auto" w:fill="CCEDFF"/>
          </w:tcPr>
          <w:p w14:paraId="7326BE83" w14:textId="77777777" w:rsidR="00EF3DFB" w:rsidRDefault="00EF3DFB">
            <w:pPr>
              <w:pStyle w:val="TableParagraph"/>
              <w:rPr>
                <w:sz w:val="18"/>
              </w:rPr>
            </w:pPr>
          </w:p>
        </w:tc>
        <w:tc>
          <w:tcPr>
            <w:tcW w:w="2354" w:type="dxa"/>
            <w:shd w:val="clear" w:color="auto" w:fill="CCEDFF"/>
          </w:tcPr>
          <w:p w14:paraId="7326BE84" w14:textId="77777777" w:rsidR="00EF3DFB" w:rsidRDefault="00EF3DFB">
            <w:pPr>
              <w:pStyle w:val="TableParagraph"/>
              <w:rPr>
                <w:sz w:val="18"/>
              </w:rPr>
            </w:pPr>
          </w:p>
        </w:tc>
        <w:tc>
          <w:tcPr>
            <w:tcW w:w="980" w:type="dxa"/>
            <w:shd w:val="clear" w:color="auto" w:fill="CCEDFF"/>
          </w:tcPr>
          <w:p w14:paraId="7326BE85" w14:textId="77777777" w:rsidR="00EF3DFB" w:rsidRDefault="00EF3DFB">
            <w:pPr>
              <w:pStyle w:val="TableParagraph"/>
              <w:rPr>
                <w:sz w:val="18"/>
              </w:rPr>
            </w:pPr>
          </w:p>
        </w:tc>
      </w:tr>
      <w:tr w:rsidR="00EF3DFB" w14:paraId="7326BE8B" w14:textId="77777777">
        <w:trPr>
          <w:trHeight w:val="300"/>
        </w:trPr>
        <w:tc>
          <w:tcPr>
            <w:tcW w:w="6150" w:type="dxa"/>
          </w:tcPr>
          <w:p w14:paraId="7326BE87" w14:textId="77777777" w:rsidR="00EF3DFB" w:rsidRDefault="00D27C17">
            <w:pPr>
              <w:pStyle w:val="TableParagraph"/>
              <w:spacing w:before="40"/>
              <w:ind w:left="52"/>
              <w:rPr>
                <w:b/>
                <w:sz w:val="20"/>
              </w:rPr>
            </w:pPr>
            <w:r>
              <w:rPr>
                <w:b/>
                <w:sz w:val="20"/>
              </w:rPr>
              <w:t>Notable items impacting operating loss comparability:</w:t>
            </w:r>
          </w:p>
        </w:tc>
        <w:tc>
          <w:tcPr>
            <w:tcW w:w="1136" w:type="dxa"/>
          </w:tcPr>
          <w:p w14:paraId="7326BE88" w14:textId="77777777" w:rsidR="00EF3DFB" w:rsidRDefault="00EF3DFB">
            <w:pPr>
              <w:pStyle w:val="TableParagraph"/>
              <w:rPr>
                <w:sz w:val="18"/>
              </w:rPr>
            </w:pPr>
          </w:p>
        </w:tc>
        <w:tc>
          <w:tcPr>
            <w:tcW w:w="2354" w:type="dxa"/>
          </w:tcPr>
          <w:p w14:paraId="7326BE89" w14:textId="77777777" w:rsidR="00EF3DFB" w:rsidRDefault="00EF3DFB">
            <w:pPr>
              <w:pStyle w:val="TableParagraph"/>
              <w:rPr>
                <w:sz w:val="18"/>
              </w:rPr>
            </w:pPr>
          </w:p>
        </w:tc>
        <w:tc>
          <w:tcPr>
            <w:tcW w:w="980" w:type="dxa"/>
          </w:tcPr>
          <w:p w14:paraId="7326BE8A" w14:textId="77777777" w:rsidR="00EF3DFB" w:rsidRDefault="00EF3DFB">
            <w:pPr>
              <w:pStyle w:val="TableParagraph"/>
              <w:rPr>
                <w:sz w:val="18"/>
              </w:rPr>
            </w:pPr>
          </w:p>
        </w:tc>
      </w:tr>
      <w:tr w:rsidR="00EF3DFB" w14:paraId="7326BE90" w14:textId="77777777">
        <w:trPr>
          <w:trHeight w:val="300"/>
        </w:trPr>
        <w:tc>
          <w:tcPr>
            <w:tcW w:w="6150" w:type="dxa"/>
            <w:shd w:val="clear" w:color="auto" w:fill="CCEDFF"/>
          </w:tcPr>
          <w:p w14:paraId="7326BE8C" w14:textId="77777777" w:rsidR="00EF3DFB" w:rsidRDefault="00D27C17">
            <w:pPr>
              <w:pStyle w:val="TableParagraph"/>
              <w:spacing w:before="40"/>
              <w:ind w:left="52"/>
              <w:rPr>
                <w:sz w:val="20"/>
              </w:rPr>
            </w:pPr>
            <w:r>
              <w:rPr>
                <w:sz w:val="20"/>
              </w:rPr>
              <w:t>Impairment of goodwill and other intangible assets (See Footnote 7)</w:t>
            </w:r>
          </w:p>
        </w:tc>
        <w:tc>
          <w:tcPr>
            <w:tcW w:w="1136" w:type="dxa"/>
            <w:shd w:val="clear" w:color="auto" w:fill="CCEDFF"/>
          </w:tcPr>
          <w:p w14:paraId="7326BE8D" w14:textId="77777777" w:rsidR="00EF3DFB" w:rsidRDefault="00D27C17">
            <w:pPr>
              <w:pStyle w:val="TableParagraph"/>
              <w:spacing w:before="40"/>
              <w:ind w:left="531"/>
              <w:rPr>
                <w:sz w:val="20"/>
              </w:rPr>
            </w:pPr>
            <w:r>
              <w:rPr>
                <w:sz w:val="20"/>
              </w:rPr>
              <w:t>600</w:t>
            </w:r>
          </w:p>
        </w:tc>
        <w:tc>
          <w:tcPr>
            <w:tcW w:w="2354" w:type="dxa"/>
            <w:shd w:val="clear" w:color="auto" w:fill="CCEDFF"/>
          </w:tcPr>
          <w:p w14:paraId="7326BE8E" w14:textId="77777777" w:rsidR="00EF3DFB" w:rsidRDefault="00D27C17">
            <w:pPr>
              <w:pStyle w:val="TableParagraph"/>
              <w:tabs>
                <w:tab w:val="left" w:pos="1254"/>
              </w:tabs>
              <w:spacing w:before="40"/>
              <w:ind w:right="114"/>
              <w:jc w:val="right"/>
              <w:rPr>
                <w:sz w:val="20"/>
              </w:rPr>
            </w:pPr>
            <w:r>
              <w:rPr>
                <w:sz w:val="20"/>
              </w:rPr>
              <w:t>1,712</w:t>
            </w:r>
            <w:r>
              <w:rPr>
                <w:sz w:val="20"/>
              </w:rPr>
              <w:tab/>
              <w:t>(1,112)</w:t>
            </w:r>
          </w:p>
        </w:tc>
        <w:tc>
          <w:tcPr>
            <w:tcW w:w="980" w:type="dxa"/>
            <w:shd w:val="clear" w:color="auto" w:fill="CCEDFF"/>
          </w:tcPr>
          <w:p w14:paraId="7326BE8F" w14:textId="77777777" w:rsidR="00EF3DFB" w:rsidRDefault="00EF3DFB">
            <w:pPr>
              <w:pStyle w:val="TableParagraph"/>
              <w:rPr>
                <w:sz w:val="18"/>
              </w:rPr>
            </w:pPr>
          </w:p>
        </w:tc>
      </w:tr>
    </w:tbl>
    <w:p w14:paraId="7326BE91" w14:textId="77777777" w:rsidR="00EF3DFB" w:rsidRDefault="00EF3DFB">
      <w:pPr>
        <w:rPr>
          <w:sz w:val="18"/>
        </w:rPr>
        <w:sectPr w:rsidR="00EF3DFB">
          <w:pgSz w:w="12240" w:h="15840"/>
          <w:pgMar w:top="600" w:right="640" w:bottom="480" w:left="620" w:header="0" w:footer="291" w:gutter="0"/>
          <w:cols w:space="720"/>
        </w:sectPr>
      </w:pPr>
    </w:p>
    <w:p w14:paraId="7326BE92" w14:textId="77777777" w:rsidR="00EF3DFB" w:rsidRDefault="00D27C17">
      <w:pPr>
        <w:pStyle w:val="BodyText"/>
        <w:spacing w:before="72" w:line="249" w:lineRule="auto"/>
        <w:ind w:left="190" w:right="167"/>
        <w:jc w:val="both"/>
      </w:pPr>
      <w:r>
        <w:lastRenderedPageBreak/>
        <w:t xml:space="preserve">Appliances and Cookware net sales for 2019 decreased 7% primarily due to a loss in domestic market share in North America for certain appliance categories driven by the success of newly launched competitive products. The net sales decline in North America </w:t>
      </w:r>
      <w:r>
        <w:t>was partially offset by sales growth in Latin America primarily due to higher volume. Changes in foreign currency exchange rates unfavorably impacted net sales by $35 million, or 2%.</w:t>
      </w:r>
    </w:p>
    <w:p w14:paraId="7326BE93" w14:textId="77777777" w:rsidR="00EF3DFB" w:rsidRDefault="00EF3DFB">
      <w:pPr>
        <w:pStyle w:val="BodyText"/>
        <w:spacing w:before="1"/>
        <w:rPr>
          <w:sz w:val="21"/>
        </w:rPr>
      </w:pPr>
    </w:p>
    <w:p w14:paraId="7326BE94" w14:textId="77777777" w:rsidR="00EF3DFB" w:rsidRDefault="00D27C17">
      <w:pPr>
        <w:pStyle w:val="BodyText"/>
        <w:spacing w:line="249" w:lineRule="auto"/>
        <w:ind w:left="190" w:right="168"/>
        <w:jc w:val="both"/>
      </w:pPr>
      <w:r>
        <w:t>Operating loss decreased to $535 million in 2019 as compared to $1.6 bil</w:t>
      </w:r>
      <w:r>
        <w:t>lion in 2018. Operating loss included non-cash impairment charges of goodwill and certain indefinite-lived intangible assets of $600 million recorded in 2019 as compared to $1.7 billion of non-cash impairment charges of goodwill and certain indefinite-live</w:t>
      </w:r>
      <w:r>
        <w:t>d intangible assets recorded in 2018. This decrease in operating loss and operating margin was partially offset by the unfavorable impact of lower sales and inflation related to input costs and tariffs.</w:t>
      </w:r>
    </w:p>
    <w:p w14:paraId="7326BE95" w14:textId="77777777" w:rsidR="00EF3DFB" w:rsidRDefault="00EF3DFB">
      <w:pPr>
        <w:pStyle w:val="BodyText"/>
        <w:spacing w:before="8"/>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150"/>
        <w:gridCol w:w="1136"/>
        <w:gridCol w:w="2354"/>
        <w:gridCol w:w="980"/>
      </w:tblGrid>
      <w:tr w:rsidR="00EF3DFB" w14:paraId="7326BE9C" w14:textId="77777777">
        <w:trPr>
          <w:trHeight w:val="627"/>
        </w:trPr>
        <w:tc>
          <w:tcPr>
            <w:tcW w:w="6150" w:type="dxa"/>
          </w:tcPr>
          <w:p w14:paraId="7326BE96" w14:textId="77777777" w:rsidR="00EF3DFB" w:rsidRDefault="00D27C17">
            <w:pPr>
              <w:pStyle w:val="TableParagraph"/>
              <w:spacing w:line="221" w:lineRule="exact"/>
              <w:rPr>
                <w:b/>
                <w:sz w:val="20"/>
              </w:rPr>
            </w:pPr>
            <w:r>
              <w:rPr>
                <w:b/>
                <w:sz w:val="20"/>
              </w:rPr>
              <w:t>Commercial Solutions</w:t>
            </w:r>
          </w:p>
        </w:tc>
        <w:tc>
          <w:tcPr>
            <w:tcW w:w="1136" w:type="dxa"/>
            <w:tcBorders>
              <w:bottom w:val="single" w:sz="8" w:space="0" w:color="000000"/>
            </w:tcBorders>
          </w:tcPr>
          <w:p w14:paraId="7326BE97" w14:textId="77777777" w:rsidR="00EF3DFB" w:rsidRDefault="00EF3DFB">
            <w:pPr>
              <w:pStyle w:val="TableParagraph"/>
              <w:rPr>
                <w:sz w:val="18"/>
              </w:rPr>
            </w:pPr>
          </w:p>
        </w:tc>
        <w:tc>
          <w:tcPr>
            <w:tcW w:w="2354" w:type="dxa"/>
            <w:tcBorders>
              <w:bottom w:val="single" w:sz="8" w:space="0" w:color="000000"/>
            </w:tcBorders>
          </w:tcPr>
          <w:p w14:paraId="7326BE98" w14:textId="77777777" w:rsidR="00EF3DFB" w:rsidRDefault="00EF3DFB">
            <w:pPr>
              <w:pStyle w:val="TableParagraph"/>
              <w:rPr>
                <w:sz w:val="18"/>
              </w:rPr>
            </w:pPr>
          </w:p>
          <w:p w14:paraId="7326BE99" w14:textId="77777777" w:rsidR="00EF3DFB" w:rsidRDefault="00EF3DFB">
            <w:pPr>
              <w:pStyle w:val="TableParagraph"/>
              <w:spacing w:before="10"/>
              <w:rPr>
                <w:sz w:val="18"/>
              </w:rPr>
            </w:pPr>
          </w:p>
          <w:p w14:paraId="7326BE9A" w14:textId="77777777" w:rsidR="00EF3DFB" w:rsidRDefault="00D27C17">
            <w:pPr>
              <w:pStyle w:val="TableParagraph"/>
              <w:spacing w:line="184" w:lineRule="exact"/>
              <w:ind w:left="191"/>
              <w:rPr>
                <w:b/>
                <w:sz w:val="16"/>
              </w:rPr>
            </w:pPr>
            <w:r>
              <w:rPr>
                <w:b/>
                <w:sz w:val="16"/>
              </w:rPr>
              <w:t>Years Ended December 31,</w:t>
            </w:r>
          </w:p>
        </w:tc>
        <w:tc>
          <w:tcPr>
            <w:tcW w:w="980" w:type="dxa"/>
            <w:tcBorders>
              <w:bottom w:val="single" w:sz="8" w:space="0" w:color="000000"/>
            </w:tcBorders>
          </w:tcPr>
          <w:p w14:paraId="7326BE9B" w14:textId="77777777" w:rsidR="00EF3DFB" w:rsidRDefault="00EF3DFB">
            <w:pPr>
              <w:pStyle w:val="TableParagraph"/>
              <w:rPr>
                <w:sz w:val="18"/>
              </w:rPr>
            </w:pPr>
          </w:p>
        </w:tc>
      </w:tr>
      <w:tr w:rsidR="00EF3DFB" w14:paraId="7326BEA1" w14:textId="77777777">
        <w:trPr>
          <w:trHeight w:val="280"/>
        </w:trPr>
        <w:tc>
          <w:tcPr>
            <w:tcW w:w="6150" w:type="dxa"/>
          </w:tcPr>
          <w:p w14:paraId="7326BE9D" w14:textId="77777777" w:rsidR="00EF3DFB" w:rsidRDefault="00D27C17">
            <w:pPr>
              <w:pStyle w:val="TableParagraph"/>
              <w:spacing w:before="30" w:line="230" w:lineRule="exact"/>
              <w:ind w:left="52"/>
              <w:rPr>
                <w:sz w:val="20"/>
              </w:rPr>
            </w:pPr>
            <w:r>
              <w:rPr>
                <w:sz w:val="20"/>
              </w:rPr>
              <w:t>(in millions)</w:t>
            </w:r>
          </w:p>
        </w:tc>
        <w:tc>
          <w:tcPr>
            <w:tcW w:w="1136" w:type="dxa"/>
            <w:tcBorders>
              <w:top w:val="single" w:sz="8" w:space="0" w:color="000000"/>
              <w:bottom w:val="single" w:sz="8" w:space="0" w:color="000000"/>
            </w:tcBorders>
          </w:tcPr>
          <w:p w14:paraId="7326BE9E" w14:textId="77777777" w:rsidR="00EF3DFB" w:rsidRDefault="00D27C17">
            <w:pPr>
              <w:pStyle w:val="TableParagraph"/>
              <w:spacing w:before="76" w:line="184" w:lineRule="exact"/>
              <w:ind w:left="360" w:right="415"/>
              <w:jc w:val="center"/>
              <w:rPr>
                <w:b/>
                <w:sz w:val="16"/>
              </w:rPr>
            </w:pPr>
            <w:r>
              <w:rPr>
                <w:b/>
                <w:sz w:val="16"/>
              </w:rPr>
              <w:t>2019</w:t>
            </w:r>
          </w:p>
        </w:tc>
        <w:tc>
          <w:tcPr>
            <w:tcW w:w="2354" w:type="dxa"/>
            <w:tcBorders>
              <w:top w:val="single" w:sz="8" w:space="0" w:color="000000"/>
              <w:bottom w:val="single" w:sz="8" w:space="0" w:color="000000"/>
            </w:tcBorders>
          </w:tcPr>
          <w:p w14:paraId="7326BE9F" w14:textId="77777777" w:rsidR="00EF3DFB" w:rsidRDefault="00D27C17">
            <w:pPr>
              <w:pStyle w:val="TableParagraph"/>
              <w:tabs>
                <w:tab w:val="left" w:pos="1391"/>
              </w:tabs>
              <w:spacing w:before="76" w:line="184" w:lineRule="exact"/>
              <w:ind w:left="398"/>
              <w:rPr>
                <w:b/>
                <w:sz w:val="16"/>
              </w:rPr>
            </w:pPr>
            <w:r>
              <w:rPr>
                <w:b/>
                <w:sz w:val="16"/>
              </w:rPr>
              <w:t>2018</w:t>
            </w:r>
            <w:r>
              <w:rPr>
                <w:b/>
                <w:sz w:val="16"/>
              </w:rPr>
              <w:tab/>
              <w:t>$</w:t>
            </w:r>
            <w:r>
              <w:rPr>
                <w:b/>
                <w:spacing w:val="-1"/>
                <w:sz w:val="16"/>
              </w:rPr>
              <w:t xml:space="preserve"> </w:t>
            </w:r>
            <w:r>
              <w:rPr>
                <w:b/>
                <w:sz w:val="16"/>
              </w:rPr>
              <w:t>Change</w:t>
            </w:r>
          </w:p>
        </w:tc>
        <w:tc>
          <w:tcPr>
            <w:tcW w:w="980" w:type="dxa"/>
            <w:tcBorders>
              <w:top w:val="single" w:sz="8" w:space="0" w:color="000000"/>
              <w:bottom w:val="single" w:sz="8" w:space="0" w:color="000000"/>
            </w:tcBorders>
          </w:tcPr>
          <w:p w14:paraId="7326BEA0" w14:textId="77777777" w:rsidR="00EF3DFB" w:rsidRDefault="00D27C17">
            <w:pPr>
              <w:pStyle w:val="TableParagraph"/>
              <w:spacing w:before="76" w:line="184" w:lineRule="exact"/>
              <w:ind w:left="86" w:right="109"/>
              <w:jc w:val="center"/>
              <w:rPr>
                <w:b/>
                <w:sz w:val="16"/>
              </w:rPr>
            </w:pPr>
            <w:r>
              <w:rPr>
                <w:b/>
                <w:sz w:val="16"/>
              </w:rPr>
              <w:t>% Change</w:t>
            </w:r>
          </w:p>
        </w:tc>
      </w:tr>
      <w:tr w:rsidR="00EF3DFB" w14:paraId="7326BEA6" w14:textId="77777777">
        <w:trPr>
          <w:trHeight w:val="290"/>
        </w:trPr>
        <w:tc>
          <w:tcPr>
            <w:tcW w:w="6150" w:type="dxa"/>
            <w:shd w:val="clear" w:color="auto" w:fill="CCEDFF"/>
          </w:tcPr>
          <w:p w14:paraId="7326BEA2" w14:textId="77777777" w:rsidR="00EF3DFB" w:rsidRDefault="00D27C17">
            <w:pPr>
              <w:pStyle w:val="TableParagraph"/>
              <w:spacing w:before="30"/>
              <w:ind w:left="52"/>
              <w:rPr>
                <w:sz w:val="20"/>
              </w:rPr>
            </w:pPr>
            <w:r>
              <w:rPr>
                <w:sz w:val="20"/>
              </w:rPr>
              <w:t>Net sales</w:t>
            </w:r>
          </w:p>
        </w:tc>
        <w:tc>
          <w:tcPr>
            <w:tcW w:w="1136" w:type="dxa"/>
            <w:tcBorders>
              <w:top w:val="single" w:sz="8" w:space="0" w:color="000000"/>
            </w:tcBorders>
            <w:shd w:val="clear" w:color="auto" w:fill="CCEDFF"/>
          </w:tcPr>
          <w:p w14:paraId="7326BEA3" w14:textId="77777777" w:rsidR="00EF3DFB" w:rsidRDefault="00D27C17">
            <w:pPr>
              <w:pStyle w:val="TableParagraph"/>
              <w:tabs>
                <w:tab w:val="left" w:pos="381"/>
              </w:tabs>
              <w:spacing w:before="30"/>
              <w:ind w:left="52"/>
              <w:rPr>
                <w:sz w:val="20"/>
              </w:rPr>
            </w:pPr>
            <w:r>
              <w:rPr>
                <w:sz w:val="20"/>
              </w:rPr>
              <w:t>$</w:t>
            </w:r>
            <w:r>
              <w:rPr>
                <w:sz w:val="20"/>
              </w:rPr>
              <w:tab/>
              <w:t>1,779</w:t>
            </w:r>
          </w:p>
        </w:tc>
        <w:tc>
          <w:tcPr>
            <w:tcW w:w="2354" w:type="dxa"/>
            <w:tcBorders>
              <w:top w:val="single" w:sz="8" w:space="0" w:color="000000"/>
            </w:tcBorders>
            <w:shd w:val="clear" w:color="auto" w:fill="CCEDFF"/>
          </w:tcPr>
          <w:p w14:paraId="7326BEA4" w14:textId="77777777" w:rsidR="00EF3DFB" w:rsidRDefault="00D27C17">
            <w:pPr>
              <w:pStyle w:val="TableParagraph"/>
              <w:tabs>
                <w:tab w:val="left" w:pos="329"/>
                <w:tab w:val="left" w:pos="1154"/>
                <w:tab w:val="left" w:pos="1734"/>
              </w:tabs>
              <w:spacing w:before="30"/>
              <w:ind w:right="114"/>
              <w:jc w:val="right"/>
              <w:rPr>
                <w:sz w:val="20"/>
              </w:rPr>
            </w:pPr>
            <w:r>
              <w:rPr>
                <w:sz w:val="20"/>
              </w:rPr>
              <w:t>$</w:t>
            </w:r>
            <w:r>
              <w:rPr>
                <w:sz w:val="20"/>
              </w:rPr>
              <w:tab/>
              <w:t>1,900</w:t>
            </w:r>
            <w:r>
              <w:rPr>
                <w:sz w:val="20"/>
              </w:rPr>
              <w:tab/>
              <w:t>$</w:t>
            </w:r>
            <w:r>
              <w:rPr>
                <w:sz w:val="20"/>
              </w:rPr>
              <w:tab/>
              <w:t>(121)</w:t>
            </w:r>
          </w:p>
        </w:tc>
        <w:tc>
          <w:tcPr>
            <w:tcW w:w="980" w:type="dxa"/>
            <w:tcBorders>
              <w:top w:val="single" w:sz="8" w:space="0" w:color="000000"/>
            </w:tcBorders>
            <w:shd w:val="clear" w:color="auto" w:fill="CCEDFF"/>
          </w:tcPr>
          <w:p w14:paraId="7326BEA5" w14:textId="77777777" w:rsidR="00EF3DFB" w:rsidRDefault="00D27C17">
            <w:pPr>
              <w:pStyle w:val="TableParagraph"/>
              <w:spacing w:before="30"/>
              <w:ind w:left="96" w:right="84"/>
              <w:jc w:val="center"/>
              <w:rPr>
                <w:sz w:val="20"/>
              </w:rPr>
            </w:pPr>
            <w:r>
              <w:rPr>
                <w:sz w:val="20"/>
              </w:rPr>
              <w:t>(6.4)%</w:t>
            </w:r>
          </w:p>
        </w:tc>
      </w:tr>
      <w:tr w:rsidR="00EF3DFB" w14:paraId="7326BEAB" w14:textId="77777777">
        <w:trPr>
          <w:trHeight w:val="300"/>
        </w:trPr>
        <w:tc>
          <w:tcPr>
            <w:tcW w:w="6150" w:type="dxa"/>
          </w:tcPr>
          <w:p w14:paraId="7326BEA7" w14:textId="77777777" w:rsidR="00EF3DFB" w:rsidRDefault="00EF3DFB">
            <w:pPr>
              <w:pStyle w:val="TableParagraph"/>
              <w:rPr>
                <w:sz w:val="18"/>
              </w:rPr>
            </w:pPr>
          </w:p>
        </w:tc>
        <w:tc>
          <w:tcPr>
            <w:tcW w:w="1136" w:type="dxa"/>
          </w:tcPr>
          <w:p w14:paraId="7326BEA8" w14:textId="77777777" w:rsidR="00EF3DFB" w:rsidRDefault="00EF3DFB">
            <w:pPr>
              <w:pStyle w:val="TableParagraph"/>
              <w:rPr>
                <w:sz w:val="18"/>
              </w:rPr>
            </w:pPr>
          </w:p>
        </w:tc>
        <w:tc>
          <w:tcPr>
            <w:tcW w:w="2354" w:type="dxa"/>
          </w:tcPr>
          <w:p w14:paraId="7326BEA9" w14:textId="77777777" w:rsidR="00EF3DFB" w:rsidRDefault="00EF3DFB">
            <w:pPr>
              <w:pStyle w:val="TableParagraph"/>
              <w:rPr>
                <w:sz w:val="18"/>
              </w:rPr>
            </w:pPr>
          </w:p>
        </w:tc>
        <w:tc>
          <w:tcPr>
            <w:tcW w:w="980" w:type="dxa"/>
          </w:tcPr>
          <w:p w14:paraId="7326BEAA" w14:textId="77777777" w:rsidR="00EF3DFB" w:rsidRDefault="00EF3DFB">
            <w:pPr>
              <w:pStyle w:val="TableParagraph"/>
              <w:rPr>
                <w:sz w:val="18"/>
              </w:rPr>
            </w:pPr>
          </w:p>
        </w:tc>
      </w:tr>
      <w:tr w:rsidR="00EF3DFB" w14:paraId="7326BEB0" w14:textId="77777777">
        <w:trPr>
          <w:trHeight w:val="300"/>
        </w:trPr>
        <w:tc>
          <w:tcPr>
            <w:tcW w:w="6150" w:type="dxa"/>
            <w:shd w:val="clear" w:color="auto" w:fill="CCEDFF"/>
          </w:tcPr>
          <w:p w14:paraId="7326BEAC" w14:textId="77777777" w:rsidR="00EF3DFB" w:rsidRDefault="00D27C17">
            <w:pPr>
              <w:pStyle w:val="TableParagraph"/>
              <w:spacing w:before="40"/>
              <w:ind w:left="52"/>
              <w:rPr>
                <w:sz w:val="20"/>
              </w:rPr>
            </w:pPr>
            <w:r>
              <w:rPr>
                <w:sz w:val="20"/>
              </w:rPr>
              <w:t>Operating loss</w:t>
            </w:r>
          </w:p>
        </w:tc>
        <w:tc>
          <w:tcPr>
            <w:tcW w:w="1136" w:type="dxa"/>
            <w:shd w:val="clear" w:color="auto" w:fill="CCEDFF"/>
          </w:tcPr>
          <w:p w14:paraId="7326BEAD" w14:textId="77777777" w:rsidR="00EF3DFB" w:rsidRDefault="00D27C17">
            <w:pPr>
              <w:pStyle w:val="TableParagraph"/>
              <w:spacing w:before="40"/>
              <w:ind w:left="465"/>
              <w:rPr>
                <w:sz w:val="20"/>
              </w:rPr>
            </w:pPr>
            <w:r>
              <w:rPr>
                <w:sz w:val="20"/>
              </w:rPr>
              <w:t>(136)</w:t>
            </w:r>
          </w:p>
        </w:tc>
        <w:tc>
          <w:tcPr>
            <w:tcW w:w="2354" w:type="dxa"/>
            <w:shd w:val="clear" w:color="auto" w:fill="CCEDFF"/>
          </w:tcPr>
          <w:p w14:paraId="7326BEAE" w14:textId="77777777" w:rsidR="00EF3DFB" w:rsidRDefault="00D27C17">
            <w:pPr>
              <w:pStyle w:val="TableParagraph"/>
              <w:tabs>
                <w:tab w:val="left" w:pos="1521"/>
              </w:tabs>
              <w:spacing w:before="40"/>
              <w:ind w:right="114"/>
              <w:jc w:val="right"/>
              <w:rPr>
                <w:sz w:val="20"/>
              </w:rPr>
            </w:pPr>
            <w:r>
              <w:rPr>
                <w:sz w:val="20"/>
              </w:rPr>
              <w:t>(134)</w:t>
            </w:r>
            <w:r>
              <w:rPr>
                <w:sz w:val="20"/>
              </w:rPr>
              <w:tab/>
              <w:t>(2)</w:t>
            </w:r>
          </w:p>
        </w:tc>
        <w:tc>
          <w:tcPr>
            <w:tcW w:w="980" w:type="dxa"/>
            <w:shd w:val="clear" w:color="auto" w:fill="CCEDFF"/>
          </w:tcPr>
          <w:p w14:paraId="7326BEAF" w14:textId="77777777" w:rsidR="00EF3DFB" w:rsidRDefault="00D27C17">
            <w:pPr>
              <w:pStyle w:val="TableParagraph"/>
              <w:spacing w:before="40"/>
              <w:ind w:left="96" w:right="84"/>
              <w:jc w:val="center"/>
              <w:rPr>
                <w:sz w:val="20"/>
              </w:rPr>
            </w:pPr>
            <w:r>
              <w:rPr>
                <w:sz w:val="20"/>
              </w:rPr>
              <w:t>(1.5)%</w:t>
            </w:r>
          </w:p>
        </w:tc>
      </w:tr>
      <w:tr w:rsidR="00EF3DFB" w14:paraId="7326BEB5" w14:textId="77777777">
        <w:trPr>
          <w:trHeight w:val="300"/>
        </w:trPr>
        <w:tc>
          <w:tcPr>
            <w:tcW w:w="6150" w:type="dxa"/>
          </w:tcPr>
          <w:p w14:paraId="7326BEB1" w14:textId="77777777" w:rsidR="00EF3DFB" w:rsidRDefault="00D27C17">
            <w:pPr>
              <w:pStyle w:val="TableParagraph"/>
              <w:spacing w:before="40"/>
              <w:ind w:left="412"/>
              <w:rPr>
                <w:i/>
                <w:sz w:val="20"/>
              </w:rPr>
            </w:pPr>
            <w:r>
              <w:rPr>
                <w:i/>
                <w:sz w:val="20"/>
              </w:rPr>
              <w:t>Operating margin</w:t>
            </w:r>
          </w:p>
        </w:tc>
        <w:tc>
          <w:tcPr>
            <w:tcW w:w="1136" w:type="dxa"/>
          </w:tcPr>
          <w:p w14:paraId="7326BEB2" w14:textId="77777777" w:rsidR="00EF3DFB" w:rsidRDefault="00D27C17">
            <w:pPr>
              <w:pStyle w:val="TableParagraph"/>
              <w:spacing w:before="40"/>
              <w:ind w:left="515"/>
              <w:rPr>
                <w:i/>
                <w:sz w:val="20"/>
              </w:rPr>
            </w:pPr>
            <w:r>
              <w:rPr>
                <w:i/>
                <w:sz w:val="20"/>
              </w:rPr>
              <w:t>(7.6)%</w:t>
            </w:r>
          </w:p>
        </w:tc>
        <w:tc>
          <w:tcPr>
            <w:tcW w:w="2354" w:type="dxa"/>
          </w:tcPr>
          <w:p w14:paraId="7326BEB3" w14:textId="77777777" w:rsidR="00EF3DFB" w:rsidRDefault="00D27C17">
            <w:pPr>
              <w:pStyle w:val="TableParagraph"/>
              <w:spacing w:before="40"/>
              <w:ind w:left="534"/>
              <w:rPr>
                <w:i/>
                <w:sz w:val="20"/>
              </w:rPr>
            </w:pPr>
            <w:r>
              <w:rPr>
                <w:i/>
                <w:sz w:val="20"/>
              </w:rPr>
              <w:t>(7.1)%</w:t>
            </w:r>
          </w:p>
        </w:tc>
        <w:tc>
          <w:tcPr>
            <w:tcW w:w="980" w:type="dxa"/>
          </w:tcPr>
          <w:p w14:paraId="7326BEB4" w14:textId="77777777" w:rsidR="00EF3DFB" w:rsidRDefault="00EF3DFB">
            <w:pPr>
              <w:pStyle w:val="TableParagraph"/>
              <w:rPr>
                <w:sz w:val="18"/>
              </w:rPr>
            </w:pPr>
          </w:p>
        </w:tc>
      </w:tr>
      <w:tr w:rsidR="00EF3DFB" w14:paraId="7326BEBA" w14:textId="77777777">
        <w:trPr>
          <w:trHeight w:val="300"/>
        </w:trPr>
        <w:tc>
          <w:tcPr>
            <w:tcW w:w="6150" w:type="dxa"/>
            <w:shd w:val="clear" w:color="auto" w:fill="CCEDFF"/>
          </w:tcPr>
          <w:p w14:paraId="7326BEB6" w14:textId="77777777" w:rsidR="00EF3DFB" w:rsidRDefault="00EF3DFB">
            <w:pPr>
              <w:pStyle w:val="TableParagraph"/>
              <w:rPr>
                <w:sz w:val="18"/>
              </w:rPr>
            </w:pPr>
          </w:p>
        </w:tc>
        <w:tc>
          <w:tcPr>
            <w:tcW w:w="1136" w:type="dxa"/>
            <w:shd w:val="clear" w:color="auto" w:fill="CCEDFF"/>
          </w:tcPr>
          <w:p w14:paraId="7326BEB7" w14:textId="77777777" w:rsidR="00EF3DFB" w:rsidRDefault="00EF3DFB">
            <w:pPr>
              <w:pStyle w:val="TableParagraph"/>
              <w:rPr>
                <w:sz w:val="18"/>
              </w:rPr>
            </w:pPr>
          </w:p>
        </w:tc>
        <w:tc>
          <w:tcPr>
            <w:tcW w:w="2354" w:type="dxa"/>
            <w:shd w:val="clear" w:color="auto" w:fill="CCEDFF"/>
          </w:tcPr>
          <w:p w14:paraId="7326BEB8" w14:textId="77777777" w:rsidR="00EF3DFB" w:rsidRDefault="00EF3DFB">
            <w:pPr>
              <w:pStyle w:val="TableParagraph"/>
              <w:rPr>
                <w:sz w:val="18"/>
              </w:rPr>
            </w:pPr>
          </w:p>
        </w:tc>
        <w:tc>
          <w:tcPr>
            <w:tcW w:w="980" w:type="dxa"/>
            <w:shd w:val="clear" w:color="auto" w:fill="CCEDFF"/>
          </w:tcPr>
          <w:p w14:paraId="7326BEB9" w14:textId="77777777" w:rsidR="00EF3DFB" w:rsidRDefault="00EF3DFB">
            <w:pPr>
              <w:pStyle w:val="TableParagraph"/>
              <w:rPr>
                <w:sz w:val="18"/>
              </w:rPr>
            </w:pPr>
          </w:p>
        </w:tc>
      </w:tr>
      <w:tr w:rsidR="00EF3DFB" w14:paraId="7326BEBF" w14:textId="77777777">
        <w:trPr>
          <w:trHeight w:val="300"/>
        </w:trPr>
        <w:tc>
          <w:tcPr>
            <w:tcW w:w="6150" w:type="dxa"/>
          </w:tcPr>
          <w:p w14:paraId="7326BEBB" w14:textId="77777777" w:rsidR="00EF3DFB" w:rsidRDefault="00D27C17">
            <w:pPr>
              <w:pStyle w:val="TableParagraph"/>
              <w:spacing w:before="40"/>
              <w:ind w:left="52"/>
              <w:rPr>
                <w:b/>
                <w:sz w:val="20"/>
              </w:rPr>
            </w:pPr>
            <w:r>
              <w:rPr>
                <w:b/>
                <w:sz w:val="20"/>
              </w:rPr>
              <w:t>Notable items impacting operating loss comparability:</w:t>
            </w:r>
          </w:p>
        </w:tc>
        <w:tc>
          <w:tcPr>
            <w:tcW w:w="1136" w:type="dxa"/>
          </w:tcPr>
          <w:p w14:paraId="7326BEBC" w14:textId="77777777" w:rsidR="00EF3DFB" w:rsidRDefault="00EF3DFB">
            <w:pPr>
              <w:pStyle w:val="TableParagraph"/>
              <w:rPr>
                <w:sz w:val="18"/>
              </w:rPr>
            </w:pPr>
          </w:p>
        </w:tc>
        <w:tc>
          <w:tcPr>
            <w:tcW w:w="2354" w:type="dxa"/>
          </w:tcPr>
          <w:p w14:paraId="7326BEBD" w14:textId="77777777" w:rsidR="00EF3DFB" w:rsidRDefault="00EF3DFB">
            <w:pPr>
              <w:pStyle w:val="TableParagraph"/>
              <w:rPr>
                <w:sz w:val="18"/>
              </w:rPr>
            </w:pPr>
          </w:p>
        </w:tc>
        <w:tc>
          <w:tcPr>
            <w:tcW w:w="980" w:type="dxa"/>
          </w:tcPr>
          <w:p w14:paraId="7326BEBE" w14:textId="77777777" w:rsidR="00EF3DFB" w:rsidRDefault="00EF3DFB">
            <w:pPr>
              <w:pStyle w:val="TableParagraph"/>
              <w:rPr>
                <w:sz w:val="18"/>
              </w:rPr>
            </w:pPr>
          </w:p>
        </w:tc>
      </w:tr>
      <w:tr w:rsidR="00EF3DFB" w14:paraId="7326BEC4" w14:textId="77777777">
        <w:trPr>
          <w:trHeight w:val="300"/>
        </w:trPr>
        <w:tc>
          <w:tcPr>
            <w:tcW w:w="6150" w:type="dxa"/>
            <w:shd w:val="clear" w:color="auto" w:fill="CCEDFF"/>
          </w:tcPr>
          <w:p w14:paraId="7326BEC0" w14:textId="77777777" w:rsidR="00EF3DFB" w:rsidRDefault="00D27C17">
            <w:pPr>
              <w:pStyle w:val="TableParagraph"/>
              <w:spacing w:before="40"/>
              <w:ind w:left="52"/>
              <w:rPr>
                <w:sz w:val="20"/>
              </w:rPr>
            </w:pPr>
            <w:r>
              <w:rPr>
                <w:sz w:val="20"/>
              </w:rPr>
              <w:t>Impairment of goodwill and other intangible assets (See Footnote 7)</w:t>
            </w:r>
          </w:p>
        </w:tc>
        <w:tc>
          <w:tcPr>
            <w:tcW w:w="1136" w:type="dxa"/>
            <w:shd w:val="clear" w:color="auto" w:fill="CCEDFF"/>
          </w:tcPr>
          <w:p w14:paraId="7326BEC1" w14:textId="77777777" w:rsidR="00EF3DFB" w:rsidRDefault="00D27C17">
            <w:pPr>
              <w:pStyle w:val="TableParagraph"/>
              <w:tabs>
                <w:tab w:val="left" w:pos="531"/>
              </w:tabs>
              <w:spacing w:before="40"/>
              <w:ind w:left="52"/>
              <w:rPr>
                <w:sz w:val="20"/>
              </w:rPr>
            </w:pPr>
            <w:r>
              <w:rPr>
                <w:sz w:val="20"/>
              </w:rPr>
              <w:t>$</w:t>
            </w:r>
            <w:r>
              <w:rPr>
                <w:sz w:val="20"/>
              </w:rPr>
              <w:tab/>
              <w:t>310</w:t>
            </w:r>
          </w:p>
        </w:tc>
        <w:tc>
          <w:tcPr>
            <w:tcW w:w="2354" w:type="dxa"/>
            <w:shd w:val="clear" w:color="auto" w:fill="CCEDFF"/>
          </w:tcPr>
          <w:p w14:paraId="7326BEC2" w14:textId="77777777" w:rsidR="00EF3DFB" w:rsidRDefault="00D27C17">
            <w:pPr>
              <w:pStyle w:val="TableParagraph"/>
              <w:tabs>
                <w:tab w:val="left" w:pos="479"/>
                <w:tab w:val="left" w:pos="1154"/>
                <w:tab w:val="left" w:pos="1734"/>
              </w:tabs>
              <w:spacing w:before="40"/>
              <w:ind w:right="114"/>
              <w:jc w:val="right"/>
              <w:rPr>
                <w:sz w:val="20"/>
              </w:rPr>
            </w:pPr>
            <w:r>
              <w:rPr>
                <w:sz w:val="20"/>
              </w:rPr>
              <w:t>$</w:t>
            </w:r>
            <w:r>
              <w:rPr>
                <w:sz w:val="20"/>
              </w:rPr>
              <w:tab/>
              <w:t>410</w:t>
            </w:r>
            <w:r>
              <w:rPr>
                <w:sz w:val="20"/>
              </w:rPr>
              <w:tab/>
              <w:t>$</w:t>
            </w:r>
            <w:r>
              <w:rPr>
                <w:sz w:val="20"/>
              </w:rPr>
              <w:tab/>
              <w:t>(100)</w:t>
            </w:r>
          </w:p>
        </w:tc>
        <w:tc>
          <w:tcPr>
            <w:tcW w:w="980" w:type="dxa"/>
            <w:shd w:val="clear" w:color="auto" w:fill="CCEDFF"/>
          </w:tcPr>
          <w:p w14:paraId="7326BEC3" w14:textId="77777777" w:rsidR="00EF3DFB" w:rsidRDefault="00EF3DFB">
            <w:pPr>
              <w:pStyle w:val="TableParagraph"/>
              <w:rPr>
                <w:sz w:val="18"/>
              </w:rPr>
            </w:pPr>
          </w:p>
        </w:tc>
      </w:tr>
      <w:tr w:rsidR="00EF3DFB" w14:paraId="7326BECB" w14:textId="77777777">
        <w:trPr>
          <w:trHeight w:val="435"/>
        </w:trPr>
        <w:tc>
          <w:tcPr>
            <w:tcW w:w="6150" w:type="dxa"/>
          </w:tcPr>
          <w:p w14:paraId="7326BEC5" w14:textId="77777777" w:rsidR="00EF3DFB" w:rsidRDefault="00D27C17">
            <w:pPr>
              <w:pStyle w:val="TableParagraph"/>
              <w:spacing w:before="32" w:line="200" w:lineRule="exact"/>
              <w:ind w:left="52" w:right="625"/>
              <w:rPr>
                <w:sz w:val="20"/>
              </w:rPr>
            </w:pPr>
            <w:r>
              <w:rPr>
                <w:sz w:val="20"/>
              </w:rPr>
              <w:t>Held for sale depreciation and amortization catch-up adjustment (See Footnotes 6 and 7)</w:t>
            </w:r>
          </w:p>
        </w:tc>
        <w:tc>
          <w:tcPr>
            <w:tcW w:w="1136" w:type="dxa"/>
          </w:tcPr>
          <w:p w14:paraId="7326BEC6" w14:textId="77777777" w:rsidR="00EF3DFB" w:rsidRDefault="00EF3DFB">
            <w:pPr>
              <w:pStyle w:val="TableParagraph"/>
              <w:spacing w:before="9"/>
              <w:rPr>
                <w:sz w:val="17"/>
              </w:rPr>
            </w:pPr>
          </w:p>
          <w:p w14:paraId="7326BEC7" w14:textId="77777777" w:rsidR="00EF3DFB" w:rsidRDefault="00D27C17">
            <w:pPr>
              <w:pStyle w:val="TableParagraph"/>
              <w:spacing w:line="210" w:lineRule="exact"/>
              <w:ind w:left="631"/>
              <w:rPr>
                <w:sz w:val="20"/>
              </w:rPr>
            </w:pPr>
            <w:r>
              <w:rPr>
                <w:sz w:val="20"/>
              </w:rPr>
              <w:t>57</w:t>
            </w:r>
          </w:p>
        </w:tc>
        <w:tc>
          <w:tcPr>
            <w:tcW w:w="2354" w:type="dxa"/>
          </w:tcPr>
          <w:p w14:paraId="7326BEC8" w14:textId="77777777" w:rsidR="00EF3DFB" w:rsidRDefault="00EF3DFB">
            <w:pPr>
              <w:pStyle w:val="TableParagraph"/>
              <w:spacing w:before="9"/>
              <w:rPr>
                <w:sz w:val="17"/>
              </w:rPr>
            </w:pPr>
          </w:p>
          <w:p w14:paraId="7326BEC9" w14:textId="77777777" w:rsidR="00EF3DFB" w:rsidRDefault="00D27C17">
            <w:pPr>
              <w:pStyle w:val="TableParagraph"/>
              <w:tabs>
                <w:tab w:val="left" w:pos="1321"/>
              </w:tabs>
              <w:spacing w:line="210" w:lineRule="exact"/>
              <w:ind w:right="179"/>
              <w:jc w:val="right"/>
              <w:rPr>
                <w:sz w:val="20"/>
              </w:rPr>
            </w:pPr>
            <w:r>
              <w:rPr>
                <w:sz w:val="20"/>
              </w:rPr>
              <w:t>—</w:t>
            </w:r>
            <w:r>
              <w:rPr>
                <w:sz w:val="20"/>
              </w:rPr>
              <w:tab/>
              <w:t>57</w:t>
            </w:r>
          </w:p>
        </w:tc>
        <w:tc>
          <w:tcPr>
            <w:tcW w:w="980" w:type="dxa"/>
          </w:tcPr>
          <w:p w14:paraId="7326BECA" w14:textId="77777777" w:rsidR="00EF3DFB" w:rsidRDefault="00EF3DFB">
            <w:pPr>
              <w:pStyle w:val="TableParagraph"/>
              <w:rPr>
                <w:sz w:val="18"/>
              </w:rPr>
            </w:pPr>
          </w:p>
        </w:tc>
      </w:tr>
    </w:tbl>
    <w:p w14:paraId="7326BECC" w14:textId="77777777" w:rsidR="00EF3DFB" w:rsidRDefault="00EF3DFB">
      <w:pPr>
        <w:pStyle w:val="BodyText"/>
        <w:spacing w:before="6"/>
        <w:rPr>
          <w:sz w:val="17"/>
        </w:rPr>
      </w:pPr>
    </w:p>
    <w:p w14:paraId="7326BECD" w14:textId="77777777" w:rsidR="00EF3DFB" w:rsidRDefault="00D27C17">
      <w:pPr>
        <w:pStyle w:val="BodyText"/>
        <w:spacing w:line="249" w:lineRule="auto"/>
        <w:ind w:left="190" w:right="169"/>
        <w:jc w:val="both"/>
      </w:pPr>
      <w:r>
        <w:t>Commercial Solutions net sales for 2019 decreased 6% primarily due to lower sales in the Commercial business unit, in part due to volume declines at certain major retailers, and softness in the cleaning and outdoor organization categories, partially offset</w:t>
      </w:r>
      <w:r>
        <w:t xml:space="preserve"> by effective net pricing in certain categories. Changes in foreign currency exchange rates unfavorably impacted net sales by $42 million, or 2%.</w:t>
      </w:r>
    </w:p>
    <w:p w14:paraId="7326BECE" w14:textId="77777777" w:rsidR="00EF3DFB" w:rsidRDefault="00EF3DFB">
      <w:pPr>
        <w:pStyle w:val="BodyText"/>
        <w:spacing w:before="1"/>
        <w:rPr>
          <w:sz w:val="21"/>
        </w:rPr>
      </w:pPr>
    </w:p>
    <w:p w14:paraId="7326BECF" w14:textId="77777777" w:rsidR="00EF3DFB" w:rsidRDefault="00D27C17">
      <w:pPr>
        <w:pStyle w:val="BodyText"/>
        <w:spacing w:before="1" w:line="249" w:lineRule="auto"/>
        <w:ind w:left="190" w:right="169"/>
        <w:jc w:val="both"/>
      </w:pPr>
      <w:r>
        <w:t>Operating loss was $136 million in 2019 as compared to $134 million in 2018. Operating loss included non-cash</w:t>
      </w:r>
      <w:r>
        <w:t xml:space="preserve"> impairment charges of goodwill and certain indefinite-lived intangible assets of $310 million recorded in 2019 as compared to $410 million of non-cash impairment charges of goodwill and certain indefinite-lived intangible assets recorded in 2018. This dec</w:t>
      </w:r>
      <w:r>
        <w:t>rease in operating loss and operating margin also reflected productivity improvement in 2019 from various initiatives, partially offset by the unfavorable impact of lower sales and inflation. In addition, operating loss was unfavorably impacted by the cumu</w:t>
      </w:r>
      <w:r>
        <w:t>lative catch-up adjustment for depreciation and amortization expense of $57 million recorded in 2019 as a result of the Company’s decision to retain the Commercial Business. Approximately $33 million of this depreciation and amortization expense in 2019 re</w:t>
      </w:r>
      <w:r>
        <w:t xml:space="preserve">lated to the amounts that would have been recorded in the prior year had the Commercial Business been continuously classified as held and used. See </w:t>
      </w:r>
      <w:r>
        <w:rPr>
          <w:i/>
        </w:rPr>
        <w:t xml:space="preserve">Footnotes 2, 6 and 7 of the Notes to the Consolidated Financial Statements </w:t>
      </w:r>
      <w:r>
        <w:t>for further</w:t>
      </w:r>
      <w:r>
        <w:rPr>
          <w:spacing w:val="-20"/>
        </w:rPr>
        <w:t xml:space="preserve"> </w:t>
      </w:r>
      <w:r>
        <w:t>information.</w:t>
      </w:r>
    </w:p>
    <w:p w14:paraId="7326BED0" w14:textId="77777777" w:rsidR="00EF3DFB" w:rsidRDefault="00EF3DFB">
      <w:pPr>
        <w:pStyle w:val="BodyText"/>
        <w:spacing w:before="1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075"/>
        <w:gridCol w:w="1136"/>
        <w:gridCol w:w="2372"/>
        <w:gridCol w:w="1035"/>
      </w:tblGrid>
      <w:tr w:rsidR="00EF3DFB" w14:paraId="7326BED7" w14:textId="77777777">
        <w:trPr>
          <w:trHeight w:val="672"/>
        </w:trPr>
        <w:tc>
          <w:tcPr>
            <w:tcW w:w="6075" w:type="dxa"/>
          </w:tcPr>
          <w:p w14:paraId="7326BED1" w14:textId="77777777" w:rsidR="00EF3DFB" w:rsidRDefault="00D27C17">
            <w:pPr>
              <w:pStyle w:val="TableParagraph"/>
              <w:spacing w:line="221" w:lineRule="exact"/>
              <w:rPr>
                <w:b/>
                <w:sz w:val="20"/>
              </w:rPr>
            </w:pPr>
            <w:r>
              <w:rPr>
                <w:b/>
                <w:sz w:val="20"/>
              </w:rPr>
              <w:t>Home So</w:t>
            </w:r>
            <w:r>
              <w:rPr>
                <w:b/>
                <w:sz w:val="20"/>
              </w:rPr>
              <w:t>lutions</w:t>
            </w:r>
          </w:p>
        </w:tc>
        <w:tc>
          <w:tcPr>
            <w:tcW w:w="1136" w:type="dxa"/>
            <w:tcBorders>
              <w:bottom w:val="single" w:sz="8" w:space="0" w:color="000000"/>
            </w:tcBorders>
          </w:tcPr>
          <w:p w14:paraId="7326BED2" w14:textId="77777777" w:rsidR="00EF3DFB" w:rsidRDefault="00EF3DFB">
            <w:pPr>
              <w:pStyle w:val="TableParagraph"/>
              <w:rPr>
                <w:sz w:val="18"/>
              </w:rPr>
            </w:pPr>
          </w:p>
        </w:tc>
        <w:tc>
          <w:tcPr>
            <w:tcW w:w="2372" w:type="dxa"/>
            <w:tcBorders>
              <w:bottom w:val="single" w:sz="8" w:space="0" w:color="000000"/>
            </w:tcBorders>
          </w:tcPr>
          <w:p w14:paraId="7326BED3" w14:textId="77777777" w:rsidR="00EF3DFB" w:rsidRDefault="00EF3DFB">
            <w:pPr>
              <w:pStyle w:val="TableParagraph"/>
              <w:rPr>
                <w:sz w:val="18"/>
              </w:rPr>
            </w:pPr>
          </w:p>
          <w:p w14:paraId="7326BED4" w14:textId="77777777" w:rsidR="00EF3DFB" w:rsidRDefault="00EF3DFB">
            <w:pPr>
              <w:pStyle w:val="TableParagraph"/>
              <w:spacing w:before="9"/>
            </w:pPr>
          </w:p>
          <w:p w14:paraId="7326BED5" w14:textId="77777777" w:rsidR="00EF3DFB" w:rsidRDefault="00D27C17">
            <w:pPr>
              <w:pStyle w:val="TableParagraph"/>
              <w:spacing w:line="184" w:lineRule="exact"/>
              <w:ind w:left="228"/>
              <w:rPr>
                <w:b/>
                <w:sz w:val="16"/>
              </w:rPr>
            </w:pPr>
            <w:r>
              <w:rPr>
                <w:b/>
                <w:sz w:val="16"/>
              </w:rPr>
              <w:t>Years Ended December 31,</w:t>
            </w:r>
          </w:p>
        </w:tc>
        <w:tc>
          <w:tcPr>
            <w:tcW w:w="1035" w:type="dxa"/>
            <w:tcBorders>
              <w:bottom w:val="single" w:sz="8" w:space="0" w:color="000000"/>
            </w:tcBorders>
          </w:tcPr>
          <w:p w14:paraId="7326BED6" w14:textId="77777777" w:rsidR="00EF3DFB" w:rsidRDefault="00EF3DFB">
            <w:pPr>
              <w:pStyle w:val="TableParagraph"/>
              <w:rPr>
                <w:sz w:val="18"/>
              </w:rPr>
            </w:pPr>
          </w:p>
        </w:tc>
      </w:tr>
      <w:tr w:rsidR="00EF3DFB" w14:paraId="7326BEDC" w14:textId="77777777">
        <w:trPr>
          <w:trHeight w:val="295"/>
        </w:trPr>
        <w:tc>
          <w:tcPr>
            <w:tcW w:w="6075" w:type="dxa"/>
          </w:tcPr>
          <w:p w14:paraId="7326BED8" w14:textId="77777777" w:rsidR="00EF3DFB" w:rsidRDefault="00D27C17">
            <w:pPr>
              <w:pStyle w:val="TableParagraph"/>
              <w:spacing w:before="45" w:line="230" w:lineRule="exact"/>
              <w:ind w:left="52"/>
              <w:rPr>
                <w:sz w:val="20"/>
              </w:rPr>
            </w:pPr>
            <w:r>
              <w:rPr>
                <w:sz w:val="20"/>
              </w:rPr>
              <w:t>(in millions)</w:t>
            </w:r>
          </w:p>
        </w:tc>
        <w:tc>
          <w:tcPr>
            <w:tcW w:w="1136" w:type="dxa"/>
            <w:tcBorders>
              <w:top w:val="single" w:sz="8" w:space="0" w:color="000000"/>
              <w:bottom w:val="single" w:sz="8" w:space="0" w:color="000000"/>
            </w:tcBorders>
          </w:tcPr>
          <w:p w14:paraId="7326BED9" w14:textId="77777777" w:rsidR="00EF3DFB" w:rsidRDefault="00D27C17">
            <w:pPr>
              <w:pStyle w:val="TableParagraph"/>
              <w:spacing w:before="91" w:line="184" w:lineRule="exact"/>
              <w:ind w:left="360" w:right="415"/>
              <w:jc w:val="center"/>
              <w:rPr>
                <w:b/>
                <w:sz w:val="16"/>
              </w:rPr>
            </w:pPr>
            <w:r>
              <w:rPr>
                <w:b/>
                <w:sz w:val="16"/>
              </w:rPr>
              <w:t>2019</w:t>
            </w:r>
          </w:p>
        </w:tc>
        <w:tc>
          <w:tcPr>
            <w:tcW w:w="2372" w:type="dxa"/>
            <w:tcBorders>
              <w:top w:val="single" w:sz="8" w:space="0" w:color="000000"/>
              <w:bottom w:val="single" w:sz="8" w:space="0" w:color="000000"/>
            </w:tcBorders>
          </w:tcPr>
          <w:p w14:paraId="7326BEDA" w14:textId="77777777" w:rsidR="00EF3DFB" w:rsidRDefault="00D27C17">
            <w:pPr>
              <w:pStyle w:val="TableParagraph"/>
              <w:tabs>
                <w:tab w:val="left" w:pos="1391"/>
              </w:tabs>
              <w:spacing w:before="91" w:line="184" w:lineRule="exact"/>
              <w:ind w:left="398"/>
              <w:rPr>
                <w:b/>
                <w:sz w:val="16"/>
              </w:rPr>
            </w:pPr>
            <w:r>
              <w:rPr>
                <w:b/>
                <w:sz w:val="16"/>
              </w:rPr>
              <w:t>2018</w:t>
            </w:r>
            <w:r>
              <w:rPr>
                <w:b/>
                <w:sz w:val="16"/>
              </w:rPr>
              <w:tab/>
              <w:t>$</w:t>
            </w:r>
            <w:r>
              <w:rPr>
                <w:b/>
                <w:spacing w:val="-1"/>
                <w:sz w:val="16"/>
              </w:rPr>
              <w:t xml:space="preserve"> </w:t>
            </w:r>
            <w:r>
              <w:rPr>
                <w:b/>
                <w:sz w:val="16"/>
              </w:rPr>
              <w:t>Change</w:t>
            </w:r>
          </w:p>
        </w:tc>
        <w:tc>
          <w:tcPr>
            <w:tcW w:w="1035" w:type="dxa"/>
            <w:tcBorders>
              <w:top w:val="single" w:sz="8" w:space="0" w:color="000000"/>
              <w:bottom w:val="single" w:sz="8" w:space="0" w:color="000000"/>
            </w:tcBorders>
          </w:tcPr>
          <w:p w14:paraId="7326BEDB" w14:textId="77777777" w:rsidR="00EF3DFB" w:rsidRDefault="00D27C17">
            <w:pPr>
              <w:pStyle w:val="TableParagraph"/>
              <w:spacing w:before="91" w:line="184" w:lineRule="exact"/>
              <w:ind w:left="116" w:right="154"/>
              <w:jc w:val="center"/>
              <w:rPr>
                <w:b/>
                <w:sz w:val="16"/>
              </w:rPr>
            </w:pPr>
            <w:r>
              <w:rPr>
                <w:b/>
                <w:sz w:val="16"/>
              </w:rPr>
              <w:t>% Change</w:t>
            </w:r>
          </w:p>
        </w:tc>
      </w:tr>
      <w:tr w:rsidR="00EF3DFB" w14:paraId="7326BEE1" w14:textId="77777777">
        <w:trPr>
          <w:trHeight w:val="290"/>
        </w:trPr>
        <w:tc>
          <w:tcPr>
            <w:tcW w:w="6075" w:type="dxa"/>
            <w:shd w:val="clear" w:color="auto" w:fill="CCEDFF"/>
          </w:tcPr>
          <w:p w14:paraId="7326BEDD" w14:textId="77777777" w:rsidR="00EF3DFB" w:rsidRDefault="00D27C17">
            <w:pPr>
              <w:pStyle w:val="TableParagraph"/>
              <w:spacing w:before="30"/>
              <w:ind w:left="52"/>
              <w:rPr>
                <w:sz w:val="20"/>
              </w:rPr>
            </w:pPr>
            <w:r>
              <w:rPr>
                <w:sz w:val="20"/>
              </w:rPr>
              <w:t>Net sales</w:t>
            </w:r>
          </w:p>
        </w:tc>
        <w:tc>
          <w:tcPr>
            <w:tcW w:w="1136" w:type="dxa"/>
            <w:tcBorders>
              <w:top w:val="single" w:sz="8" w:space="0" w:color="000000"/>
            </w:tcBorders>
            <w:shd w:val="clear" w:color="auto" w:fill="CCEDFF"/>
          </w:tcPr>
          <w:p w14:paraId="7326BEDE" w14:textId="77777777" w:rsidR="00EF3DFB" w:rsidRDefault="00D27C17">
            <w:pPr>
              <w:pStyle w:val="TableParagraph"/>
              <w:tabs>
                <w:tab w:val="left" w:pos="381"/>
              </w:tabs>
              <w:spacing w:before="30"/>
              <w:ind w:left="52"/>
              <w:rPr>
                <w:sz w:val="20"/>
              </w:rPr>
            </w:pPr>
            <w:r>
              <w:rPr>
                <w:sz w:val="20"/>
              </w:rPr>
              <w:t>$</w:t>
            </w:r>
            <w:r>
              <w:rPr>
                <w:sz w:val="20"/>
              </w:rPr>
              <w:tab/>
              <w:t>1,875</w:t>
            </w:r>
          </w:p>
        </w:tc>
        <w:tc>
          <w:tcPr>
            <w:tcW w:w="2372" w:type="dxa"/>
            <w:tcBorders>
              <w:top w:val="single" w:sz="8" w:space="0" w:color="000000"/>
            </w:tcBorders>
            <w:shd w:val="clear" w:color="auto" w:fill="CCEDFF"/>
          </w:tcPr>
          <w:p w14:paraId="7326BEDF" w14:textId="77777777" w:rsidR="00EF3DFB" w:rsidRDefault="00D27C17">
            <w:pPr>
              <w:pStyle w:val="TableParagraph"/>
              <w:tabs>
                <w:tab w:val="left" w:pos="400"/>
                <w:tab w:val="left" w:pos="1226"/>
                <w:tab w:val="left" w:pos="1905"/>
              </w:tabs>
              <w:spacing w:before="30"/>
              <w:ind w:left="71"/>
              <w:rPr>
                <w:sz w:val="20"/>
              </w:rPr>
            </w:pPr>
            <w:r>
              <w:rPr>
                <w:sz w:val="20"/>
              </w:rPr>
              <w:t>$</w:t>
            </w:r>
            <w:r>
              <w:rPr>
                <w:sz w:val="20"/>
              </w:rPr>
              <w:tab/>
              <w:t>1,935</w:t>
            </w:r>
            <w:r>
              <w:rPr>
                <w:sz w:val="20"/>
              </w:rPr>
              <w:tab/>
              <w:t>$</w:t>
            </w:r>
            <w:r>
              <w:rPr>
                <w:sz w:val="20"/>
              </w:rPr>
              <w:tab/>
              <w:t>(60)</w:t>
            </w:r>
          </w:p>
        </w:tc>
        <w:tc>
          <w:tcPr>
            <w:tcW w:w="1035" w:type="dxa"/>
            <w:tcBorders>
              <w:top w:val="single" w:sz="8" w:space="0" w:color="000000"/>
            </w:tcBorders>
            <w:shd w:val="clear" w:color="auto" w:fill="CCEDFF"/>
          </w:tcPr>
          <w:p w14:paraId="7326BEE0" w14:textId="77777777" w:rsidR="00EF3DFB" w:rsidRDefault="00D27C17">
            <w:pPr>
              <w:pStyle w:val="TableParagraph"/>
              <w:spacing w:before="30"/>
              <w:ind w:left="116" w:right="117"/>
              <w:jc w:val="center"/>
              <w:rPr>
                <w:sz w:val="20"/>
              </w:rPr>
            </w:pPr>
            <w:r>
              <w:rPr>
                <w:sz w:val="20"/>
              </w:rPr>
              <w:t>(3.1)%</w:t>
            </w:r>
          </w:p>
        </w:tc>
      </w:tr>
      <w:tr w:rsidR="00EF3DFB" w14:paraId="7326BEE6" w14:textId="77777777">
        <w:trPr>
          <w:trHeight w:val="300"/>
        </w:trPr>
        <w:tc>
          <w:tcPr>
            <w:tcW w:w="6075" w:type="dxa"/>
          </w:tcPr>
          <w:p w14:paraId="7326BEE2" w14:textId="77777777" w:rsidR="00EF3DFB" w:rsidRDefault="00EF3DFB">
            <w:pPr>
              <w:pStyle w:val="TableParagraph"/>
              <w:rPr>
                <w:sz w:val="18"/>
              </w:rPr>
            </w:pPr>
          </w:p>
        </w:tc>
        <w:tc>
          <w:tcPr>
            <w:tcW w:w="1136" w:type="dxa"/>
          </w:tcPr>
          <w:p w14:paraId="7326BEE3" w14:textId="77777777" w:rsidR="00EF3DFB" w:rsidRDefault="00EF3DFB">
            <w:pPr>
              <w:pStyle w:val="TableParagraph"/>
              <w:rPr>
                <w:sz w:val="18"/>
              </w:rPr>
            </w:pPr>
          </w:p>
        </w:tc>
        <w:tc>
          <w:tcPr>
            <w:tcW w:w="2372" w:type="dxa"/>
          </w:tcPr>
          <w:p w14:paraId="7326BEE4" w14:textId="77777777" w:rsidR="00EF3DFB" w:rsidRDefault="00EF3DFB">
            <w:pPr>
              <w:pStyle w:val="TableParagraph"/>
              <w:rPr>
                <w:sz w:val="18"/>
              </w:rPr>
            </w:pPr>
          </w:p>
        </w:tc>
        <w:tc>
          <w:tcPr>
            <w:tcW w:w="1035" w:type="dxa"/>
          </w:tcPr>
          <w:p w14:paraId="7326BEE5" w14:textId="77777777" w:rsidR="00EF3DFB" w:rsidRDefault="00EF3DFB">
            <w:pPr>
              <w:pStyle w:val="TableParagraph"/>
              <w:rPr>
                <w:sz w:val="18"/>
              </w:rPr>
            </w:pPr>
          </w:p>
        </w:tc>
      </w:tr>
      <w:tr w:rsidR="00EF3DFB" w14:paraId="7326BEEB" w14:textId="77777777">
        <w:trPr>
          <w:trHeight w:val="300"/>
        </w:trPr>
        <w:tc>
          <w:tcPr>
            <w:tcW w:w="6075" w:type="dxa"/>
            <w:shd w:val="clear" w:color="auto" w:fill="CCEDFF"/>
          </w:tcPr>
          <w:p w14:paraId="7326BEE7" w14:textId="77777777" w:rsidR="00EF3DFB" w:rsidRDefault="00D27C17">
            <w:pPr>
              <w:pStyle w:val="TableParagraph"/>
              <w:spacing w:before="40"/>
              <w:ind w:left="52"/>
              <w:rPr>
                <w:sz w:val="20"/>
              </w:rPr>
            </w:pPr>
            <w:r>
              <w:rPr>
                <w:sz w:val="20"/>
              </w:rPr>
              <w:t>Operating loss</w:t>
            </w:r>
          </w:p>
        </w:tc>
        <w:tc>
          <w:tcPr>
            <w:tcW w:w="1136" w:type="dxa"/>
            <w:shd w:val="clear" w:color="auto" w:fill="CCEDFF"/>
          </w:tcPr>
          <w:p w14:paraId="7326BEE8" w14:textId="77777777" w:rsidR="00EF3DFB" w:rsidRDefault="00D27C17">
            <w:pPr>
              <w:pStyle w:val="TableParagraph"/>
              <w:spacing w:before="40"/>
              <w:ind w:left="565"/>
              <w:rPr>
                <w:sz w:val="20"/>
              </w:rPr>
            </w:pPr>
            <w:r>
              <w:rPr>
                <w:sz w:val="20"/>
              </w:rPr>
              <w:t>(17)</w:t>
            </w:r>
          </w:p>
        </w:tc>
        <w:tc>
          <w:tcPr>
            <w:tcW w:w="2372" w:type="dxa"/>
            <w:shd w:val="clear" w:color="auto" w:fill="CCEDFF"/>
          </w:tcPr>
          <w:p w14:paraId="7326BEE9" w14:textId="77777777" w:rsidR="00EF3DFB" w:rsidRDefault="00D27C17">
            <w:pPr>
              <w:pStyle w:val="TableParagraph"/>
              <w:tabs>
                <w:tab w:val="left" w:pos="1722"/>
              </w:tabs>
              <w:spacing w:before="40"/>
              <w:ind w:left="334"/>
              <w:rPr>
                <w:sz w:val="20"/>
              </w:rPr>
            </w:pPr>
            <w:r>
              <w:rPr>
                <w:sz w:val="20"/>
              </w:rPr>
              <w:t>(4,270)</w:t>
            </w:r>
            <w:r>
              <w:rPr>
                <w:sz w:val="20"/>
              </w:rPr>
              <w:tab/>
              <w:t>4,253</w:t>
            </w:r>
          </w:p>
        </w:tc>
        <w:tc>
          <w:tcPr>
            <w:tcW w:w="1035" w:type="dxa"/>
            <w:shd w:val="clear" w:color="auto" w:fill="CCEDFF"/>
          </w:tcPr>
          <w:p w14:paraId="7326BEEA" w14:textId="77777777" w:rsidR="00EF3DFB" w:rsidRDefault="00D27C17">
            <w:pPr>
              <w:pStyle w:val="TableParagraph"/>
              <w:spacing w:before="40"/>
              <w:ind w:left="116" w:right="117"/>
              <w:jc w:val="center"/>
              <w:rPr>
                <w:sz w:val="20"/>
              </w:rPr>
            </w:pPr>
            <w:r>
              <w:rPr>
                <w:sz w:val="20"/>
              </w:rPr>
              <w:t>99.6%</w:t>
            </w:r>
          </w:p>
        </w:tc>
      </w:tr>
      <w:tr w:rsidR="00EF3DFB" w14:paraId="7326BEF0" w14:textId="77777777">
        <w:trPr>
          <w:trHeight w:val="300"/>
        </w:trPr>
        <w:tc>
          <w:tcPr>
            <w:tcW w:w="6075" w:type="dxa"/>
          </w:tcPr>
          <w:p w14:paraId="7326BEEC" w14:textId="77777777" w:rsidR="00EF3DFB" w:rsidRDefault="00D27C17">
            <w:pPr>
              <w:pStyle w:val="TableParagraph"/>
              <w:spacing w:before="40"/>
              <w:ind w:left="412"/>
              <w:rPr>
                <w:i/>
                <w:sz w:val="20"/>
              </w:rPr>
            </w:pPr>
            <w:r>
              <w:rPr>
                <w:i/>
                <w:sz w:val="20"/>
              </w:rPr>
              <w:t>Operating margin</w:t>
            </w:r>
          </w:p>
        </w:tc>
        <w:tc>
          <w:tcPr>
            <w:tcW w:w="1136" w:type="dxa"/>
          </w:tcPr>
          <w:p w14:paraId="7326BEED" w14:textId="77777777" w:rsidR="00EF3DFB" w:rsidRDefault="00D27C17">
            <w:pPr>
              <w:pStyle w:val="TableParagraph"/>
              <w:spacing w:before="40"/>
              <w:ind w:left="515"/>
              <w:rPr>
                <w:i/>
                <w:sz w:val="20"/>
              </w:rPr>
            </w:pPr>
            <w:r>
              <w:rPr>
                <w:i/>
                <w:sz w:val="20"/>
              </w:rPr>
              <w:t>(0.9)%</w:t>
            </w:r>
          </w:p>
        </w:tc>
        <w:tc>
          <w:tcPr>
            <w:tcW w:w="2372" w:type="dxa"/>
          </w:tcPr>
          <w:p w14:paraId="7326BEEE" w14:textId="77777777" w:rsidR="00EF3DFB" w:rsidRDefault="00D27C17">
            <w:pPr>
              <w:pStyle w:val="TableParagraph"/>
              <w:spacing w:before="40"/>
              <w:ind w:left="334"/>
              <w:rPr>
                <w:i/>
                <w:sz w:val="20"/>
              </w:rPr>
            </w:pPr>
            <w:r>
              <w:rPr>
                <w:i/>
                <w:sz w:val="20"/>
              </w:rPr>
              <w:t>(220.7)%</w:t>
            </w:r>
          </w:p>
        </w:tc>
        <w:tc>
          <w:tcPr>
            <w:tcW w:w="1035" w:type="dxa"/>
          </w:tcPr>
          <w:p w14:paraId="7326BEEF" w14:textId="77777777" w:rsidR="00EF3DFB" w:rsidRDefault="00EF3DFB">
            <w:pPr>
              <w:pStyle w:val="TableParagraph"/>
              <w:rPr>
                <w:sz w:val="18"/>
              </w:rPr>
            </w:pPr>
          </w:p>
        </w:tc>
      </w:tr>
      <w:tr w:rsidR="00EF3DFB" w14:paraId="7326BEF5" w14:textId="77777777">
        <w:trPr>
          <w:trHeight w:val="300"/>
        </w:trPr>
        <w:tc>
          <w:tcPr>
            <w:tcW w:w="6075" w:type="dxa"/>
            <w:shd w:val="clear" w:color="auto" w:fill="CCEDFF"/>
          </w:tcPr>
          <w:p w14:paraId="7326BEF1" w14:textId="77777777" w:rsidR="00EF3DFB" w:rsidRDefault="00EF3DFB">
            <w:pPr>
              <w:pStyle w:val="TableParagraph"/>
              <w:rPr>
                <w:sz w:val="18"/>
              </w:rPr>
            </w:pPr>
          </w:p>
        </w:tc>
        <w:tc>
          <w:tcPr>
            <w:tcW w:w="1136" w:type="dxa"/>
            <w:shd w:val="clear" w:color="auto" w:fill="CCEDFF"/>
          </w:tcPr>
          <w:p w14:paraId="7326BEF2" w14:textId="77777777" w:rsidR="00EF3DFB" w:rsidRDefault="00EF3DFB">
            <w:pPr>
              <w:pStyle w:val="TableParagraph"/>
              <w:rPr>
                <w:sz w:val="18"/>
              </w:rPr>
            </w:pPr>
          </w:p>
        </w:tc>
        <w:tc>
          <w:tcPr>
            <w:tcW w:w="2372" w:type="dxa"/>
            <w:shd w:val="clear" w:color="auto" w:fill="CCEDFF"/>
          </w:tcPr>
          <w:p w14:paraId="7326BEF3" w14:textId="77777777" w:rsidR="00EF3DFB" w:rsidRDefault="00EF3DFB">
            <w:pPr>
              <w:pStyle w:val="TableParagraph"/>
              <w:rPr>
                <w:sz w:val="18"/>
              </w:rPr>
            </w:pPr>
          </w:p>
        </w:tc>
        <w:tc>
          <w:tcPr>
            <w:tcW w:w="1035" w:type="dxa"/>
            <w:shd w:val="clear" w:color="auto" w:fill="CCEDFF"/>
          </w:tcPr>
          <w:p w14:paraId="7326BEF4" w14:textId="77777777" w:rsidR="00EF3DFB" w:rsidRDefault="00EF3DFB">
            <w:pPr>
              <w:pStyle w:val="TableParagraph"/>
              <w:rPr>
                <w:sz w:val="18"/>
              </w:rPr>
            </w:pPr>
          </w:p>
        </w:tc>
      </w:tr>
      <w:tr w:rsidR="00EF3DFB" w14:paraId="7326BEFA" w14:textId="77777777">
        <w:trPr>
          <w:trHeight w:val="300"/>
        </w:trPr>
        <w:tc>
          <w:tcPr>
            <w:tcW w:w="6075" w:type="dxa"/>
          </w:tcPr>
          <w:p w14:paraId="7326BEF6" w14:textId="77777777" w:rsidR="00EF3DFB" w:rsidRDefault="00D27C17">
            <w:pPr>
              <w:pStyle w:val="TableParagraph"/>
              <w:spacing w:before="40"/>
              <w:ind w:left="52"/>
              <w:rPr>
                <w:b/>
                <w:sz w:val="20"/>
              </w:rPr>
            </w:pPr>
            <w:r>
              <w:rPr>
                <w:b/>
                <w:sz w:val="20"/>
              </w:rPr>
              <w:t>Notable items impacting operating loss comparability:</w:t>
            </w:r>
          </w:p>
        </w:tc>
        <w:tc>
          <w:tcPr>
            <w:tcW w:w="1136" w:type="dxa"/>
          </w:tcPr>
          <w:p w14:paraId="7326BEF7" w14:textId="77777777" w:rsidR="00EF3DFB" w:rsidRDefault="00EF3DFB">
            <w:pPr>
              <w:pStyle w:val="TableParagraph"/>
              <w:rPr>
                <w:sz w:val="18"/>
              </w:rPr>
            </w:pPr>
          </w:p>
        </w:tc>
        <w:tc>
          <w:tcPr>
            <w:tcW w:w="2372" w:type="dxa"/>
          </w:tcPr>
          <w:p w14:paraId="7326BEF8" w14:textId="77777777" w:rsidR="00EF3DFB" w:rsidRDefault="00EF3DFB">
            <w:pPr>
              <w:pStyle w:val="TableParagraph"/>
              <w:rPr>
                <w:sz w:val="18"/>
              </w:rPr>
            </w:pPr>
          </w:p>
        </w:tc>
        <w:tc>
          <w:tcPr>
            <w:tcW w:w="1035" w:type="dxa"/>
          </w:tcPr>
          <w:p w14:paraId="7326BEF9" w14:textId="77777777" w:rsidR="00EF3DFB" w:rsidRDefault="00EF3DFB">
            <w:pPr>
              <w:pStyle w:val="TableParagraph"/>
              <w:rPr>
                <w:sz w:val="18"/>
              </w:rPr>
            </w:pPr>
          </w:p>
        </w:tc>
      </w:tr>
      <w:tr w:rsidR="00EF3DFB" w14:paraId="7326BEFF" w14:textId="77777777">
        <w:trPr>
          <w:trHeight w:val="300"/>
        </w:trPr>
        <w:tc>
          <w:tcPr>
            <w:tcW w:w="6075" w:type="dxa"/>
            <w:shd w:val="clear" w:color="auto" w:fill="CCEDFF"/>
          </w:tcPr>
          <w:p w14:paraId="7326BEFB" w14:textId="77777777" w:rsidR="00EF3DFB" w:rsidRDefault="00D27C17">
            <w:pPr>
              <w:pStyle w:val="TableParagraph"/>
              <w:spacing w:before="40"/>
              <w:ind w:left="52"/>
              <w:rPr>
                <w:sz w:val="20"/>
              </w:rPr>
            </w:pPr>
            <w:r>
              <w:rPr>
                <w:sz w:val="20"/>
              </w:rPr>
              <w:t>Impairment of goodwill and other intangible assets (See Footnote 7)</w:t>
            </w:r>
          </w:p>
        </w:tc>
        <w:tc>
          <w:tcPr>
            <w:tcW w:w="1136" w:type="dxa"/>
            <w:shd w:val="clear" w:color="auto" w:fill="CCEDFF"/>
          </w:tcPr>
          <w:p w14:paraId="7326BEFC" w14:textId="77777777" w:rsidR="00EF3DFB" w:rsidRDefault="00D27C17">
            <w:pPr>
              <w:pStyle w:val="TableParagraph"/>
              <w:tabs>
                <w:tab w:val="left" w:pos="531"/>
              </w:tabs>
              <w:spacing w:before="40"/>
              <w:ind w:left="52"/>
              <w:rPr>
                <w:sz w:val="20"/>
              </w:rPr>
            </w:pPr>
            <w:r>
              <w:rPr>
                <w:sz w:val="20"/>
              </w:rPr>
              <w:t>$</w:t>
            </w:r>
            <w:r>
              <w:rPr>
                <w:sz w:val="20"/>
              </w:rPr>
              <w:tab/>
              <w:t>158</w:t>
            </w:r>
          </w:p>
        </w:tc>
        <w:tc>
          <w:tcPr>
            <w:tcW w:w="2372" w:type="dxa"/>
            <w:shd w:val="clear" w:color="auto" w:fill="CCEDFF"/>
          </w:tcPr>
          <w:p w14:paraId="7326BEFD" w14:textId="77777777" w:rsidR="00EF3DFB" w:rsidRDefault="00D27C17">
            <w:pPr>
              <w:pStyle w:val="TableParagraph"/>
              <w:tabs>
                <w:tab w:val="left" w:pos="400"/>
                <w:tab w:val="left" w:pos="1226"/>
                <w:tab w:val="left" w:pos="1655"/>
              </w:tabs>
              <w:spacing w:before="40"/>
              <w:ind w:left="71"/>
              <w:rPr>
                <w:sz w:val="20"/>
              </w:rPr>
            </w:pPr>
            <w:r>
              <w:rPr>
                <w:sz w:val="20"/>
              </w:rPr>
              <w:t>$</w:t>
            </w:r>
            <w:r>
              <w:rPr>
                <w:sz w:val="20"/>
              </w:rPr>
              <w:tab/>
              <w:t>4,406</w:t>
            </w:r>
            <w:r>
              <w:rPr>
                <w:sz w:val="20"/>
              </w:rPr>
              <w:tab/>
              <w:t>$</w:t>
            </w:r>
            <w:r>
              <w:rPr>
                <w:sz w:val="20"/>
              </w:rPr>
              <w:tab/>
              <w:t>(4,248)</w:t>
            </w:r>
          </w:p>
        </w:tc>
        <w:tc>
          <w:tcPr>
            <w:tcW w:w="1035" w:type="dxa"/>
            <w:shd w:val="clear" w:color="auto" w:fill="CCEDFF"/>
          </w:tcPr>
          <w:p w14:paraId="7326BEFE" w14:textId="77777777" w:rsidR="00EF3DFB" w:rsidRDefault="00EF3DFB">
            <w:pPr>
              <w:pStyle w:val="TableParagraph"/>
              <w:rPr>
                <w:sz w:val="18"/>
              </w:rPr>
            </w:pPr>
          </w:p>
        </w:tc>
      </w:tr>
    </w:tbl>
    <w:p w14:paraId="7326BF00" w14:textId="77777777" w:rsidR="00EF3DFB" w:rsidRDefault="00EF3DFB">
      <w:pPr>
        <w:pStyle w:val="BodyText"/>
        <w:spacing w:before="4"/>
        <w:rPr>
          <w:sz w:val="25"/>
        </w:rPr>
      </w:pPr>
    </w:p>
    <w:p w14:paraId="7326BF01" w14:textId="77777777" w:rsidR="00EF3DFB" w:rsidRDefault="00D27C17">
      <w:pPr>
        <w:pStyle w:val="BodyText"/>
        <w:spacing w:line="249" w:lineRule="auto"/>
        <w:ind w:left="190" w:right="167"/>
        <w:jc w:val="both"/>
      </w:pPr>
      <w:r>
        <w:t>Home Solutions net sales for 2019 decreased 3% primarily due to decline in the Food business unit, in part due to volume declines at certain major retailers and softness in the fresh preserving and food storage categories, partially offset by growth in sal</w:t>
      </w:r>
      <w:r>
        <w:t>es from Sistema</w:t>
      </w:r>
      <w:r>
        <w:rPr>
          <w:spacing w:val="16"/>
        </w:rPr>
        <w:t xml:space="preserve"> </w:t>
      </w:r>
      <w:r>
        <w:t>products.</w:t>
      </w:r>
      <w:r>
        <w:rPr>
          <w:spacing w:val="16"/>
        </w:rPr>
        <w:t xml:space="preserve"> </w:t>
      </w:r>
      <w:r>
        <w:t>Net</w:t>
      </w:r>
      <w:r>
        <w:rPr>
          <w:spacing w:val="16"/>
        </w:rPr>
        <w:t xml:space="preserve"> </w:t>
      </w:r>
      <w:r>
        <w:t>sales</w:t>
      </w:r>
      <w:r>
        <w:rPr>
          <w:spacing w:val="16"/>
        </w:rPr>
        <w:t xml:space="preserve"> </w:t>
      </w:r>
      <w:r>
        <w:t>declined</w:t>
      </w:r>
      <w:r>
        <w:rPr>
          <w:spacing w:val="16"/>
        </w:rPr>
        <w:t xml:space="preserve"> </w:t>
      </w:r>
      <w:r>
        <w:t>in</w:t>
      </w:r>
      <w:r>
        <w:rPr>
          <w:spacing w:val="16"/>
        </w:rPr>
        <w:t xml:space="preserve"> </w:t>
      </w:r>
      <w:r>
        <w:t>the</w:t>
      </w:r>
      <w:r>
        <w:rPr>
          <w:spacing w:val="16"/>
        </w:rPr>
        <w:t xml:space="preserve"> </w:t>
      </w:r>
      <w:r>
        <w:t>Home</w:t>
      </w:r>
      <w:r>
        <w:rPr>
          <w:spacing w:val="16"/>
        </w:rPr>
        <w:t xml:space="preserve"> </w:t>
      </w:r>
      <w:r>
        <w:t>Fragrance</w:t>
      </w:r>
      <w:r>
        <w:rPr>
          <w:spacing w:val="16"/>
        </w:rPr>
        <w:t xml:space="preserve"> </w:t>
      </w:r>
      <w:r>
        <w:t>business</w:t>
      </w:r>
      <w:r>
        <w:rPr>
          <w:spacing w:val="16"/>
        </w:rPr>
        <w:t xml:space="preserve"> </w:t>
      </w:r>
      <w:r>
        <w:t>unit</w:t>
      </w:r>
      <w:r>
        <w:rPr>
          <w:spacing w:val="16"/>
        </w:rPr>
        <w:t xml:space="preserve"> </w:t>
      </w:r>
      <w:r>
        <w:t>due</w:t>
      </w:r>
      <w:r>
        <w:rPr>
          <w:spacing w:val="16"/>
        </w:rPr>
        <w:t xml:space="preserve"> </w:t>
      </w:r>
      <w:r>
        <w:t>to</w:t>
      </w:r>
      <w:r>
        <w:rPr>
          <w:spacing w:val="16"/>
        </w:rPr>
        <w:t xml:space="preserve"> </w:t>
      </w:r>
      <w:r>
        <w:t>the</w:t>
      </w:r>
      <w:r>
        <w:rPr>
          <w:spacing w:val="16"/>
        </w:rPr>
        <w:t xml:space="preserve"> </w:t>
      </w:r>
      <w:r>
        <w:t>exit</w:t>
      </w:r>
      <w:r>
        <w:rPr>
          <w:spacing w:val="16"/>
        </w:rPr>
        <w:t xml:space="preserve"> </w:t>
      </w:r>
      <w:r>
        <w:t>of</w:t>
      </w:r>
      <w:r>
        <w:rPr>
          <w:spacing w:val="16"/>
        </w:rPr>
        <w:t xml:space="preserve"> </w:t>
      </w:r>
      <w:r>
        <w:t>75</w:t>
      </w:r>
      <w:r>
        <w:rPr>
          <w:spacing w:val="16"/>
        </w:rPr>
        <w:t xml:space="preserve"> </w:t>
      </w:r>
      <w:r>
        <w:t>underperforming</w:t>
      </w:r>
      <w:r>
        <w:rPr>
          <w:spacing w:val="16"/>
        </w:rPr>
        <w:t xml:space="preserve"> </w:t>
      </w:r>
      <w:r>
        <w:t>Yankee</w:t>
      </w:r>
      <w:r>
        <w:rPr>
          <w:spacing w:val="16"/>
        </w:rPr>
        <w:t xml:space="preserve"> </w:t>
      </w:r>
      <w:r>
        <w:t>Candle</w:t>
      </w:r>
    </w:p>
    <w:p w14:paraId="7326BF02" w14:textId="77777777" w:rsidR="00EF3DFB" w:rsidRDefault="00EF3DFB">
      <w:pPr>
        <w:spacing w:line="249" w:lineRule="auto"/>
        <w:jc w:val="both"/>
        <w:sectPr w:rsidR="00EF3DFB">
          <w:pgSz w:w="12240" w:h="15840"/>
          <w:pgMar w:top="600" w:right="640" w:bottom="480" w:left="620" w:header="0" w:footer="291" w:gutter="0"/>
          <w:cols w:space="720"/>
        </w:sectPr>
      </w:pPr>
    </w:p>
    <w:p w14:paraId="7326BF03" w14:textId="77777777" w:rsidR="00EF3DFB" w:rsidRDefault="00D27C17">
      <w:pPr>
        <w:pStyle w:val="BodyText"/>
        <w:spacing w:before="72"/>
        <w:ind w:left="190"/>
      </w:pPr>
      <w:r>
        <w:lastRenderedPageBreak/>
        <w:t>retail stores, partially offset by growth in Europe. Changes in foreign currency exchange rates unfavorably i</w:t>
      </w:r>
      <w:r>
        <w:t>mpacted net sales by</w:t>
      </w:r>
    </w:p>
    <w:p w14:paraId="7326BF04" w14:textId="77777777" w:rsidR="00EF3DFB" w:rsidRDefault="00D27C17">
      <w:pPr>
        <w:pStyle w:val="BodyText"/>
        <w:spacing w:before="10"/>
        <w:ind w:left="190"/>
      </w:pPr>
      <w:r>
        <w:t>$20 million, or 1%.</w:t>
      </w:r>
    </w:p>
    <w:p w14:paraId="7326BF05" w14:textId="77777777" w:rsidR="00EF3DFB" w:rsidRDefault="00EF3DFB">
      <w:pPr>
        <w:pStyle w:val="BodyText"/>
        <w:spacing w:before="8"/>
        <w:rPr>
          <w:sz w:val="21"/>
        </w:rPr>
      </w:pPr>
    </w:p>
    <w:p w14:paraId="7326BF06" w14:textId="77777777" w:rsidR="00EF3DFB" w:rsidRDefault="00D27C17">
      <w:pPr>
        <w:pStyle w:val="BodyText"/>
        <w:spacing w:line="249" w:lineRule="auto"/>
        <w:ind w:left="190" w:right="168"/>
        <w:jc w:val="both"/>
      </w:pPr>
      <w:r>
        <w:t>Operating loss for 2019 was $17 million as compared to $4.3 billion in 2018. Operating loss included non-cash impairment charges of goodwill and certain indefinite-lived intangible assets of $4.4 billion recorded i</w:t>
      </w:r>
      <w:r>
        <w:t>n 2018. This decrease in operating loss and operating margin was also impacted by lower overhead and advertising and promotional costs.</w:t>
      </w:r>
    </w:p>
    <w:p w14:paraId="7326BF07" w14:textId="77777777" w:rsidR="00EF3DFB" w:rsidRDefault="00EF3DFB">
      <w:pPr>
        <w:pStyle w:val="BodyText"/>
        <w:spacing w:before="6"/>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105"/>
        <w:gridCol w:w="1151"/>
        <w:gridCol w:w="2384"/>
        <w:gridCol w:w="980"/>
      </w:tblGrid>
      <w:tr w:rsidR="00EF3DFB" w14:paraId="7326BF0E" w14:textId="77777777">
        <w:trPr>
          <w:trHeight w:val="672"/>
        </w:trPr>
        <w:tc>
          <w:tcPr>
            <w:tcW w:w="6105" w:type="dxa"/>
          </w:tcPr>
          <w:p w14:paraId="7326BF08" w14:textId="77777777" w:rsidR="00EF3DFB" w:rsidRDefault="00D27C17">
            <w:pPr>
              <w:pStyle w:val="TableParagraph"/>
              <w:spacing w:line="221" w:lineRule="exact"/>
              <w:rPr>
                <w:b/>
                <w:sz w:val="20"/>
              </w:rPr>
            </w:pPr>
            <w:r>
              <w:rPr>
                <w:b/>
                <w:sz w:val="20"/>
              </w:rPr>
              <w:t>Learning and Development</w:t>
            </w:r>
          </w:p>
        </w:tc>
        <w:tc>
          <w:tcPr>
            <w:tcW w:w="1151" w:type="dxa"/>
            <w:tcBorders>
              <w:bottom w:val="single" w:sz="8" w:space="0" w:color="000000"/>
            </w:tcBorders>
          </w:tcPr>
          <w:p w14:paraId="7326BF09" w14:textId="77777777" w:rsidR="00EF3DFB" w:rsidRDefault="00EF3DFB">
            <w:pPr>
              <w:pStyle w:val="TableParagraph"/>
              <w:rPr>
                <w:sz w:val="18"/>
              </w:rPr>
            </w:pPr>
          </w:p>
        </w:tc>
        <w:tc>
          <w:tcPr>
            <w:tcW w:w="2384" w:type="dxa"/>
            <w:tcBorders>
              <w:bottom w:val="single" w:sz="8" w:space="0" w:color="000000"/>
            </w:tcBorders>
          </w:tcPr>
          <w:p w14:paraId="7326BF0A" w14:textId="77777777" w:rsidR="00EF3DFB" w:rsidRDefault="00EF3DFB">
            <w:pPr>
              <w:pStyle w:val="TableParagraph"/>
              <w:rPr>
                <w:sz w:val="18"/>
              </w:rPr>
            </w:pPr>
          </w:p>
          <w:p w14:paraId="7326BF0B" w14:textId="77777777" w:rsidR="00EF3DFB" w:rsidRDefault="00EF3DFB">
            <w:pPr>
              <w:pStyle w:val="TableParagraph"/>
              <w:spacing w:before="9"/>
            </w:pPr>
          </w:p>
          <w:p w14:paraId="7326BF0C" w14:textId="77777777" w:rsidR="00EF3DFB" w:rsidRDefault="00D27C17">
            <w:pPr>
              <w:pStyle w:val="TableParagraph"/>
              <w:spacing w:line="184" w:lineRule="exact"/>
              <w:ind w:left="198"/>
              <w:rPr>
                <w:b/>
                <w:sz w:val="16"/>
              </w:rPr>
            </w:pPr>
            <w:r>
              <w:rPr>
                <w:b/>
                <w:sz w:val="16"/>
              </w:rPr>
              <w:t>Years Ended December 31,</w:t>
            </w:r>
          </w:p>
        </w:tc>
        <w:tc>
          <w:tcPr>
            <w:tcW w:w="980" w:type="dxa"/>
            <w:tcBorders>
              <w:bottom w:val="single" w:sz="8" w:space="0" w:color="000000"/>
            </w:tcBorders>
          </w:tcPr>
          <w:p w14:paraId="7326BF0D" w14:textId="77777777" w:rsidR="00EF3DFB" w:rsidRDefault="00EF3DFB">
            <w:pPr>
              <w:pStyle w:val="TableParagraph"/>
              <w:rPr>
                <w:sz w:val="18"/>
              </w:rPr>
            </w:pPr>
          </w:p>
        </w:tc>
      </w:tr>
      <w:tr w:rsidR="00EF3DFB" w14:paraId="7326BF13" w14:textId="77777777">
        <w:trPr>
          <w:trHeight w:val="280"/>
        </w:trPr>
        <w:tc>
          <w:tcPr>
            <w:tcW w:w="6105" w:type="dxa"/>
          </w:tcPr>
          <w:p w14:paraId="7326BF0F" w14:textId="77777777" w:rsidR="00EF3DFB" w:rsidRDefault="00D27C17">
            <w:pPr>
              <w:pStyle w:val="TableParagraph"/>
              <w:spacing w:before="30" w:line="230" w:lineRule="exact"/>
              <w:ind w:left="52"/>
              <w:rPr>
                <w:sz w:val="20"/>
              </w:rPr>
            </w:pPr>
            <w:r>
              <w:rPr>
                <w:sz w:val="20"/>
              </w:rPr>
              <w:t>(in millions)</w:t>
            </w:r>
          </w:p>
        </w:tc>
        <w:tc>
          <w:tcPr>
            <w:tcW w:w="1151" w:type="dxa"/>
            <w:tcBorders>
              <w:top w:val="single" w:sz="8" w:space="0" w:color="000000"/>
              <w:bottom w:val="single" w:sz="8" w:space="0" w:color="000000"/>
            </w:tcBorders>
          </w:tcPr>
          <w:p w14:paraId="7326BF10" w14:textId="77777777" w:rsidR="00EF3DFB" w:rsidRDefault="00D27C17">
            <w:pPr>
              <w:pStyle w:val="TableParagraph"/>
              <w:spacing w:before="76" w:line="184" w:lineRule="exact"/>
              <w:ind w:left="368" w:right="422"/>
              <w:jc w:val="center"/>
              <w:rPr>
                <w:b/>
                <w:sz w:val="16"/>
              </w:rPr>
            </w:pPr>
            <w:r>
              <w:rPr>
                <w:b/>
                <w:sz w:val="16"/>
              </w:rPr>
              <w:t>2019</w:t>
            </w:r>
          </w:p>
        </w:tc>
        <w:tc>
          <w:tcPr>
            <w:tcW w:w="2384" w:type="dxa"/>
            <w:tcBorders>
              <w:top w:val="single" w:sz="8" w:space="0" w:color="000000"/>
              <w:bottom w:val="single" w:sz="8" w:space="0" w:color="000000"/>
            </w:tcBorders>
          </w:tcPr>
          <w:p w14:paraId="7326BF11" w14:textId="77777777" w:rsidR="00EF3DFB" w:rsidRDefault="00D27C17">
            <w:pPr>
              <w:pStyle w:val="TableParagraph"/>
              <w:tabs>
                <w:tab w:val="left" w:pos="1414"/>
              </w:tabs>
              <w:spacing w:before="76" w:line="184" w:lineRule="exact"/>
              <w:ind w:left="406"/>
              <w:rPr>
                <w:b/>
                <w:sz w:val="16"/>
              </w:rPr>
            </w:pPr>
            <w:r>
              <w:rPr>
                <w:b/>
                <w:sz w:val="16"/>
              </w:rPr>
              <w:t>2018</w:t>
            </w:r>
            <w:r>
              <w:rPr>
                <w:b/>
                <w:sz w:val="16"/>
              </w:rPr>
              <w:tab/>
              <w:t>$</w:t>
            </w:r>
            <w:r>
              <w:rPr>
                <w:b/>
                <w:spacing w:val="-1"/>
                <w:sz w:val="16"/>
              </w:rPr>
              <w:t xml:space="preserve"> </w:t>
            </w:r>
            <w:r>
              <w:rPr>
                <w:b/>
                <w:sz w:val="16"/>
              </w:rPr>
              <w:t>Change</w:t>
            </w:r>
          </w:p>
        </w:tc>
        <w:tc>
          <w:tcPr>
            <w:tcW w:w="980" w:type="dxa"/>
            <w:tcBorders>
              <w:top w:val="single" w:sz="8" w:space="0" w:color="000000"/>
              <w:bottom w:val="single" w:sz="8" w:space="0" w:color="000000"/>
            </w:tcBorders>
          </w:tcPr>
          <w:p w14:paraId="7326BF12" w14:textId="77777777" w:rsidR="00EF3DFB" w:rsidRDefault="00D27C17">
            <w:pPr>
              <w:pStyle w:val="TableParagraph"/>
              <w:spacing w:before="76" w:line="184" w:lineRule="exact"/>
              <w:ind w:left="115"/>
              <w:rPr>
                <w:b/>
                <w:sz w:val="16"/>
              </w:rPr>
            </w:pPr>
            <w:r>
              <w:rPr>
                <w:b/>
                <w:sz w:val="16"/>
              </w:rPr>
              <w:t>% Change</w:t>
            </w:r>
          </w:p>
        </w:tc>
      </w:tr>
      <w:tr w:rsidR="00EF3DFB" w14:paraId="7326BF18" w14:textId="77777777">
        <w:trPr>
          <w:trHeight w:val="290"/>
        </w:trPr>
        <w:tc>
          <w:tcPr>
            <w:tcW w:w="6105" w:type="dxa"/>
            <w:shd w:val="clear" w:color="auto" w:fill="CCEDFF"/>
          </w:tcPr>
          <w:p w14:paraId="7326BF14" w14:textId="77777777" w:rsidR="00EF3DFB" w:rsidRDefault="00D27C17">
            <w:pPr>
              <w:pStyle w:val="TableParagraph"/>
              <w:spacing w:before="30"/>
              <w:ind w:left="52"/>
              <w:rPr>
                <w:sz w:val="20"/>
              </w:rPr>
            </w:pPr>
            <w:r>
              <w:rPr>
                <w:sz w:val="20"/>
              </w:rPr>
              <w:t>Net sales</w:t>
            </w:r>
          </w:p>
        </w:tc>
        <w:tc>
          <w:tcPr>
            <w:tcW w:w="1151" w:type="dxa"/>
            <w:tcBorders>
              <w:top w:val="single" w:sz="8" w:space="0" w:color="000000"/>
            </w:tcBorders>
            <w:shd w:val="clear" w:color="auto" w:fill="CCEDFF"/>
          </w:tcPr>
          <w:p w14:paraId="7326BF15" w14:textId="77777777" w:rsidR="00EF3DFB" w:rsidRDefault="00D27C17">
            <w:pPr>
              <w:pStyle w:val="TableParagraph"/>
              <w:tabs>
                <w:tab w:val="left" w:pos="396"/>
              </w:tabs>
              <w:spacing w:before="30"/>
              <w:ind w:left="52"/>
              <w:rPr>
                <w:sz w:val="20"/>
              </w:rPr>
            </w:pPr>
            <w:r>
              <w:rPr>
                <w:sz w:val="20"/>
              </w:rPr>
              <w:t>$</w:t>
            </w:r>
            <w:r>
              <w:rPr>
                <w:sz w:val="20"/>
              </w:rPr>
              <w:tab/>
            </w:r>
            <w:r>
              <w:rPr>
                <w:sz w:val="20"/>
              </w:rPr>
              <w:t>2,956</w:t>
            </w:r>
          </w:p>
        </w:tc>
        <w:tc>
          <w:tcPr>
            <w:tcW w:w="2384" w:type="dxa"/>
            <w:tcBorders>
              <w:top w:val="single" w:sz="8" w:space="0" w:color="000000"/>
            </w:tcBorders>
            <w:shd w:val="clear" w:color="auto" w:fill="CCEDFF"/>
          </w:tcPr>
          <w:p w14:paraId="7326BF16" w14:textId="77777777" w:rsidR="00EF3DFB" w:rsidRDefault="00D27C17">
            <w:pPr>
              <w:pStyle w:val="TableParagraph"/>
              <w:tabs>
                <w:tab w:val="left" w:pos="344"/>
                <w:tab w:val="left" w:pos="1169"/>
                <w:tab w:val="left" w:pos="1864"/>
              </w:tabs>
              <w:spacing w:before="30"/>
              <w:ind w:right="114"/>
              <w:jc w:val="right"/>
              <w:rPr>
                <w:sz w:val="20"/>
              </w:rPr>
            </w:pPr>
            <w:r>
              <w:rPr>
                <w:sz w:val="20"/>
              </w:rPr>
              <w:t>$</w:t>
            </w:r>
            <w:r>
              <w:rPr>
                <w:sz w:val="20"/>
              </w:rPr>
              <w:tab/>
              <w:t>2,982</w:t>
            </w:r>
            <w:r>
              <w:rPr>
                <w:sz w:val="20"/>
              </w:rPr>
              <w:tab/>
              <w:t>$</w:t>
            </w:r>
            <w:r>
              <w:rPr>
                <w:sz w:val="20"/>
              </w:rPr>
              <w:tab/>
              <w:t>(26)</w:t>
            </w:r>
          </w:p>
        </w:tc>
        <w:tc>
          <w:tcPr>
            <w:tcW w:w="980" w:type="dxa"/>
            <w:tcBorders>
              <w:top w:val="single" w:sz="8" w:space="0" w:color="000000"/>
            </w:tcBorders>
            <w:shd w:val="clear" w:color="auto" w:fill="CCEDFF"/>
          </w:tcPr>
          <w:p w14:paraId="7326BF17" w14:textId="77777777" w:rsidR="00EF3DFB" w:rsidRDefault="00D27C17">
            <w:pPr>
              <w:pStyle w:val="TableParagraph"/>
              <w:spacing w:before="30"/>
              <w:ind w:right="14"/>
              <w:jc w:val="right"/>
              <w:rPr>
                <w:sz w:val="20"/>
              </w:rPr>
            </w:pPr>
            <w:r>
              <w:rPr>
                <w:sz w:val="20"/>
              </w:rPr>
              <w:t>(0.9)%</w:t>
            </w:r>
          </w:p>
        </w:tc>
      </w:tr>
      <w:tr w:rsidR="00EF3DFB" w14:paraId="7326BF1D" w14:textId="77777777">
        <w:trPr>
          <w:trHeight w:val="300"/>
        </w:trPr>
        <w:tc>
          <w:tcPr>
            <w:tcW w:w="6105" w:type="dxa"/>
          </w:tcPr>
          <w:p w14:paraId="7326BF19" w14:textId="77777777" w:rsidR="00EF3DFB" w:rsidRDefault="00EF3DFB">
            <w:pPr>
              <w:pStyle w:val="TableParagraph"/>
              <w:rPr>
                <w:sz w:val="18"/>
              </w:rPr>
            </w:pPr>
          </w:p>
        </w:tc>
        <w:tc>
          <w:tcPr>
            <w:tcW w:w="1151" w:type="dxa"/>
          </w:tcPr>
          <w:p w14:paraId="7326BF1A" w14:textId="77777777" w:rsidR="00EF3DFB" w:rsidRDefault="00EF3DFB">
            <w:pPr>
              <w:pStyle w:val="TableParagraph"/>
              <w:rPr>
                <w:sz w:val="18"/>
              </w:rPr>
            </w:pPr>
          </w:p>
        </w:tc>
        <w:tc>
          <w:tcPr>
            <w:tcW w:w="2384" w:type="dxa"/>
          </w:tcPr>
          <w:p w14:paraId="7326BF1B" w14:textId="77777777" w:rsidR="00EF3DFB" w:rsidRDefault="00EF3DFB">
            <w:pPr>
              <w:pStyle w:val="TableParagraph"/>
              <w:rPr>
                <w:sz w:val="18"/>
              </w:rPr>
            </w:pPr>
          </w:p>
        </w:tc>
        <w:tc>
          <w:tcPr>
            <w:tcW w:w="980" w:type="dxa"/>
          </w:tcPr>
          <w:p w14:paraId="7326BF1C" w14:textId="77777777" w:rsidR="00EF3DFB" w:rsidRDefault="00EF3DFB">
            <w:pPr>
              <w:pStyle w:val="TableParagraph"/>
              <w:rPr>
                <w:sz w:val="18"/>
              </w:rPr>
            </w:pPr>
          </w:p>
        </w:tc>
      </w:tr>
      <w:tr w:rsidR="00EF3DFB" w14:paraId="7326BF22" w14:textId="77777777">
        <w:trPr>
          <w:trHeight w:val="300"/>
        </w:trPr>
        <w:tc>
          <w:tcPr>
            <w:tcW w:w="6105" w:type="dxa"/>
            <w:shd w:val="clear" w:color="auto" w:fill="CCEDFF"/>
          </w:tcPr>
          <w:p w14:paraId="7326BF1E" w14:textId="77777777" w:rsidR="00EF3DFB" w:rsidRDefault="00D27C17">
            <w:pPr>
              <w:pStyle w:val="TableParagraph"/>
              <w:spacing w:before="40"/>
              <w:ind w:left="52"/>
              <w:rPr>
                <w:sz w:val="20"/>
              </w:rPr>
            </w:pPr>
            <w:r>
              <w:rPr>
                <w:sz w:val="20"/>
              </w:rPr>
              <w:t>Operating income</w:t>
            </w:r>
          </w:p>
        </w:tc>
        <w:tc>
          <w:tcPr>
            <w:tcW w:w="1151" w:type="dxa"/>
            <w:shd w:val="clear" w:color="auto" w:fill="CCEDFF"/>
          </w:tcPr>
          <w:p w14:paraId="7326BF1F" w14:textId="77777777" w:rsidR="00EF3DFB" w:rsidRDefault="00D27C17">
            <w:pPr>
              <w:pStyle w:val="TableParagraph"/>
              <w:spacing w:before="40"/>
              <w:ind w:left="546"/>
              <w:rPr>
                <w:sz w:val="20"/>
              </w:rPr>
            </w:pPr>
            <w:r>
              <w:rPr>
                <w:sz w:val="20"/>
              </w:rPr>
              <w:t>588</w:t>
            </w:r>
          </w:p>
        </w:tc>
        <w:tc>
          <w:tcPr>
            <w:tcW w:w="2384" w:type="dxa"/>
            <w:shd w:val="clear" w:color="auto" w:fill="CCEDFF"/>
          </w:tcPr>
          <w:p w14:paraId="7326BF20" w14:textId="77777777" w:rsidR="00EF3DFB" w:rsidRDefault="00D27C17">
            <w:pPr>
              <w:pStyle w:val="TableParagraph"/>
              <w:tabs>
                <w:tab w:val="left" w:pos="1336"/>
              </w:tabs>
              <w:spacing w:before="40"/>
              <w:ind w:right="179"/>
              <w:jc w:val="right"/>
              <w:rPr>
                <w:sz w:val="20"/>
              </w:rPr>
            </w:pPr>
            <w:r>
              <w:rPr>
                <w:sz w:val="20"/>
              </w:rPr>
              <w:t>238</w:t>
            </w:r>
            <w:r>
              <w:rPr>
                <w:sz w:val="20"/>
              </w:rPr>
              <w:tab/>
              <w:t>350</w:t>
            </w:r>
          </w:p>
        </w:tc>
        <w:tc>
          <w:tcPr>
            <w:tcW w:w="980" w:type="dxa"/>
            <w:shd w:val="clear" w:color="auto" w:fill="CCEDFF"/>
          </w:tcPr>
          <w:p w14:paraId="7326BF21" w14:textId="77777777" w:rsidR="00EF3DFB" w:rsidRDefault="00D27C17">
            <w:pPr>
              <w:pStyle w:val="TableParagraph"/>
              <w:spacing w:before="40"/>
              <w:ind w:right="12"/>
              <w:jc w:val="right"/>
              <w:rPr>
                <w:sz w:val="20"/>
              </w:rPr>
            </w:pPr>
            <w:r>
              <w:rPr>
                <w:sz w:val="20"/>
              </w:rPr>
              <w:t>NM</w:t>
            </w:r>
          </w:p>
        </w:tc>
      </w:tr>
      <w:tr w:rsidR="00EF3DFB" w14:paraId="7326BF27" w14:textId="77777777">
        <w:trPr>
          <w:trHeight w:val="300"/>
        </w:trPr>
        <w:tc>
          <w:tcPr>
            <w:tcW w:w="6105" w:type="dxa"/>
          </w:tcPr>
          <w:p w14:paraId="7326BF23" w14:textId="77777777" w:rsidR="00EF3DFB" w:rsidRDefault="00D27C17">
            <w:pPr>
              <w:pStyle w:val="TableParagraph"/>
              <w:spacing w:before="40"/>
              <w:ind w:left="412"/>
              <w:rPr>
                <w:i/>
                <w:sz w:val="20"/>
              </w:rPr>
            </w:pPr>
            <w:r>
              <w:rPr>
                <w:i/>
                <w:sz w:val="20"/>
              </w:rPr>
              <w:t>Operating margin</w:t>
            </w:r>
          </w:p>
        </w:tc>
        <w:tc>
          <w:tcPr>
            <w:tcW w:w="1151" w:type="dxa"/>
          </w:tcPr>
          <w:p w14:paraId="7326BF24" w14:textId="77777777" w:rsidR="00EF3DFB" w:rsidRDefault="00D27C17">
            <w:pPr>
              <w:pStyle w:val="TableParagraph"/>
              <w:spacing w:before="40"/>
              <w:ind w:left="496"/>
              <w:rPr>
                <w:i/>
                <w:sz w:val="20"/>
              </w:rPr>
            </w:pPr>
            <w:r>
              <w:rPr>
                <w:i/>
                <w:sz w:val="20"/>
              </w:rPr>
              <w:t>19.9 %</w:t>
            </w:r>
          </w:p>
        </w:tc>
        <w:tc>
          <w:tcPr>
            <w:tcW w:w="2384" w:type="dxa"/>
          </w:tcPr>
          <w:p w14:paraId="7326BF25" w14:textId="77777777" w:rsidR="00EF3DFB" w:rsidRDefault="00D27C17">
            <w:pPr>
              <w:pStyle w:val="TableParagraph"/>
              <w:spacing w:before="40"/>
              <w:ind w:left="615"/>
              <w:rPr>
                <w:i/>
                <w:sz w:val="20"/>
              </w:rPr>
            </w:pPr>
            <w:r>
              <w:rPr>
                <w:i/>
                <w:sz w:val="20"/>
              </w:rPr>
              <w:t>8.0 %</w:t>
            </w:r>
          </w:p>
        </w:tc>
        <w:tc>
          <w:tcPr>
            <w:tcW w:w="980" w:type="dxa"/>
          </w:tcPr>
          <w:p w14:paraId="7326BF26" w14:textId="77777777" w:rsidR="00EF3DFB" w:rsidRDefault="00EF3DFB">
            <w:pPr>
              <w:pStyle w:val="TableParagraph"/>
              <w:rPr>
                <w:sz w:val="18"/>
              </w:rPr>
            </w:pPr>
          </w:p>
        </w:tc>
      </w:tr>
      <w:tr w:rsidR="00EF3DFB" w14:paraId="7326BF2C" w14:textId="77777777">
        <w:trPr>
          <w:trHeight w:val="300"/>
        </w:trPr>
        <w:tc>
          <w:tcPr>
            <w:tcW w:w="6105" w:type="dxa"/>
            <w:shd w:val="clear" w:color="auto" w:fill="CCEDFF"/>
          </w:tcPr>
          <w:p w14:paraId="7326BF28" w14:textId="77777777" w:rsidR="00EF3DFB" w:rsidRDefault="00EF3DFB">
            <w:pPr>
              <w:pStyle w:val="TableParagraph"/>
              <w:rPr>
                <w:sz w:val="18"/>
              </w:rPr>
            </w:pPr>
          </w:p>
        </w:tc>
        <w:tc>
          <w:tcPr>
            <w:tcW w:w="1151" w:type="dxa"/>
            <w:shd w:val="clear" w:color="auto" w:fill="CCEDFF"/>
          </w:tcPr>
          <w:p w14:paraId="7326BF29" w14:textId="77777777" w:rsidR="00EF3DFB" w:rsidRDefault="00EF3DFB">
            <w:pPr>
              <w:pStyle w:val="TableParagraph"/>
              <w:rPr>
                <w:sz w:val="18"/>
              </w:rPr>
            </w:pPr>
          </w:p>
        </w:tc>
        <w:tc>
          <w:tcPr>
            <w:tcW w:w="2384" w:type="dxa"/>
            <w:shd w:val="clear" w:color="auto" w:fill="CCEDFF"/>
          </w:tcPr>
          <w:p w14:paraId="7326BF2A" w14:textId="77777777" w:rsidR="00EF3DFB" w:rsidRDefault="00EF3DFB">
            <w:pPr>
              <w:pStyle w:val="TableParagraph"/>
              <w:rPr>
                <w:sz w:val="18"/>
              </w:rPr>
            </w:pPr>
          </w:p>
        </w:tc>
        <w:tc>
          <w:tcPr>
            <w:tcW w:w="980" w:type="dxa"/>
            <w:shd w:val="clear" w:color="auto" w:fill="CCEDFF"/>
          </w:tcPr>
          <w:p w14:paraId="7326BF2B" w14:textId="77777777" w:rsidR="00EF3DFB" w:rsidRDefault="00EF3DFB">
            <w:pPr>
              <w:pStyle w:val="TableParagraph"/>
              <w:rPr>
                <w:sz w:val="18"/>
              </w:rPr>
            </w:pPr>
          </w:p>
        </w:tc>
      </w:tr>
      <w:tr w:rsidR="00EF3DFB" w14:paraId="7326BF31" w14:textId="77777777">
        <w:trPr>
          <w:trHeight w:val="300"/>
        </w:trPr>
        <w:tc>
          <w:tcPr>
            <w:tcW w:w="6105" w:type="dxa"/>
          </w:tcPr>
          <w:p w14:paraId="7326BF2D" w14:textId="77777777" w:rsidR="00EF3DFB" w:rsidRDefault="00D27C17">
            <w:pPr>
              <w:pStyle w:val="TableParagraph"/>
              <w:spacing w:before="40"/>
              <w:ind w:left="52"/>
              <w:rPr>
                <w:b/>
                <w:sz w:val="20"/>
              </w:rPr>
            </w:pPr>
            <w:r>
              <w:rPr>
                <w:b/>
                <w:sz w:val="20"/>
              </w:rPr>
              <w:t>Notable items impacting operating income comparability:</w:t>
            </w:r>
          </w:p>
        </w:tc>
        <w:tc>
          <w:tcPr>
            <w:tcW w:w="1151" w:type="dxa"/>
          </w:tcPr>
          <w:p w14:paraId="7326BF2E" w14:textId="77777777" w:rsidR="00EF3DFB" w:rsidRDefault="00EF3DFB">
            <w:pPr>
              <w:pStyle w:val="TableParagraph"/>
              <w:rPr>
                <w:sz w:val="18"/>
              </w:rPr>
            </w:pPr>
          </w:p>
        </w:tc>
        <w:tc>
          <w:tcPr>
            <w:tcW w:w="2384" w:type="dxa"/>
          </w:tcPr>
          <w:p w14:paraId="7326BF2F" w14:textId="77777777" w:rsidR="00EF3DFB" w:rsidRDefault="00EF3DFB">
            <w:pPr>
              <w:pStyle w:val="TableParagraph"/>
              <w:rPr>
                <w:sz w:val="18"/>
              </w:rPr>
            </w:pPr>
          </w:p>
        </w:tc>
        <w:tc>
          <w:tcPr>
            <w:tcW w:w="980" w:type="dxa"/>
          </w:tcPr>
          <w:p w14:paraId="7326BF30" w14:textId="77777777" w:rsidR="00EF3DFB" w:rsidRDefault="00EF3DFB">
            <w:pPr>
              <w:pStyle w:val="TableParagraph"/>
              <w:rPr>
                <w:sz w:val="18"/>
              </w:rPr>
            </w:pPr>
          </w:p>
        </w:tc>
      </w:tr>
      <w:tr w:rsidR="00EF3DFB" w14:paraId="7326BF36" w14:textId="77777777">
        <w:trPr>
          <w:trHeight w:val="300"/>
        </w:trPr>
        <w:tc>
          <w:tcPr>
            <w:tcW w:w="6105" w:type="dxa"/>
            <w:shd w:val="clear" w:color="auto" w:fill="CCEDFF"/>
          </w:tcPr>
          <w:p w14:paraId="7326BF32" w14:textId="77777777" w:rsidR="00EF3DFB" w:rsidRDefault="00D27C17">
            <w:pPr>
              <w:pStyle w:val="TableParagraph"/>
              <w:spacing w:before="40"/>
              <w:ind w:left="52"/>
              <w:rPr>
                <w:sz w:val="20"/>
              </w:rPr>
            </w:pPr>
            <w:r>
              <w:rPr>
                <w:sz w:val="20"/>
              </w:rPr>
              <w:t>Impairment of goodwill and other intangible assets (See Footnote 7)</w:t>
            </w:r>
          </w:p>
        </w:tc>
        <w:tc>
          <w:tcPr>
            <w:tcW w:w="1151" w:type="dxa"/>
            <w:shd w:val="clear" w:color="auto" w:fill="CCEDFF"/>
          </w:tcPr>
          <w:p w14:paraId="7326BF33" w14:textId="77777777" w:rsidR="00EF3DFB" w:rsidRDefault="00D27C17">
            <w:pPr>
              <w:pStyle w:val="TableParagraph"/>
              <w:tabs>
                <w:tab w:val="left" w:pos="646"/>
              </w:tabs>
              <w:spacing w:before="40"/>
              <w:ind w:left="52"/>
              <w:rPr>
                <w:sz w:val="20"/>
              </w:rPr>
            </w:pPr>
            <w:r>
              <w:rPr>
                <w:sz w:val="20"/>
              </w:rPr>
              <w:t>$</w:t>
            </w:r>
            <w:r>
              <w:rPr>
                <w:sz w:val="20"/>
              </w:rPr>
              <w:tab/>
              <w:t>25</w:t>
            </w:r>
          </w:p>
        </w:tc>
        <w:tc>
          <w:tcPr>
            <w:tcW w:w="2384" w:type="dxa"/>
            <w:shd w:val="clear" w:color="auto" w:fill="CCEDFF"/>
          </w:tcPr>
          <w:p w14:paraId="7326BF34" w14:textId="77777777" w:rsidR="00EF3DFB" w:rsidRDefault="00D27C17">
            <w:pPr>
              <w:pStyle w:val="TableParagraph"/>
              <w:tabs>
                <w:tab w:val="left" w:pos="494"/>
                <w:tab w:val="left" w:pos="1169"/>
                <w:tab w:val="left" w:pos="1764"/>
              </w:tabs>
              <w:spacing w:before="40"/>
              <w:ind w:right="114"/>
              <w:jc w:val="right"/>
              <w:rPr>
                <w:sz w:val="20"/>
              </w:rPr>
            </w:pPr>
            <w:r>
              <w:rPr>
                <w:sz w:val="20"/>
              </w:rPr>
              <w:t>$</w:t>
            </w:r>
            <w:r>
              <w:rPr>
                <w:sz w:val="20"/>
              </w:rPr>
              <w:tab/>
              <w:t>351</w:t>
            </w:r>
            <w:r>
              <w:rPr>
                <w:sz w:val="20"/>
              </w:rPr>
              <w:tab/>
              <w:t>$</w:t>
            </w:r>
            <w:r>
              <w:rPr>
                <w:sz w:val="20"/>
              </w:rPr>
              <w:tab/>
              <w:t>(326)</w:t>
            </w:r>
          </w:p>
        </w:tc>
        <w:tc>
          <w:tcPr>
            <w:tcW w:w="980" w:type="dxa"/>
            <w:shd w:val="clear" w:color="auto" w:fill="CCEDFF"/>
          </w:tcPr>
          <w:p w14:paraId="7326BF35" w14:textId="77777777" w:rsidR="00EF3DFB" w:rsidRDefault="00EF3DFB">
            <w:pPr>
              <w:pStyle w:val="TableParagraph"/>
              <w:rPr>
                <w:sz w:val="18"/>
              </w:rPr>
            </w:pPr>
          </w:p>
        </w:tc>
      </w:tr>
      <w:tr w:rsidR="00EF3DFB" w14:paraId="7326BF3B" w14:textId="77777777">
        <w:trPr>
          <w:trHeight w:val="300"/>
        </w:trPr>
        <w:tc>
          <w:tcPr>
            <w:tcW w:w="6105" w:type="dxa"/>
          </w:tcPr>
          <w:p w14:paraId="7326BF37" w14:textId="77777777" w:rsidR="00EF3DFB" w:rsidRDefault="00D27C17">
            <w:pPr>
              <w:pStyle w:val="TableParagraph"/>
              <w:spacing w:before="40"/>
              <w:ind w:left="52"/>
              <w:rPr>
                <w:sz w:val="20"/>
              </w:rPr>
            </w:pPr>
            <w:r>
              <w:rPr>
                <w:sz w:val="20"/>
              </w:rPr>
              <w:t>Fire-related losses, net of insurance recoveries</w:t>
            </w:r>
          </w:p>
        </w:tc>
        <w:tc>
          <w:tcPr>
            <w:tcW w:w="1151" w:type="dxa"/>
          </w:tcPr>
          <w:p w14:paraId="7326BF38" w14:textId="77777777" w:rsidR="00EF3DFB" w:rsidRDefault="00D27C17">
            <w:pPr>
              <w:pStyle w:val="TableParagraph"/>
              <w:spacing w:before="40"/>
              <w:ind w:left="646"/>
              <w:rPr>
                <w:sz w:val="20"/>
              </w:rPr>
            </w:pPr>
            <w:r>
              <w:rPr>
                <w:sz w:val="20"/>
              </w:rPr>
              <w:t>—</w:t>
            </w:r>
          </w:p>
        </w:tc>
        <w:tc>
          <w:tcPr>
            <w:tcW w:w="2384" w:type="dxa"/>
          </w:tcPr>
          <w:p w14:paraId="7326BF39" w14:textId="77777777" w:rsidR="00EF3DFB" w:rsidRDefault="00D27C17">
            <w:pPr>
              <w:pStyle w:val="TableParagraph"/>
              <w:tabs>
                <w:tab w:val="left" w:pos="1403"/>
              </w:tabs>
              <w:spacing w:before="40"/>
              <w:ind w:right="179"/>
              <w:jc w:val="right"/>
              <w:rPr>
                <w:sz w:val="20"/>
              </w:rPr>
            </w:pPr>
            <w:r>
              <w:rPr>
                <w:sz w:val="20"/>
              </w:rPr>
              <w:t>(11)</w:t>
            </w:r>
            <w:r>
              <w:rPr>
                <w:sz w:val="20"/>
              </w:rPr>
              <w:tab/>
              <w:t>11</w:t>
            </w:r>
          </w:p>
        </w:tc>
        <w:tc>
          <w:tcPr>
            <w:tcW w:w="980" w:type="dxa"/>
          </w:tcPr>
          <w:p w14:paraId="7326BF3A" w14:textId="77777777" w:rsidR="00EF3DFB" w:rsidRDefault="00EF3DFB">
            <w:pPr>
              <w:pStyle w:val="TableParagraph"/>
              <w:rPr>
                <w:sz w:val="18"/>
              </w:rPr>
            </w:pPr>
          </w:p>
        </w:tc>
      </w:tr>
      <w:tr w:rsidR="00EF3DFB" w14:paraId="7326BF40" w14:textId="77777777">
        <w:trPr>
          <w:trHeight w:val="300"/>
        </w:trPr>
        <w:tc>
          <w:tcPr>
            <w:tcW w:w="6105" w:type="dxa"/>
            <w:shd w:val="clear" w:color="auto" w:fill="CCEDFF"/>
          </w:tcPr>
          <w:p w14:paraId="7326BF3C" w14:textId="77777777" w:rsidR="00EF3DFB" w:rsidRDefault="00D27C17">
            <w:pPr>
              <w:pStyle w:val="TableParagraph"/>
              <w:spacing w:before="40"/>
              <w:ind w:left="52"/>
              <w:rPr>
                <w:sz w:val="20"/>
              </w:rPr>
            </w:pPr>
            <w:r>
              <w:rPr>
                <w:sz w:val="20"/>
              </w:rPr>
              <w:t>Bad debt write off for large customer</w:t>
            </w:r>
          </w:p>
        </w:tc>
        <w:tc>
          <w:tcPr>
            <w:tcW w:w="1151" w:type="dxa"/>
            <w:shd w:val="clear" w:color="auto" w:fill="CCEDFF"/>
          </w:tcPr>
          <w:p w14:paraId="7326BF3D" w14:textId="77777777" w:rsidR="00EF3DFB" w:rsidRDefault="00D27C17">
            <w:pPr>
              <w:pStyle w:val="TableParagraph"/>
              <w:spacing w:before="40"/>
              <w:ind w:left="646"/>
              <w:rPr>
                <w:sz w:val="20"/>
              </w:rPr>
            </w:pPr>
            <w:r>
              <w:rPr>
                <w:sz w:val="20"/>
              </w:rPr>
              <w:t>—</w:t>
            </w:r>
          </w:p>
        </w:tc>
        <w:tc>
          <w:tcPr>
            <w:tcW w:w="2384" w:type="dxa"/>
            <w:shd w:val="clear" w:color="auto" w:fill="CCEDFF"/>
          </w:tcPr>
          <w:p w14:paraId="7326BF3E" w14:textId="77777777" w:rsidR="00EF3DFB" w:rsidRDefault="00D27C17">
            <w:pPr>
              <w:pStyle w:val="TableParagraph"/>
              <w:tabs>
                <w:tab w:val="left" w:pos="1269"/>
              </w:tabs>
              <w:spacing w:before="40"/>
              <w:ind w:right="114"/>
              <w:jc w:val="right"/>
              <w:rPr>
                <w:sz w:val="20"/>
              </w:rPr>
            </w:pPr>
            <w:r>
              <w:rPr>
                <w:sz w:val="20"/>
              </w:rPr>
              <w:t>26</w:t>
            </w:r>
            <w:r>
              <w:rPr>
                <w:sz w:val="20"/>
              </w:rPr>
              <w:tab/>
              <w:t>(26)</w:t>
            </w:r>
          </w:p>
        </w:tc>
        <w:tc>
          <w:tcPr>
            <w:tcW w:w="980" w:type="dxa"/>
            <w:shd w:val="clear" w:color="auto" w:fill="CCEDFF"/>
          </w:tcPr>
          <w:p w14:paraId="7326BF3F" w14:textId="77777777" w:rsidR="00EF3DFB" w:rsidRDefault="00EF3DFB">
            <w:pPr>
              <w:pStyle w:val="TableParagraph"/>
              <w:rPr>
                <w:sz w:val="18"/>
              </w:rPr>
            </w:pPr>
          </w:p>
        </w:tc>
      </w:tr>
    </w:tbl>
    <w:p w14:paraId="7326BF41" w14:textId="77777777" w:rsidR="00EF3DFB" w:rsidRDefault="00D27C17">
      <w:pPr>
        <w:spacing w:before="152"/>
        <w:ind w:left="190"/>
        <w:rPr>
          <w:i/>
          <w:sz w:val="20"/>
        </w:rPr>
      </w:pPr>
      <w:r>
        <w:rPr>
          <w:i/>
          <w:sz w:val="20"/>
        </w:rPr>
        <w:t>NM — Not meaningful</w:t>
      </w:r>
    </w:p>
    <w:p w14:paraId="7326BF42" w14:textId="77777777" w:rsidR="00EF3DFB" w:rsidRDefault="00D27C17">
      <w:pPr>
        <w:pStyle w:val="BodyText"/>
        <w:spacing w:before="110" w:line="249" w:lineRule="auto"/>
        <w:ind w:left="190" w:right="168"/>
        <w:jc w:val="both"/>
      </w:pPr>
      <w:r>
        <w:t xml:space="preserve">Learning and Development net sales for 2019 decreased 1%. Changes in foreign currency exchange rates unfavorably impacted net sales by $43 million or 1%. The decrease in net sales was also driven by </w:t>
      </w:r>
      <w:r>
        <w:rPr>
          <w:color w:val="202528"/>
        </w:rPr>
        <w:t>softening trends in the Writing business related to sales</w:t>
      </w:r>
      <w:r>
        <w:rPr>
          <w:color w:val="202528"/>
        </w:rPr>
        <w:t xml:space="preserve"> of </w:t>
      </w:r>
      <w:r>
        <w:t>slime-related adhesive products</w:t>
      </w:r>
      <w:r>
        <w:rPr>
          <w:color w:val="202528"/>
        </w:rPr>
        <w:t xml:space="preserve">, </w:t>
      </w:r>
      <w:r>
        <w:t>partially offset by international net sales growth in the Writing business.</w:t>
      </w:r>
    </w:p>
    <w:p w14:paraId="7326BF43" w14:textId="77777777" w:rsidR="00EF3DFB" w:rsidRDefault="00EF3DFB">
      <w:pPr>
        <w:pStyle w:val="BodyText"/>
        <w:rPr>
          <w:sz w:val="21"/>
        </w:rPr>
      </w:pPr>
    </w:p>
    <w:p w14:paraId="7326BF44" w14:textId="77777777" w:rsidR="00EF3DFB" w:rsidRDefault="00D27C17">
      <w:pPr>
        <w:pStyle w:val="BodyText"/>
        <w:spacing w:before="1" w:line="249" w:lineRule="auto"/>
        <w:ind w:left="190" w:right="170"/>
      </w:pPr>
      <w:r>
        <w:t>Operating income increased to $588 million in 2019 as compared to $238 million in 2018. Operating income and operating margins improved</w:t>
      </w:r>
      <w:r>
        <w:rPr>
          <w:spacing w:val="-4"/>
        </w:rPr>
        <w:t xml:space="preserve"> </w:t>
      </w:r>
      <w:r>
        <w:t>primar</w:t>
      </w:r>
      <w:r>
        <w:t>ily</w:t>
      </w:r>
      <w:r>
        <w:rPr>
          <w:spacing w:val="-4"/>
        </w:rPr>
        <w:t xml:space="preserve"> </w:t>
      </w:r>
      <w:r>
        <w:t>due</w:t>
      </w:r>
      <w:r>
        <w:rPr>
          <w:spacing w:val="-4"/>
        </w:rPr>
        <w:t xml:space="preserve"> </w:t>
      </w:r>
      <w:r>
        <w:t>to</w:t>
      </w:r>
      <w:r>
        <w:rPr>
          <w:spacing w:val="-4"/>
        </w:rPr>
        <w:t xml:space="preserve"> </w:t>
      </w:r>
      <w:r>
        <w:t>lower</w:t>
      </w:r>
      <w:r>
        <w:rPr>
          <w:spacing w:val="-4"/>
        </w:rPr>
        <w:t xml:space="preserve"> </w:t>
      </w:r>
      <w:r>
        <w:t>non-cash</w:t>
      </w:r>
      <w:r>
        <w:rPr>
          <w:spacing w:val="-4"/>
        </w:rPr>
        <w:t xml:space="preserve"> </w:t>
      </w:r>
      <w:r>
        <w:t>impairment</w:t>
      </w:r>
      <w:r>
        <w:rPr>
          <w:spacing w:val="-4"/>
        </w:rPr>
        <w:t xml:space="preserve"> </w:t>
      </w:r>
      <w:r>
        <w:t>charges</w:t>
      </w:r>
      <w:r>
        <w:rPr>
          <w:spacing w:val="-4"/>
        </w:rPr>
        <w:t xml:space="preserve"> </w:t>
      </w:r>
      <w:r>
        <w:t>of</w:t>
      </w:r>
      <w:r>
        <w:rPr>
          <w:spacing w:val="-4"/>
        </w:rPr>
        <w:t xml:space="preserve"> </w:t>
      </w:r>
      <w:r>
        <w:t>certain</w:t>
      </w:r>
      <w:r>
        <w:rPr>
          <w:spacing w:val="-4"/>
        </w:rPr>
        <w:t xml:space="preserve"> </w:t>
      </w:r>
      <w:r>
        <w:t>indefinite-lived</w:t>
      </w:r>
      <w:r>
        <w:rPr>
          <w:spacing w:val="-4"/>
        </w:rPr>
        <w:t xml:space="preserve"> </w:t>
      </w:r>
      <w:r>
        <w:t>intangible</w:t>
      </w:r>
      <w:r>
        <w:rPr>
          <w:spacing w:val="-4"/>
        </w:rPr>
        <w:t xml:space="preserve"> </w:t>
      </w:r>
      <w:r>
        <w:t>assets</w:t>
      </w:r>
      <w:r>
        <w:rPr>
          <w:spacing w:val="-4"/>
        </w:rPr>
        <w:t xml:space="preserve"> </w:t>
      </w:r>
      <w:r>
        <w:t>of</w:t>
      </w:r>
      <w:r>
        <w:rPr>
          <w:spacing w:val="-4"/>
        </w:rPr>
        <w:t xml:space="preserve"> </w:t>
      </w:r>
      <w:r>
        <w:t>$25</w:t>
      </w:r>
      <w:r>
        <w:rPr>
          <w:spacing w:val="-4"/>
        </w:rPr>
        <w:t xml:space="preserve"> </w:t>
      </w:r>
      <w:r>
        <w:t>million</w:t>
      </w:r>
      <w:r>
        <w:rPr>
          <w:spacing w:val="-4"/>
        </w:rPr>
        <w:t xml:space="preserve"> </w:t>
      </w:r>
      <w:r>
        <w:t>recorded</w:t>
      </w:r>
      <w:r>
        <w:rPr>
          <w:spacing w:val="-4"/>
        </w:rPr>
        <w:t xml:space="preserve"> </w:t>
      </w:r>
      <w:r>
        <w:t>in 2019 as compared to $351 million of non-cash impairment charges of goodwill and certain indefinite-lived intangible assets recorded</w:t>
      </w:r>
      <w:r>
        <w:rPr>
          <w:spacing w:val="-3"/>
        </w:rPr>
        <w:t xml:space="preserve"> </w:t>
      </w:r>
      <w:r>
        <w:t>in</w:t>
      </w:r>
      <w:r>
        <w:rPr>
          <w:spacing w:val="-3"/>
        </w:rPr>
        <w:t xml:space="preserve"> </w:t>
      </w:r>
      <w:r>
        <w:t>2018.</w:t>
      </w:r>
      <w:r>
        <w:rPr>
          <w:spacing w:val="-3"/>
        </w:rPr>
        <w:t xml:space="preserve"> </w:t>
      </w:r>
      <w:r>
        <w:t>The</w:t>
      </w:r>
      <w:r>
        <w:rPr>
          <w:spacing w:val="-3"/>
        </w:rPr>
        <w:t xml:space="preserve"> </w:t>
      </w:r>
      <w:r>
        <w:t>increase</w:t>
      </w:r>
      <w:r>
        <w:rPr>
          <w:spacing w:val="-3"/>
        </w:rPr>
        <w:t xml:space="preserve"> </w:t>
      </w:r>
      <w:r>
        <w:t>in</w:t>
      </w:r>
      <w:r>
        <w:rPr>
          <w:spacing w:val="-3"/>
        </w:rPr>
        <w:t xml:space="preserve"> </w:t>
      </w:r>
      <w:r>
        <w:t>operating</w:t>
      </w:r>
      <w:r>
        <w:rPr>
          <w:spacing w:val="-3"/>
        </w:rPr>
        <w:t xml:space="preserve"> </w:t>
      </w:r>
      <w:r>
        <w:t>income</w:t>
      </w:r>
      <w:r>
        <w:rPr>
          <w:spacing w:val="-3"/>
        </w:rPr>
        <w:t xml:space="preserve"> </w:t>
      </w:r>
      <w:r>
        <w:t>also</w:t>
      </w:r>
      <w:r>
        <w:rPr>
          <w:spacing w:val="-3"/>
        </w:rPr>
        <w:t xml:space="preserve"> </w:t>
      </w:r>
      <w:r>
        <w:t>included</w:t>
      </w:r>
      <w:r>
        <w:rPr>
          <w:spacing w:val="-3"/>
        </w:rPr>
        <w:t xml:space="preserve"> </w:t>
      </w:r>
      <w:r>
        <w:t>overhead</w:t>
      </w:r>
      <w:r>
        <w:rPr>
          <w:spacing w:val="-3"/>
        </w:rPr>
        <w:t xml:space="preserve"> </w:t>
      </w:r>
      <w:r>
        <w:t>reduction</w:t>
      </w:r>
      <w:r>
        <w:rPr>
          <w:spacing w:val="-3"/>
        </w:rPr>
        <w:t xml:space="preserve"> </w:t>
      </w:r>
      <w:r>
        <w:t>driven</w:t>
      </w:r>
      <w:r>
        <w:rPr>
          <w:spacing w:val="-3"/>
        </w:rPr>
        <w:t xml:space="preserve"> </w:t>
      </w:r>
      <w:r>
        <w:t>by</w:t>
      </w:r>
      <w:r>
        <w:rPr>
          <w:spacing w:val="-3"/>
        </w:rPr>
        <w:t xml:space="preserve"> </w:t>
      </w:r>
      <w:r>
        <w:t>various</w:t>
      </w:r>
      <w:r>
        <w:rPr>
          <w:spacing w:val="-3"/>
        </w:rPr>
        <w:t xml:space="preserve"> </w:t>
      </w:r>
      <w:r>
        <w:t>initiatives</w:t>
      </w:r>
      <w:r>
        <w:rPr>
          <w:spacing w:val="-3"/>
        </w:rPr>
        <w:t xml:space="preserve"> </w:t>
      </w:r>
      <w:r>
        <w:t>in</w:t>
      </w:r>
      <w:r>
        <w:rPr>
          <w:spacing w:val="-3"/>
        </w:rPr>
        <w:t xml:space="preserve"> </w:t>
      </w:r>
      <w:r>
        <w:t>the</w:t>
      </w:r>
      <w:r>
        <w:rPr>
          <w:spacing w:val="-3"/>
        </w:rPr>
        <w:t xml:space="preserve"> </w:t>
      </w:r>
      <w:r>
        <w:t>current</w:t>
      </w:r>
      <w:r>
        <w:rPr>
          <w:spacing w:val="-3"/>
        </w:rPr>
        <w:t xml:space="preserve"> </w:t>
      </w:r>
      <w:r>
        <w:t>y</w:t>
      </w:r>
      <w:r>
        <w:t>ear and the lapping of a bad debt write off from a large customer in the prior year, partially offset by higher advertising and promotion costs in the current year and net insurance recoveries from a fire-related loss in the prior</w:t>
      </w:r>
      <w:r>
        <w:rPr>
          <w:spacing w:val="-17"/>
        </w:rPr>
        <w:t xml:space="preserve"> </w:t>
      </w:r>
      <w:r>
        <w:t>year.</w:t>
      </w:r>
    </w:p>
    <w:p w14:paraId="7326BF45" w14:textId="77777777" w:rsidR="00EF3DFB" w:rsidRDefault="00EF3DFB">
      <w:pPr>
        <w:pStyle w:val="BodyText"/>
        <w:spacing w:before="8"/>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075"/>
        <w:gridCol w:w="1136"/>
        <w:gridCol w:w="2372"/>
        <w:gridCol w:w="1035"/>
      </w:tblGrid>
      <w:tr w:rsidR="00EF3DFB" w14:paraId="7326BF4C" w14:textId="77777777">
        <w:trPr>
          <w:trHeight w:val="672"/>
        </w:trPr>
        <w:tc>
          <w:tcPr>
            <w:tcW w:w="6075" w:type="dxa"/>
          </w:tcPr>
          <w:p w14:paraId="7326BF46" w14:textId="77777777" w:rsidR="00EF3DFB" w:rsidRDefault="00D27C17">
            <w:pPr>
              <w:pStyle w:val="TableParagraph"/>
              <w:spacing w:line="221" w:lineRule="exact"/>
              <w:rPr>
                <w:b/>
                <w:sz w:val="20"/>
              </w:rPr>
            </w:pPr>
            <w:r>
              <w:rPr>
                <w:b/>
                <w:sz w:val="20"/>
              </w:rPr>
              <w:t>Outdoor and Recrea</w:t>
            </w:r>
            <w:r>
              <w:rPr>
                <w:b/>
                <w:sz w:val="20"/>
              </w:rPr>
              <w:t>tion</w:t>
            </w:r>
          </w:p>
        </w:tc>
        <w:tc>
          <w:tcPr>
            <w:tcW w:w="1136" w:type="dxa"/>
            <w:tcBorders>
              <w:bottom w:val="single" w:sz="8" w:space="0" w:color="000000"/>
            </w:tcBorders>
          </w:tcPr>
          <w:p w14:paraId="7326BF47" w14:textId="77777777" w:rsidR="00EF3DFB" w:rsidRDefault="00EF3DFB">
            <w:pPr>
              <w:pStyle w:val="TableParagraph"/>
              <w:rPr>
                <w:sz w:val="18"/>
              </w:rPr>
            </w:pPr>
          </w:p>
        </w:tc>
        <w:tc>
          <w:tcPr>
            <w:tcW w:w="2372" w:type="dxa"/>
            <w:tcBorders>
              <w:bottom w:val="single" w:sz="8" w:space="0" w:color="000000"/>
            </w:tcBorders>
          </w:tcPr>
          <w:p w14:paraId="7326BF48" w14:textId="77777777" w:rsidR="00EF3DFB" w:rsidRDefault="00EF3DFB">
            <w:pPr>
              <w:pStyle w:val="TableParagraph"/>
              <w:rPr>
                <w:sz w:val="18"/>
              </w:rPr>
            </w:pPr>
          </w:p>
          <w:p w14:paraId="7326BF49" w14:textId="77777777" w:rsidR="00EF3DFB" w:rsidRDefault="00EF3DFB">
            <w:pPr>
              <w:pStyle w:val="TableParagraph"/>
              <w:spacing w:before="9"/>
            </w:pPr>
          </w:p>
          <w:p w14:paraId="7326BF4A" w14:textId="77777777" w:rsidR="00EF3DFB" w:rsidRDefault="00D27C17">
            <w:pPr>
              <w:pStyle w:val="TableParagraph"/>
              <w:spacing w:line="184" w:lineRule="exact"/>
              <w:ind w:left="228"/>
              <w:rPr>
                <w:b/>
                <w:sz w:val="16"/>
              </w:rPr>
            </w:pPr>
            <w:r>
              <w:rPr>
                <w:b/>
                <w:sz w:val="16"/>
              </w:rPr>
              <w:t>Years Ended December 31,</w:t>
            </w:r>
          </w:p>
        </w:tc>
        <w:tc>
          <w:tcPr>
            <w:tcW w:w="1035" w:type="dxa"/>
            <w:tcBorders>
              <w:bottom w:val="single" w:sz="8" w:space="0" w:color="000000"/>
            </w:tcBorders>
          </w:tcPr>
          <w:p w14:paraId="7326BF4B" w14:textId="77777777" w:rsidR="00EF3DFB" w:rsidRDefault="00EF3DFB">
            <w:pPr>
              <w:pStyle w:val="TableParagraph"/>
              <w:rPr>
                <w:sz w:val="18"/>
              </w:rPr>
            </w:pPr>
          </w:p>
        </w:tc>
      </w:tr>
      <w:tr w:rsidR="00EF3DFB" w14:paraId="7326BF51" w14:textId="77777777">
        <w:trPr>
          <w:trHeight w:val="295"/>
        </w:trPr>
        <w:tc>
          <w:tcPr>
            <w:tcW w:w="6075" w:type="dxa"/>
          </w:tcPr>
          <w:p w14:paraId="7326BF4D" w14:textId="77777777" w:rsidR="00EF3DFB" w:rsidRDefault="00D27C17">
            <w:pPr>
              <w:pStyle w:val="TableParagraph"/>
              <w:spacing w:before="45" w:line="230" w:lineRule="exact"/>
              <w:ind w:left="52"/>
              <w:rPr>
                <w:sz w:val="20"/>
              </w:rPr>
            </w:pPr>
            <w:r>
              <w:rPr>
                <w:sz w:val="20"/>
              </w:rPr>
              <w:t>(in millions)</w:t>
            </w:r>
          </w:p>
        </w:tc>
        <w:tc>
          <w:tcPr>
            <w:tcW w:w="1136" w:type="dxa"/>
            <w:tcBorders>
              <w:top w:val="single" w:sz="8" w:space="0" w:color="000000"/>
              <w:bottom w:val="single" w:sz="8" w:space="0" w:color="000000"/>
            </w:tcBorders>
          </w:tcPr>
          <w:p w14:paraId="7326BF4E" w14:textId="77777777" w:rsidR="00EF3DFB" w:rsidRDefault="00D27C17">
            <w:pPr>
              <w:pStyle w:val="TableParagraph"/>
              <w:spacing w:before="91" w:line="184" w:lineRule="exact"/>
              <w:ind w:left="360" w:right="415"/>
              <w:jc w:val="center"/>
              <w:rPr>
                <w:b/>
                <w:sz w:val="16"/>
              </w:rPr>
            </w:pPr>
            <w:r>
              <w:rPr>
                <w:b/>
                <w:sz w:val="16"/>
              </w:rPr>
              <w:t>2019</w:t>
            </w:r>
          </w:p>
        </w:tc>
        <w:tc>
          <w:tcPr>
            <w:tcW w:w="2372" w:type="dxa"/>
            <w:tcBorders>
              <w:top w:val="single" w:sz="8" w:space="0" w:color="000000"/>
              <w:bottom w:val="single" w:sz="8" w:space="0" w:color="000000"/>
            </w:tcBorders>
          </w:tcPr>
          <w:p w14:paraId="7326BF4F" w14:textId="77777777" w:rsidR="00EF3DFB" w:rsidRDefault="00D27C17">
            <w:pPr>
              <w:pStyle w:val="TableParagraph"/>
              <w:tabs>
                <w:tab w:val="left" w:pos="1391"/>
              </w:tabs>
              <w:spacing w:before="91" w:line="184" w:lineRule="exact"/>
              <w:ind w:left="398"/>
              <w:rPr>
                <w:b/>
                <w:sz w:val="16"/>
              </w:rPr>
            </w:pPr>
            <w:r>
              <w:rPr>
                <w:b/>
                <w:sz w:val="16"/>
              </w:rPr>
              <w:t>2018</w:t>
            </w:r>
            <w:r>
              <w:rPr>
                <w:b/>
                <w:sz w:val="16"/>
              </w:rPr>
              <w:tab/>
              <w:t>$</w:t>
            </w:r>
            <w:r>
              <w:rPr>
                <w:b/>
                <w:spacing w:val="-1"/>
                <w:sz w:val="16"/>
              </w:rPr>
              <w:t xml:space="preserve"> </w:t>
            </w:r>
            <w:r>
              <w:rPr>
                <w:b/>
                <w:sz w:val="16"/>
              </w:rPr>
              <w:t>Change</w:t>
            </w:r>
          </w:p>
        </w:tc>
        <w:tc>
          <w:tcPr>
            <w:tcW w:w="1035" w:type="dxa"/>
            <w:tcBorders>
              <w:top w:val="single" w:sz="8" w:space="0" w:color="000000"/>
              <w:bottom w:val="single" w:sz="8" w:space="0" w:color="000000"/>
            </w:tcBorders>
          </w:tcPr>
          <w:p w14:paraId="7326BF50" w14:textId="77777777" w:rsidR="00EF3DFB" w:rsidRDefault="00D27C17">
            <w:pPr>
              <w:pStyle w:val="TableParagraph"/>
              <w:spacing w:before="91" w:line="184" w:lineRule="exact"/>
              <w:ind w:left="116" w:right="154"/>
              <w:jc w:val="center"/>
              <w:rPr>
                <w:b/>
                <w:sz w:val="16"/>
              </w:rPr>
            </w:pPr>
            <w:r>
              <w:rPr>
                <w:b/>
                <w:sz w:val="16"/>
              </w:rPr>
              <w:t>% Change</w:t>
            </w:r>
          </w:p>
        </w:tc>
      </w:tr>
      <w:tr w:rsidR="00EF3DFB" w14:paraId="7326BF56" w14:textId="77777777">
        <w:trPr>
          <w:trHeight w:val="290"/>
        </w:trPr>
        <w:tc>
          <w:tcPr>
            <w:tcW w:w="6075" w:type="dxa"/>
            <w:shd w:val="clear" w:color="auto" w:fill="CCEDFF"/>
          </w:tcPr>
          <w:p w14:paraId="7326BF52" w14:textId="77777777" w:rsidR="00EF3DFB" w:rsidRDefault="00D27C17">
            <w:pPr>
              <w:pStyle w:val="TableParagraph"/>
              <w:spacing w:before="30"/>
              <w:ind w:left="52"/>
              <w:rPr>
                <w:sz w:val="20"/>
              </w:rPr>
            </w:pPr>
            <w:r>
              <w:rPr>
                <w:sz w:val="20"/>
              </w:rPr>
              <w:t>Net sales</w:t>
            </w:r>
          </w:p>
        </w:tc>
        <w:tc>
          <w:tcPr>
            <w:tcW w:w="1136" w:type="dxa"/>
            <w:tcBorders>
              <w:top w:val="single" w:sz="8" w:space="0" w:color="000000"/>
            </w:tcBorders>
            <w:shd w:val="clear" w:color="auto" w:fill="CCEDFF"/>
          </w:tcPr>
          <w:p w14:paraId="7326BF53" w14:textId="77777777" w:rsidR="00EF3DFB" w:rsidRDefault="00D27C17">
            <w:pPr>
              <w:pStyle w:val="TableParagraph"/>
              <w:tabs>
                <w:tab w:val="left" w:pos="381"/>
              </w:tabs>
              <w:spacing w:before="30"/>
              <w:ind w:left="52"/>
              <w:rPr>
                <w:sz w:val="20"/>
              </w:rPr>
            </w:pPr>
            <w:r>
              <w:rPr>
                <w:sz w:val="20"/>
              </w:rPr>
              <w:t>$</w:t>
            </w:r>
            <w:r>
              <w:rPr>
                <w:sz w:val="20"/>
              </w:rPr>
              <w:tab/>
              <w:t>1,413</w:t>
            </w:r>
          </w:p>
        </w:tc>
        <w:tc>
          <w:tcPr>
            <w:tcW w:w="2372" w:type="dxa"/>
            <w:tcBorders>
              <w:top w:val="single" w:sz="8" w:space="0" w:color="000000"/>
            </w:tcBorders>
            <w:shd w:val="clear" w:color="auto" w:fill="CCEDFF"/>
          </w:tcPr>
          <w:p w14:paraId="7326BF54" w14:textId="77777777" w:rsidR="00EF3DFB" w:rsidRDefault="00D27C17">
            <w:pPr>
              <w:pStyle w:val="TableParagraph"/>
              <w:tabs>
                <w:tab w:val="left" w:pos="400"/>
                <w:tab w:val="left" w:pos="1226"/>
                <w:tab w:val="left" w:pos="1805"/>
              </w:tabs>
              <w:spacing w:before="30"/>
              <w:ind w:left="71"/>
              <w:rPr>
                <w:sz w:val="20"/>
              </w:rPr>
            </w:pPr>
            <w:r>
              <w:rPr>
                <w:sz w:val="20"/>
              </w:rPr>
              <w:t>$</w:t>
            </w:r>
            <w:r>
              <w:rPr>
                <w:sz w:val="20"/>
              </w:rPr>
              <w:tab/>
              <w:t>1,515</w:t>
            </w:r>
            <w:r>
              <w:rPr>
                <w:sz w:val="20"/>
              </w:rPr>
              <w:tab/>
              <w:t>$</w:t>
            </w:r>
            <w:r>
              <w:rPr>
                <w:sz w:val="20"/>
              </w:rPr>
              <w:tab/>
              <w:t>(102)</w:t>
            </w:r>
          </w:p>
        </w:tc>
        <w:tc>
          <w:tcPr>
            <w:tcW w:w="1035" w:type="dxa"/>
            <w:tcBorders>
              <w:top w:val="single" w:sz="8" w:space="0" w:color="000000"/>
            </w:tcBorders>
            <w:shd w:val="clear" w:color="auto" w:fill="CCEDFF"/>
          </w:tcPr>
          <w:p w14:paraId="7326BF55" w14:textId="77777777" w:rsidR="00EF3DFB" w:rsidRDefault="00D27C17">
            <w:pPr>
              <w:pStyle w:val="TableParagraph"/>
              <w:spacing w:before="30"/>
              <w:ind w:left="116" w:right="117"/>
              <w:jc w:val="center"/>
              <w:rPr>
                <w:sz w:val="20"/>
              </w:rPr>
            </w:pPr>
            <w:r>
              <w:rPr>
                <w:sz w:val="20"/>
              </w:rPr>
              <w:t>(6.7)%</w:t>
            </w:r>
          </w:p>
        </w:tc>
      </w:tr>
      <w:tr w:rsidR="00EF3DFB" w14:paraId="7326BF5B" w14:textId="77777777">
        <w:trPr>
          <w:trHeight w:val="300"/>
        </w:trPr>
        <w:tc>
          <w:tcPr>
            <w:tcW w:w="6075" w:type="dxa"/>
          </w:tcPr>
          <w:p w14:paraId="7326BF57" w14:textId="77777777" w:rsidR="00EF3DFB" w:rsidRDefault="00EF3DFB">
            <w:pPr>
              <w:pStyle w:val="TableParagraph"/>
              <w:rPr>
                <w:sz w:val="18"/>
              </w:rPr>
            </w:pPr>
          </w:p>
        </w:tc>
        <w:tc>
          <w:tcPr>
            <w:tcW w:w="1136" w:type="dxa"/>
          </w:tcPr>
          <w:p w14:paraId="7326BF58" w14:textId="77777777" w:rsidR="00EF3DFB" w:rsidRDefault="00EF3DFB">
            <w:pPr>
              <w:pStyle w:val="TableParagraph"/>
              <w:rPr>
                <w:sz w:val="18"/>
              </w:rPr>
            </w:pPr>
          </w:p>
        </w:tc>
        <w:tc>
          <w:tcPr>
            <w:tcW w:w="2372" w:type="dxa"/>
          </w:tcPr>
          <w:p w14:paraId="7326BF59" w14:textId="77777777" w:rsidR="00EF3DFB" w:rsidRDefault="00EF3DFB">
            <w:pPr>
              <w:pStyle w:val="TableParagraph"/>
              <w:rPr>
                <w:sz w:val="18"/>
              </w:rPr>
            </w:pPr>
          </w:p>
        </w:tc>
        <w:tc>
          <w:tcPr>
            <w:tcW w:w="1035" w:type="dxa"/>
          </w:tcPr>
          <w:p w14:paraId="7326BF5A" w14:textId="77777777" w:rsidR="00EF3DFB" w:rsidRDefault="00EF3DFB">
            <w:pPr>
              <w:pStyle w:val="TableParagraph"/>
              <w:rPr>
                <w:sz w:val="18"/>
              </w:rPr>
            </w:pPr>
          </w:p>
        </w:tc>
      </w:tr>
      <w:tr w:rsidR="00EF3DFB" w14:paraId="7326BF60" w14:textId="77777777">
        <w:trPr>
          <w:trHeight w:val="300"/>
        </w:trPr>
        <w:tc>
          <w:tcPr>
            <w:tcW w:w="6075" w:type="dxa"/>
            <w:shd w:val="clear" w:color="auto" w:fill="CCEDFF"/>
          </w:tcPr>
          <w:p w14:paraId="7326BF5C" w14:textId="77777777" w:rsidR="00EF3DFB" w:rsidRDefault="00D27C17">
            <w:pPr>
              <w:pStyle w:val="TableParagraph"/>
              <w:spacing w:before="40"/>
              <w:ind w:left="52"/>
              <w:rPr>
                <w:sz w:val="20"/>
              </w:rPr>
            </w:pPr>
            <w:r>
              <w:rPr>
                <w:sz w:val="20"/>
              </w:rPr>
              <w:t>Operating loss</w:t>
            </w:r>
          </w:p>
        </w:tc>
        <w:tc>
          <w:tcPr>
            <w:tcW w:w="1136" w:type="dxa"/>
            <w:shd w:val="clear" w:color="auto" w:fill="CCEDFF"/>
          </w:tcPr>
          <w:p w14:paraId="7326BF5D" w14:textId="77777777" w:rsidR="00EF3DFB" w:rsidRDefault="00D27C17">
            <w:pPr>
              <w:pStyle w:val="TableParagraph"/>
              <w:spacing w:before="40"/>
              <w:ind w:left="565"/>
              <w:rPr>
                <w:sz w:val="20"/>
              </w:rPr>
            </w:pPr>
            <w:r>
              <w:rPr>
                <w:sz w:val="20"/>
              </w:rPr>
              <w:t>(64)</w:t>
            </w:r>
          </w:p>
        </w:tc>
        <w:tc>
          <w:tcPr>
            <w:tcW w:w="2372" w:type="dxa"/>
            <w:shd w:val="clear" w:color="auto" w:fill="CCEDFF"/>
          </w:tcPr>
          <w:p w14:paraId="7326BF5E" w14:textId="77777777" w:rsidR="00EF3DFB" w:rsidRDefault="00D27C17">
            <w:pPr>
              <w:pStyle w:val="TableParagraph"/>
              <w:tabs>
                <w:tab w:val="left" w:pos="1722"/>
              </w:tabs>
              <w:spacing w:before="40"/>
              <w:ind w:left="334"/>
              <w:rPr>
                <w:sz w:val="20"/>
              </w:rPr>
            </w:pPr>
            <w:r>
              <w:rPr>
                <w:sz w:val="20"/>
              </w:rPr>
              <w:t>(1,293)</w:t>
            </w:r>
            <w:r>
              <w:rPr>
                <w:sz w:val="20"/>
              </w:rPr>
              <w:tab/>
              <w:t>1,229</w:t>
            </w:r>
          </w:p>
        </w:tc>
        <w:tc>
          <w:tcPr>
            <w:tcW w:w="1035" w:type="dxa"/>
            <w:shd w:val="clear" w:color="auto" w:fill="CCEDFF"/>
          </w:tcPr>
          <w:p w14:paraId="7326BF5F" w14:textId="77777777" w:rsidR="00EF3DFB" w:rsidRDefault="00D27C17">
            <w:pPr>
              <w:pStyle w:val="TableParagraph"/>
              <w:spacing w:before="40"/>
              <w:ind w:left="116" w:right="117"/>
              <w:jc w:val="center"/>
              <w:rPr>
                <w:sz w:val="20"/>
              </w:rPr>
            </w:pPr>
            <w:r>
              <w:rPr>
                <w:sz w:val="20"/>
              </w:rPr>
              <w:t>95.1%</w:t>
            </w:r>
          </w:p>
        </w:tc>
      </w:tr>
      <w:tr w:rsidR="00EF3DFB" w14:paraId="7326BF65" w14:textId="77777777">
        <w:trPr>
          <w:trHeight w:val="300"/>
        </w:trPr>
        <w:tc>
          <w:tcPr>
            <w:tcW w:w="6075" w:type="dxa"/>
          </w:tcPr>
          <w:p w14:paraId="7326BF61" w14:textId="77777777" w:rsidR="00EF3DFB" w:rsidRDefault="00D27C17">
            <w:pPr>
              <w:pStyle w:val="TableParagraph"/>
              <w:spacing w:before="40"/>
              <w:ind w:left="412"/>
              <w:rPr>
                <w:i/>
                <w:sz w:val="20"/>
              </w:rPr>
            </w:pPr>
            <w:r>
              <w:rPr>
                <w:i/>
                <w:sz w:val="20"/>
              </w:rPr>
              <w:t>Operating margin</w:t>
            </w:r>
          </w:p>
        </w:tc>
        <w:tc>
          <w:tcPr>
            <w:tcW w:w="1136" w:type="dxa"/>
          </w:tcPr>
          <w:p w14:paraId="7326BF62" w14:textId="77777777" w:rsidR="00EF3DFB" w:rsidRDefault="00D27C17">
            <w:pPr>
              <w:pStyle w:val="TableParagraph"/>
              <w:spacing w:before="40"/>
              <w:ind w:left="515"/>
              <w:rPr>
                <w:i/>
                <w:sz w:val="20"/>
              </w:rPr>
            </w:pPr>
            <w:r>
              <w:rPr>
                <w:i/>
                <w:sz w:val="20"/>
              </w:rPr>
              <w:t>(4.5)%</w:t>
            </w:r>
          </w:p>
        </w:tc>
        <w:tc>
          <w:tcPr>
            <w:tcW w:w="2372" w:type="dxa"/>
          </w:tcPr>
          <w:p w14:paraId="7326BF63" w14:textId="77777777" w:rsidR="00EF3DFB" w:rsidRDefault="00D27C17">
            <w:pPr>
              <w:pStyle w:val="TableParagraph"/>
              <w:spacing w:before="40"/>
              <w:ind w:left="434"/>
              <w:rPr>
                <w:i/>
                <w:sz w:val="20"/>
              </w:rPr>
            </w:pPr>
            <w:r>
              <w:rPr>
                <w:i/>
                <w:sz w:val="20"/>
              </w:rPr>
              <w:t>(85.3)%</w:t>
            </w:r>
          </w:p>
        </w:tc>
        <w:tc>
          <w:tcPr>
            <w:tcW w:w="1035" w:type="dxa"/>
          </w:tcPr>
          <w:p w14:paraId="7326BF64" w14:textId="77777777" w:rsidR="00EF3DFB" w:rsidRDefault="00EF3DFB">
            <w:pPr>
              <w:pStyle w:val="TableParagraph"/>
              <w:rPr>
                <w:sz w:val="18"/>
              </w:rPr>
            </w:pPr>
          </w:p>
        </w:tc>
      </w:tr>
      <w:tr w:rsidR="00EF3DFB" w14:paraId="7326BF6A" w14:textId="77777777">
        <w:trPr>
          <w:trHeight w:val="300"/>
        </w:trPr>
        <w:tc>
          <w:tcPr>
            <w:tcW w:w="6075" w:type="dxa"/>
            <w:shd w:val="clear" w:color="auto" w:fill="CCEDFF"/>
          </w:tcPr>
          <w:p w14:paraId="7326BF66" w14:textId="77777777" w:rsidR="00EF3DFB" w:rsidRDefault="00EF3DFB">
            <w:pPr>
              <w:pStyle w:val="TableParagraph"/>
              <w:rPr>
                <w:sz w:val="18"/>
              </w:rPr>
            </w:pPr>
          </w:p>
        </w:tc>
        <w:tc>
          <w:tcPr>
            <w:tcW w:w="1136" w:type="dxa"/>
            <w:shd w:val="clear" w:color="auto" w:fill="CCEDFF"/>
          </w:tcPr>
          <w:p w14:paraId="7326BF67" w14:textId="77777777" w:rsidR="00EF3DFB" w:rsidRDefault="00EF3DFB">
            <w:pPr>
              <w:pStyle w:val="TableParagraph"/>
              <w:rPr>
                <w:sz w:val="18"/>
              </w:rPr>
            </w:pPr>
          </w:p>
        </w:tc>
        <w:tc>
          <w:tcPr>
            <w:tcW w:w="2372" w:type="dxa"/>
            <w:shd w:val="clear" w:color="auto" w:fill="CCEDFF"/>
          </w:tcPr>
          <w:p w14:paraId="7326BF68" w14:textId="77777777" w:rsidR="00EF3DFB" w:rsidRDefault="00EF3DFB">
            <w:pPr>
              <w:pStyle w:val="TableParagraph"/>
              <w:rPr>
                <w:sz w:val="18"/>
              </w:rPr>
            </w:pPr>
          </w:p>
        </w:tc>
        <w:tc>
          <w:tcPr>
            <w:tcW w:w="1035" w:type="dxa"/>
            <w:shd w:val="clear" w:color="auto" w:fill="CCEDFF"/>
          </w:tcPr>
          <w:p w14:paraId="7326BF69" w14:textId="77777777" w:rsidR="00EF3DFB" w:rsidRDefault="00EF3DFB">
            <w:pPr>
              <w:pStyle w:val="TableParagraph"/>
              <w:rPr>
                <w:sz w:val="18"/>
              </w:rPr>
            </w:pPr>
          </w:p>
        </w:tc>
      </w:tr>
      <w:tr w:rsidR="00EF3DFB" w14:paraId="7326BF6F" w14:textId="77777777">
        <w:trPr>
          <w:trHeight w:val="300"/>
        </w:trPr>
        <w:tc>
          <w:tcPr>
            <w:tcW w:w="6075" w:type="dxa"/>
          </w:tcPr>
          <w:p w14:paraId="7326BF6B" w14:textId="77777777" w:rsidR="00EF3DFB" w:rsidRDefault="00D27C17">
            <w:pPr>
              <w:pStyle w:val="TableParagraph"/>
              <w:spacing w:before="40"/>
              <w:ind w:left="52"/>
              <w:rPr>
                <w:b/>
                <w:sz w:val="20"/>
              </w:rPr>
            </w:pPr>
            <w:r>
              <w:rPr>
                <w:b/>
                <w:sz w:val="20"/>
              </w:rPr>
              <w:t>Notable items impacting operating loss comparability:</w:t>
            </w:r>
          </w:p>
        </w:tc>
        <w:tc>
          <w:tcPr>
            <w:tcW w:w="1136" w:type="dxa"/>
          </w:tcPr>
          <w:p w14:paraId="7326BF6C" w14:textId="77777777" w:rsidR="00EF3DFB" w:rsidRDefault="00EF3DFB">
            <w:pPr>
              <w:pStyle w:val="TableParagraph"/>
              <w:rPr>
                <w:sz w:val="18"/>
              </w:rPr>
            </w:pPr>
          </w:p>
        </w:tc>
        <w:tc>
          <w:tcPr>
            <w:tcW w:w="2372" w:type="dxa"/>
          </w:tcPr>
          <w:p w14:paraId="7326BF6D" w14:textId="77777777" w:rsidR="00EF3DFB" w:rsidRDefault="00EF3DFB">
            <w:pPr>
              <w:pStyle w:val="TableParagraph"/>
              <w:rPr>
                <w:sz w:val="18"/>
              </w:rPr>
            </w:pPr>
          </w:p>
        </w:tc>
        <w:tc>
          <w:tcPr>
            <w:tcW w:w="1035" w:type="dxa"/>
          </w:tcPr>
          <w:p w14:paraId="7326BF6E" w14:textId="77777777" w:rsidR="00EF3DFB" w:rsidRDefault="00EF3DFB">
            <w:pPr>
              <w:pStyle w:val="TableParagraph"/>
              <w:rPr>
                <w:sz w:val="18"/>
              </w:rPr>
            </w:pPr>
          </w:p>
        </w:tc>
      </w:tr>
      <w:tr w:rsidR="00EF3DFB" w14:paraId="7326BF74" w14:textId="77777777">
        <w:trPr>
          <w:trHeight w:val="300"/>
        </w:trPr>
        <w:tc>
          <w:tcPr>
            <w:tcW w:w="6075" w:type="dxa"/>
            <w:shd w:val="clear" w:color="auto" w:fill="CCEDFF"/>
          </w:tcPr>
          <w:p w14:paraId="7326BF70" w14:textId="77777777" w:rsidR="00EF3DFB" w:rsidRDefault="00D27C17">
            <w:pPr>
              <w:pStyle w:val="TableParagraph"/>
              <w:spacing w:before="40"/>
              <w:ind w:left="52"/>
              <w:rPr>
                <w:sz w:val="20"/>
              </w:rPr>
            </w:pPr>
            <w:r>
              <w:rPr>
                <w:sz w:val="20"/>
              </w:rPr>
              <w:t>Impairment of goodwill and other intangible assets (See Footnote 7)</w:t>
            </w:r>
          </w:p>
        </w:tc>
        <w:tc>
          <w:tcPr>
            <w:tcW w:w="1136" w:type="dxa"/>
            <w:shd w:val="clear" w:color="auto" w:fill="CCEDFF"/>
          </w:tcPr>
          <w:p w14:paraId="7326BF71" w14:textId="77777777" w:rsidR="00EF3DFB" w:rsidRDefault="00D27C17">
            <w:pPr>
              <w:pStyle w:val="TableParagraph"/>
              <w:tabs>
                <w:tab w:val="left" w:pos="531"/>
              </w:tabs>
              <w:spacing w:before="40"/>
              <w:ind w:left="52"/>
              <w:rPr>
                <w:sz w:val="20"/>
              </w:rPr>
            </w:pPr>
            <w:r>
              <w:rPr>
                <w:sz w:val="20"/>
              </w:rPr>
              <w:t>$</w:t>
            </w:r>
            <w:r>
              <w:rPr>
                <w:sz w:val="20"/>
              </w:rPr>
              <w:tab/>
              <w:t>120</w:t>
            </w:r>
          </w:p>
        </w:tc>
        <w:tc>
          <w:tcPr>
            <w:tcW w:w="2372" w:type="dxa"/>
            <w:shd w:val="clear" w:color="auto" w:fill="CCEDFF"/>
          </w:tcPr>
          <w:p w14:paraId="7326BF72" w14:textId="77777777" w:rsidR="00EF3DFB" w:rsidRDefault="00D27C17">
            <w:pPr>
              <w:pStyle w:val="TableParagraph"/>
              <w:tabs>
                <w:tab w:val="left" w:pos="400"/>
                <w:tab w:val="left" w:pos="1226"/>
                <w:tab w:val="left" w:pos="1655"/>
              </w:tabs>
              <w:spacing w:before="40"/>
              <w:ind w:left="71"/>
              <w:rPr>
                <w:sz w:val="20"/>
              </w:rPr>
            </w:pPr>
            <w:r>
              <w:rPr>
                <w:sz w:val="20"/>
              </w:rPr>
              <w:t>$</w:t>
            </w:r>
            <w:r>
              <w:rPr>
                <w:sz w:val="20"/>
              </w:rPr>
              <w:tab/>
              <w:t>1,417</w:t>
            </w:r>
            <w:r>
              <w:rPr>
                <w:sz w:val="20"/>
              </w:rPr>
              <w:tab/>
              <w:t>$</w:t>
            </w:r>
            <w:r>
              <w:rPr>
                <w:sz w:val="20"/>
              </w:rPr>
              <w:tab/>
              <w:t>(1,297)</w:t>
            </w:r>
          </w:p>
        </w:tc>
        <w:tc>
          <w:tcPr>
            <w:tcW w:w="1035" w:type="dxa"/>
            <w:shd w:val="clear" w:color="auto" w:fill="CCEDFF"/>
          </w:tcPr>
          <w:p w14:paraId="7326BF73" w14:textId="77777777" w:rsidR="00EF3DFB" w:rsidRDefault="00EF3DFB">
            <w:pPr>
              <w:pStyle w:val="TableParagraph"/>
              <w:rPr>
                <w:sz w:val="18"/>
              </w:rPr>
            </w:pPr>
          </w:p>
        </w:tc>
      </w:tr>
      <w:tr w:rsidR="00EF3DFB" w14:paraId="7326BF79" w14:textId="77777777">
        <w:trPr>
          <w:trHeight w:val="270"/>
        </w:trPr>
        <w:tc>
          <w:tcPr>
            <w:tcW w:w="6075" w:type="dxa"/>
          </w:tcPr>
          <w:p w14:paraId="7326BF75" w14:textId="77777777" w:rsidR="00EF3DFB" w:rsidRDefault="00D27C17">
            <w:pPr>
              <w:pStyle w:val="TableParagraph"/>
              <w:spacing w:before="40" w:line="210" w:lineRule="exact"/>
              <w:ind w:left="52"/>
              <w:rPr>
                <w:sz w:val="20"/>
              </w:rPr>
            </w:pPr>
            <w:r>
              <w:rPr>
                <w:sz w:val="20"/>
              </w:rPr>
              <w:t>Product recall costs (See Footnote 18)</w:t>
            </w:r>
          </w:p>
        </w:tc>
        <w:tc>
          <w:tcPr>
            <w:tcW w:w="1136" w:type="dxa"/>
          </w:tcPr>
          <w:p w14:paraId="7326BF76" w14:textId="77777777" w:rsidR="00EF3DFB" w:rsidRDefault="00D27C17">
            <w:pPr>
              <w:pStyle w:val="TableParagraph"/>
              <w:tabs>
                <w:tab w:val="left" w:pos="631"/>
              </w:tabs>
              <w:spacing w:before="40" w:line="210" w:lineRule="exact"/>
              <w:ind w:left="52"/>
              <w:rPr>
                <w:sz w:val="20"/>
              </w:rPr>
            </w:pPr>
            <w:r>
              <w:rPr>
                <w:sz w:val="20"/>
              </w:rPr>
              <w:t>$</w:t>
            </w:r>
            <w:r>
              <w:rPr>
                <w:sz w:val="20"/>
              </w:rPr>
              <w:tab/>
              <w:t>20</w:t>
            </w:r>
          </w:p>
        </w:tc>
        <w:tc>
          <w:tcPr>
            <w:tcW w:w="2372" w:type="dxa"/>
          </w:tcPr>
          <w:p w14:paraId="7326BF77" w14:textId="77777777" w:rsidR="00EF3DFB" w:rsidRDefault="00D27C17">
            <w:pPr>
              <w:pStyle w:val="TableParagraph"/>
              <w:tabs>
                <w:tab w:val="left" w:pos="650"/>
                <w:tab w:val="left" w:pos="1226"/>
                <w:tab w:val="left" w:pos="1972"/>
              </w:tabs>
              <w:spacing w:before="40" w:line="210" w:lineRule="exact"/>
              <w:ind w:left="71"/>
              <w:rPr>
                <w:sz w:val="20"/>
              </w:rPr>
            </w:pPr>
            <w:r>
              <w:rPr>
                <w:sz w:val="20"/>
              </w:rPr>
              <w:t>$</w:t>
            </w:r>
            <w:r>
              <w:rPr>
                <w:sz w:val="20"/>
              </w:rPr>
              <w:tab/>
              <w:t>—</w:t>
            </w:r>
            <w:r>
              <w:rPr>
                <w:sz w:val="20"/>
              </w:rPr>
              <w:tab/>
              <w:t>$</w:t>
            </w:r>
            <w:r>
              <w:rPr>
                <w:sz w:val="20"/>
              </w:rPr>
              <w:tab/>
              <w:t>20</w:t>
            </w:r>
          </w:p>
        </w:tc>
        <w:tc>
          <w:tcPr>
            <w:tcW w:w="1035" w:type="dxa"/>
          </w:tcPr>
          <w:p w14:paraId="7326BF78" w14:textId="77777777" w:rsidR="00EF3DFB" w:rsidRDefault="00EF3DFB">
            <w:pPr>
              <w:pStyle w:val="TableParagraph"/>
              <w:rPr>
                <w:sz w:val="18"/>
              </w:rPr>
            </w:pPr>
          </w:p>
        </w:tc>
      </w:tr>
    </w:tbl>
    <w:p w14:paraId="7326BF7A" w14:textId="77777777" w:rsidR="00EF3DFB" w:rsidRDefault="00EF3DFB">
      <w:pPr>
        <w:pStyle w:val="BodyText"/>
        <w:spacing w:before="11"/>
        <w:rPr>
          <w:sz w:val="27"/>
        </w:rPr>
      </w:pPr>
    </w:p>
    <w:p w14:paraId="7326BF7B" w14:textId="77777777" w:rsidR="00EF3DFB" w:rsidRDefault="00D27C17">
      <w:pPr>
        <w:pStyle w:val="BodyText"/>
        <w:spacing w:line="249" w:lineRule="auto"/>
        <w:ind w:left="190" w:right="168"/>
        <w:jc w:val="both"/>
      </w:pPr>
      <w:r>
        <w:t xml:space="preserve">Outdoor and Recreation segment net sales for 2019 decreased 7% reflecting lost distribution in certain product categories and unfavorable weather conditions affecting the Coleman business, partially offset by increased sales in airbeds and outdoor cooking </w:t>
      </w:r>
      <w:r>
        <w:t>categories. Changes in foreign currency exchange rates unfavorably impacted net sales by $23 million, or 2%.</w:t>
      </w:r>
    </w:p>
    <w:p w14:paraId="7326BF7C" w14:textId="77777777" w:rsidR="00EF3DFB" w:rsidRDefault="00EF3DFB">
      <w:pPr>
        <w:pStyle w:val="BodyText"/>
        <w:spacing w:before="1"/>
        <w:rPr>
          <w:sz w:val="21"/>
        </w:rPr>
      </w:pPr>
    </w:p>
    <w:p w14:paraId="7326BF7D" w14:textId="77777777" w:rsidR="00EF3DFB" w:rsidRDefault="00D27C17">
      <w:pPr>
        <w:pStyle w:val="BodyText"/>
        <w:spacing w:line="249" w:lineRule="auto"/>
        <w:ind w:left="190" w:right="170"/>
        <w:jc w:val="both"/>
      </w:pPr>
      <w:r>
        <w:t>Operating loss decreased to $64 million in 2019 as compared to $1.3 billion in 2018. Operating loss included non-cash impairment charges of goodwi</w:t>
      </w:r>
      <w:r>
        <w:t>ll and certain indefinite-lived intangible assets of $120 million recorded in 2019 as compared to $1.4 billion of non-cash impairment charges of certain indefinite-lived intangible assets recorded in 2018. The decrease in operating loss was also due to ove</w:t>
      </w:r>
      <w:r>
        <w:t>rhead reduction driven by various initiatives. These decreases in operating loss were partially offset by the unfavorable impact of lower sales, cost of goods inflation and $20 million of costs associated with a product recall.</w:t>
      </w:r>
    </w:p>
    <w:p w14:paraId="7326BF7E" w14:textId="77777777" w:rsidR="00EF3DFB" w:rsidRDefault="00EF3DFB">
      <w:pPr>
        <w:spacing w:line="249" w:lineRule="auto"/>
        <w:jc w:val="both"/>
        <w:sectPr w:rsidR="00EF3DFB">
          <w:pgSz w:w="12240" w:h="15840"/>
          <w:pgMar w:top="600" w:right="640" w:bottom="480" w:left="620" w:header="0" w:footer="291" w:gutter="0"/>
          <w:cols w:space="720"/>
        </w:sectPr>
      </w:pPr>
    </w:p>
    <w:p w14:paraId="7326BF7F" w14:textId="77777777" w:rsidR="00EF3DFB" w:rsidRDefault="00D27C17">
      <w:pPr>
        <w:pStyle w:val="Heading2"/>
        <w:spacing w:before="68"/>
        <w:jc w:val="left"/>
      </w:pPr>
      <w:bookmarkStart w:id="32" w:name="Liquidity_and_Capital_Resources"/>
      <w:bookmarkEnd w:id="32"/>
      <w:r>
        <w:rPr>
          <w:u w:val="single"/>
        </w:rPr>
        <w:lastRenderedPageBreak/>
        <w:t xml:space="preserve">Liquidity and </w:t>
      </w:r>
      <w:r>
        <w:rPr>
          <w:u w:val="single"/>
        </w:rPr>
        <w:t>Capital Resources</w:t>
      </w:r>
    </w:p>
    <w:p w14:paraId="7326BF80" w14:textId="77777777" w:rsidR="00EF3DFB" w:rsidRDefault="00EF3DFB">
      <w:pPr>
        <w:pStyle w:val="BodyText"/>
        <w:spacing w:before="1"/>
        <w:rPr>
          <w:b/>
          <w:sz w:val="14"/>
        </w:rPr>
      </w:pPr>
    </w:p>
    <w:p w14:paraId="7326BF81" w14:textId="77777777" w:rsidR="00EF3DFB" w:rsidRDefault="00D27C17">
      <w:pPr>
        <w:pStyle w:val="BodyText"/>
        <w:spacing w:before="92" w:line="249" w:lineRule="auto"/>
        <w:ind w:left="190" w:right="169"/>
        <w:jc w:val="both"/>
      </w:pPr>
      <w:r>
        <w:t>At the onset of the COVID-19 global pandemic, in light of uncertainty in the global economy as well as equity and bond markets, the Company undertook several actions to further strengthen its financial position and balance sheet, and mai</w:t>
      </w:r>
      <w:r>
        <w:t>ntain financial liquidity and flexibility, including, issuing debt, evaluating supply purchases, enhancing customer credit review processes, reviewing operating expenses, prioritizing capital expenditures, as well as extending payment terms for goods and s</w:t>
      </w:r>
      <w:r>
        <w:t>ervices. While the Company has the ability to continue to take more of these actions, if needed, it also has the ability to borrow under its existing Accounts Receivable Securitization Facility (the “Securitization Facility”) and $1.25 billion revolving cr</w:t>
      </w:r>
      <w:r>
        <w:t>edit facility that matures in December 2023 (the “Credit Revolver”). At December 31, 2020, the Company had no outstanding drawings against the Securitization Facility and Credit Revolver. The Company currently believes its capital structure and cash resour</w:t>
      </w:r>
      <w:r>
        <w:t>ces can continue to support the funding of future dividends and will continue to evaluate all actions to strengthen its financial position and balance sheet, and to maintain its financial liquidity, flexibility and capital allocation</w:t>
      </w:r>
      <w:r>
        <w:rPr>
          <w:spacing w:val="-10"/>
        </w:rPr>
        <w:t xml:space="preserve"> </w:t>
      </w:r>
      <w:r>
        <w:t>strategy.</w:t>
      </w:r>
    </w:p>
    <w:p w14:paraId="7326BF82" w14:textId="77777777" w:rsidR="00EF3DFB" w:rsidRDefault="00EF3DFB">
      <w:pPr>
        <w:pStyle w:val="BodyText"/>
        <w:spacing w:before="6"/>
        <w:rPr>
          <w:sz w:val="21"/>
        </w:rPr>
      </w:pPr>
    </w:p>
    <w:p w14:paraId="7326BF83" w14:textId="77777777" w:rsidR="00EF3DFB" w:rsidRDefault="00D27C17">
      <w:pPr>
        <w:pStyle w:val="BodyText"/>
        <w:spacing w:line="249" w:lineRule="auto"/>
        <w:ind w:left="190" w:right="167"/>
        <w:jc w:val="both"/>
      </w:pPr>
      <w:r>
        <w:t>At December 31, 2020, the Company had cash and cash equivalents of approximately $981 million, of which approximately $505 million was held by the Company’s non-U.S. subsidiaries. Overall, the Company believes that available cash and cash equivalents, cash</w:t>
      </w:r>
      <w:r>
        <w:t xml:space="preserve"> flows generated from future operating activities and borrowing capacity, along with the actions noted above, provide the Company with continued financial viability and adequate liquidity to fund its operations, support its growth platforms, pay down debt </w:t>
      </w:r>
      <w:r>
        <w:t>and debt maturities as they come due and complete its ongoing turnaround initiatives. The Company’s cash requirements are subject to change as business conditions warrant. As the COVID-19 global pandemic is complex and rapidly evolving, the Company's plans</w:t>
      </w:r>
      <w:r>
        <w:t xml:space="preserve"> as described above may change. Although the Company saw positive momentum and strong cash generated from operating activities over the second half of 2020, the Company is still unable to predict the duration and severity of this pandemic, which could have</w:t>
      </w:r>
      <w:r>
        <w:t xml:space="preserve"> a material adverse impact on the Company’s future sales, results of operations, financial position and cash flows, particularly if the global pandemic continues to exist or worsens for a prolonged period of time, or if plans to administer vaccines are del</w:t>
      </w:r>
      <w:r>
        <w:t>ayed. Any such material adverse impacts could result in the Company's inability to satisfy financial maintenance covenants and could limit the ability to make future borrowings under existing debt</w:t>
      </w:r>
      <w:r>
        <w:rPr>
          <w:spacing w:val="-11"/>
        </w:rPr>
        <w:t xml:space="preserve"> </w:t>
      </w:r>
      <w:r>
        <w:t>instruments.</w:t>
      </w:r>
    </w:p>
    <w:p w14:paraId="7326BF84" w14:textId="77777777" w:rsidR="00EF3DFB" w:rsidRDefault="00EF3DFB">
      <w:pPr>
        <w:pStyle w:val="BodyText"/>
        <w:spacing w:before="9"/>
        <w:rPr>
          <w:sz w:val="21"/>
        </w:rPr>
      </w:pPr>
    </w:p>
    <w:p w14:paraId="7326BF85" w14:textId="77777777" w:rsidR="00EF3DFB" w:rsidRDefault="00D27C17">
      <w:pPr>
        <w:pStyle w:val="BodyText"/>
        <w:ind w:left="190"/>
        <w:jc w:val="both"/>
      </w:pPr>
      <w:r>
        <w:t>Cash, cash equivalents and restricted cash changed as follows for 2020, 2019 and 2018 (in millions):</w:t>
      </w:r>
    </w:p>
    <w:p w14:paraId="7326BF86" w14:textId="77777777" w:rsidR="00EF3DFB" w:rsidRDefault="00EF3DFB">
      <w:pPr>
        <w:pStyle w:val="BodyText"/>
        <w:spacing w:before="2"/>
        <w:rPr>
          <w:sz w:val="9"/>
        </w:rPr>
      </w:pPr>
    </w:p>
    <w:p w14:paraId="7326BF87" w14:textId="77777777" w:rsidR="00EF3DFB" w:rsidRDefault="00D27C17">
      <w:pPr>
        <w:spacing w:before="94" w:after="19"/>
        <w:ind w:left="9196"/>
        <w:rPr>
          <w:b/>
          <w:sz w:val="16"/>
        </w:rPr>
      </w:pPr>
      <w:r>
        <w:rPr>
          <w:b/>
          <w:sz w:val="16"/>
        </w:rPr>
        <w:t>Increase (Decrease)</w:t>
      </w:r>
    </w:p>
    <w:p w14:paraId="7326BF88" w14:textId="3DE630B4" w:rsidR="00EF3DFB" w:rsidRDefault="00D27C17">
      <w:pPr>
        <w:pStyle w:val="BodyText"/>
        <w:spacing w:line="20" w:lineRule="exact"/>
        <w:ind w:left="8910"/>
        <w:rPr>
          <w:sz w:val="2"/>
        </w:rPr>
      </w:pPr>
      <w:r>
        <w:rPr>
          <w:noProof/>
          <w:sz w:val="2"/>
        </w:rPr>
        <mc:AlternateContent>
          <mc:Choice Requires="wpg">
            <w:drawing>
              <wp:inline distT="0" distB="0" distL="0" distR="0" wp14:anchorId="7326D6F1" wp14:editId="469ADB91">
                <wp:extent cx="1200150" cy="12700"/>
                <wp:effectExtent l="12700" t="1905" r="6350" b="4445"/>
                <wp:docPr id="50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2700"/>
                          <a:chOff x="0" y="0"/>
                          <a:chExt cx="1890" cy="20"/>
                        </a:xfrm>
                      </wpg:grpSpPr>
                      <wps:wsp>
                        <wps:cNvPr id="502" name="Line 486"/>
                        <wps:cNvCnPr>
                          <a:cxnSpLocks noChangeShapeType="1"/>
                        </wps:cNvCnPr>
                        <wps:spPr bwMode="auto">
                          <a:xfrm>
                            <a:off x="0" y="10"/>
                            <a:ext cx="1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485"/>
                        <wps:cNvCnPr>
                          <a:cxnSpLocks noChangeShapeType="1"/>
                        </wps:cNvCnPr>
                        <wps:spPr bwMode="auto">
                          <a:xfrm>
                            <a:off x="0" y="10"/>
                            <a:ext cx="18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AF544" id="Group 484" o:spid="_x0000_s1026" style="width:94.5pt;height:1pt;mso-position-horizontal-relative:char;mso-position-vertical-relative:line" coordsize="1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">
                <v:line id="Line 486" o:spid="_x0000_s1027" style="position:absolute;visibility:visible;mso-wrap-style:square" from="0,10" to="18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" strokeweight="0"/>
                <v:line id="Line 485" o:spid="_x0000_s1028" style="position:absolute;visibility:visible;mso-wrap-style:square" from="0,10" to="18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" strokeweight="1pt"/>
                <w10:anchorlock/>
              </v:group>
            </w:pict>
          </mc:Fallback>
        </mc:AlternateContent>
      </w:r>
    </w:p>
    <w:p w14:paraId="7326BF89" w14:textId="77777777" w:rsidR="00EF3DFB" w:rsidRDefault="00D27C17">
      <w:pPr>
        <w:tabs>
          <w:tab w:val="left" w:pos="6172"/>
          <w:tab w:val="left" w:pos="7192"/>
          <w:tab w:val="left" w:pos="8212"/>
          <w:tab w:val="left" w:pos="9232"/>
          <w:tab w:val="left" w:pos="10177"/>
        </w:tabs>
        <w:spacing w:before="29" w:after="30"/>
        <w:ind w:left="242"/>
        <w:rPr>
          <w:b/>
          <w:sz w:val="16"/>
        </w:rPr>
      </w:pPr>
      <w:r>
        <w:rPr>
          <w:b/>
          <w:i/>
          <w:position w:val="1"/>
          <w:sz w:val="20"/>
          <w:u w:val="single"/>
        </w:rPr>
        <w:t>Continuing</w:t>
      </w:r>
      <w:r>
        <w:rPr>
          <w:b/>
          <w:i/>
          <w:spacing w:val="-5"/>
          <w:position w:val="1"/>
          <w:sz w:val="20"/>
          <w:u w:val="single"/>
        </w:rPr>
        <w:t xml:space="preserve"> </w:t>
      </w:r>
      <w:r>
        <w:rPr>
          <w:b/>
          <w:i/>
          <w:position w:val="1"/>
          <w:sz w:val="20"/>
          <w:u w:val="single"/>
        </w:rPr>
        <w:t>Operations</w:t>
      </w:r>
      <w:r>
        <w:rPr>
          <w:b/>
          <w:i/>
          <w:position w:val="1"/>
          <w:sz w:val="20"/>
        </w:rPr>
        <w:tab/>
      </w:r>
      <w:r>
        <w:rPr>
          <w:b/>
          <w:sz w:val="16"/>
        </w:rPr>
        <w:t>2020</w:t>
      </w:r>
      <w:r>
        <w:rPr>
          <w:b/>
          <w:sz w:val="16"/>
        </w:rPr>
        <w:tab/>
        <w:t>2019</w:t>
      </w:r>
      <w:r>
        <w:rPr>
          <w:b/>
          <w:sz w:val="16"/>
        </w:rPr>
        <w:tab/>
        <w:t>2018</w:t>
      </w:r>
      <w:r>
        <w:rPr>
          <w:b/>
          <w:sz w:val="16"/>
        </w:rPr>
        <w:tab/>
        <w:t>2020</w:t>
      </w:r>
      <w:r>
        <w:rPr>
          <w:b/>
          <w:sz w:val="16"/>
        </w:rPr>
        <w:tab/>
        <w:t>2019</w:t>
      </w:r>
    </w:p>
    <w:tbl>
      <w:tblPr>
        <w:tblW w:w="0" w:type="auto"/>
        <w:tblInd w:w="190" w:type="dxa"/>
        <w:tblLayout w:type="fixed"/>
        <w:tblCellMar>
          <w:left w:w="0" w:type="dxa"/>
          <w:right w:w="0" w:type="dxa"/>
        </w:tblCellMar>
        <w:tblLook w:val="01E0" w:firstRow="1" w:lastRow="1" w:firstColumn="1" w:lastColumn="1" w:noHBand="0" w:noVBand="0"/>
      </w:tblPr>
      <w:tblGrid>
        <w:gridCol w:w="5512"/>
        <w:gridCol w:w="1160"/>
        <w:gridCol w:w="1020"/>
        <w:gridCol w:w="1020"/>
        <w:gridCol w:w="1909"/>
      </w:tblGrid>
      <w:tr w:rsidR="00EF3DFB" w14:paraId="7326BF8F" w14:textId="77777777">
        <w:trPr>
          <w:trHeight w:val="290"/>
        </w:trPr>
        <w:tc>
          <w:tcPr>
            <w:tcW w:w="5512" w:type="dxa"/>
            <w:shd w:val="clear" w:color="auto" w:fill="CCEDFF"/>
          </w:tcPr>
          <w:p w14:paraId="7326BF8A" w14:textId="77777777" w:rsidR="00EF3DFB" w:rsidRDefault="00D27C17">
            <w:pPr>
              <w:pStyle w:val="TableParagraph"/>
              <w:spacing w:line="224" w:lineRule="exact"/>
              <w:ind w:left="52"/>
              <w:rPr>
                <w:sz w:val="20"/>
              </w:rPr>
            </w:pPr>
            <w:r>
              <w:rPr>
                <w:sz w:val="20"/>
              </w:rPr>
              <w:t>Cash provided by oper</w:t>
            </w:r>
            <w:r>
              <w:rPr>
                <w:sz w:val="20"/>
              </w:rPr>
              <w:t>ating activities</w:t>
            </w:r>
          </w:p>
        </w:tc>
        <w:tc>
          <w:tcPr>
            <w:tcW w:w="1160" w:type="dxa"/>
            <w:tcBorders>
              <w:top w:val="single" w:sz="8" w:space="0" w:color="000000"/>
            </w:tcBorders>
            <w:shd w:val="clear" w:color="auto" w:fill="CCEDFF"/>
          </w:tcPr>
          <w:p w14:paraId="7326BF8B" w14:textId="77777777" w:rsidR="00EF3DFB" w:rsidRDefault="00D27C17">
            <w:pPr>
              <w:pStyle w:val="TableParagraph"/>
              <w:tabs>
                <w:tab w:val="left" w:pos="571"/>
              </w:tabs>
              <w:spacing w:before="30"/>
              <w:ind w:left="210"/>
              <w:rPr>
                <w:sz w:val="20"/>
              </w:rPr>
            </w:pPr>
            <w:r>
              <w:rPr>
                <w:sz w:val="20"/>
              </w:rPr>
              <w:t>$</w:t>
            </w:r>
            <w:r>
              <w:rPr>
                <w:sz w:val="20"/>
              </w:rPr>
              <w:tab/>
              <w:t>1,432</w:t>
            </w:r>
          </w:p>
        </w:tc>
        <w:tc>
          <w:tcPr>
            <w:tcW w:w="1020" w:type="dxa"/>
            <w:tcBorders>
              <w:top w:val="single" w:sz="8" w:space="0" w:color="000000"/>
            </w:tcBorders>
            <w:shd w:val="clear" w:color="auto" w:fill="CCEDFF"/>
          </w:tcPr>
          <w:p w14:paraId="7326BF8C" w14:textId="77777777" w:rsidR="00EF3DFB" w:rsidRDefault="00D27C17">
            <w:pPr>
              <w:pStyle w:val="TableParagraph"/>
              <w:tabs>
                <w:tab w:val="left" w:pos="360"/>
              </w:tabs>
              <w:spacing w:before="30"/>
              <w:ind w:right="136"/>
              <w:jc w:val="right"/>
              <w:rPr>
                <w:sz w:val="20"/>
              </w:rPr>
            </w:pPr>
            <w:r>
              <w:rPr>
                <w:sz w:val="20"/>
              </w:rPr>
              <w:t>$</w:t>
            </w:r>
            <w:r>
              <w:rPr>
                <w:sz w:val="20"/>
              </w:rPr>
              <w:tab/>
              <w:t>1,090</w:t>
            </w:r>
          </w:p>
        </w:tc>
        <w:tc>
          <w:tcPr>
            <w:tcW w:w="1020" w:type="dxa"/>
            <w:tcBorders>
              <w:top w:val="single" w:sz="8" w:space="0" w:color="000000"/>
            </w:tcBorders>
            <w:shd w:val="clear" w:color="auto" w:fill="CCEDFF"/>
          </w:tcPr>
          <w:p w14:paraId="7326BF8D" w14:textId="77777777" w:rsidR="00EF3DFB" w:rsidRDefault="00D27C17">
            <w:pPr>
              <w:pStyle w:val="TableParagraph"/>
              <w:tabs>
                <w:tab w:val="left" w:pos="581"/>
              </w:tabs>
              <w:spacing w:before="30"/>
              <w:ind w:left="70"/>
              <w:rPr>
                <w:sz w:val="20"/>
              </w:rPr>
            </w:pPr>
            <w:r>
              <w:rPr>
                <w:sz w:val="20"/>
              </w:rPr>
              <w:t>$</w:t>
            </w:r>
            <w:r>
              <w:rPr>
                <w:sz w:val="20"/>
              </w:rPr>
              <w:tab/>
              <w:t>557</w:t>
            </w:r>
          </w:p>
        </w:tc>
        <w:tc>
          <w:tcPr>
            <w:tcW w:w="1909" w:type="dxa"/>
            <w:tcBorders>
              <w:top w:val="single" w:sz="8" w:space="0" w:color="000000"/>
            </w:tcBorders>
            <w:shd w:val="clear" w:color="auto" w:fill="CCEDFF"/>
          </w:tcPr>
          <w:p w14:paraId="7326BF8E" w14:textId="77777777" w:rsidR="00EF3DFB" w:rsidRDefault="00D27C17">
            <w:pPr>
              <w:pStyle w:val="TableParagraph"/>
              <w:tabs>
                <w:tab w:val="left" w:pos="581"/>
                <w:tab w:val="left" w:pos="1526"/>
              </w:tabs>
              <w:spacing w:before="30"/>
              <w:ind w:left="70"/>
              <w:rPr>
                <w:sz w:val="20"/>
              </w:rPr>
            </w:pPr>
            <w:r>
              <w:rPr>
                <w:sz w:val="20"/>
              </w:rPr>
              <w:t>$</w:t>
            </w:r>
            <w:r>
              <w:rPr>
                <w:sz w:val="20"/>
              </w:rPr>
              <w:tab/>
              <w:t xml:space="preserve">342 </w:t>
            </w:r>
            <w:r>
              <w:rPr>
                <w:spacing w:val="33"/>
                <w:sz w:val="20"/>
              </w:rPr>
              <w:t xml:space="preserve"> </w:t>
            </w:r>
            <w:r>
              <w:rPr>
                <w:sz w:val="20"/>
              </w:rPr>
              <w:t>$</w:t>
            </w:r>
            <w:r>
              <w:rPr>
                <w:sz w:val="20"/>
              </w:rPr>
              <w:tab/>
              <w:t>533</w:t>
            </w:r>
          </w:p>
        </w:tc>
      </w:tr>
      <w:tr w:rsidR="00EF3DFB" w14:paraId="7326BF95" w14:textId="77777777">
        <w:trPr>
          <w:trHeight w:val="300"/>
        </w:trPr>
        <w:tc>
          <w:tcPr>
            <w:tcW w:w="5512" w:type="dxa"/>
          </w:tcPr>
          <w:p w14:paraId="7326BF90" w14:textId="77777777" w:rsidR="00EF3DFB" w:rsidRDefault="00D27C17">
            <w:pPr>
              <w:pStyle w:val="TableParagraph"/>
              <w:spacing w:before="4"/>
              <w:ind w:left="52"/>
              <w:rPr>
                <w:sz w:val="20"/>
              </w:rPr>
            </w:pPr>
            <w:r>
              <w:rPr>
                <w:sz w:val="20"/>
              </w:rPr>
              <w:t>Cash used in investing activities</w:t>
            </w:r>
          </w:p>
        </w:tc>
        <w:tc>
          <w:tcPr>
            <w:tcW w:w="1160" w:type="dxa"/>
          </w:tcPr>
          <w:p w14:paraId="7326BF91" w14:textId="77777777" w:rsidR="00EF3DFB" w:rsidRDefault="00D27C17">
            <w:pPr>
              <w:pStyle w:val="TableParagraph"/>
              <w:spacing w:before="40"/>
              <w:ind w:right="71"/>
              <w:jc w:val="right"/>
              <w:rPr>
                <w:sz w:val="20"/>
              </w:rPr>
            </w:pPr>
            <w:r>
              <w:rPr>
                <w:sz w:val="20"/>
              </w:rPr>
              <w:t>(228)</w:t>
            </w:r>
          </w:p>
        </w:tc>
        <w:tc>
          <w:tcPr>
            <w:tcW w:w="1020" w:type="dxa"/>
          </w:tcPr>
          <w:p w14:paraId="7326BF92" w14:textId="77777777" w:rsidR="00EF3DFB" w:rsidRDefault="00D27C17">
            <w:pPr>
              <w:pStyle w:val="TableParagraph"/>
              <w:spacing w:before="40"/>
              <w:ind w:right="71"/>
              <w:jc w:val="right"/>
              <w:rPr>
                <w:sz w:val="20"/>
              </w:rPr>
            </w:pPr>
            <w:r>
              <w:rPr>
                <w:sz w:val="20"/>
              </w:rPr>
              <w:t>(242)</w:t>
            </w:r>
          </w:p>
        </w:tc>
        <w:tc>
          <w:tcPr>
            <w:tcW w:w="1020" w:type="dxa"/>
          </w:tcPr>
          <w:p w14:paraId="7326BF93" w14:textId="77777777" w:rsidR="00EF3DFB" w:rsidRDefault="00D27C17">
            <w:pPr>
              <w:pStyle w:val="TableParagraph"/>
              <w:spacing w:before="40"/>
              <w:ind w:right="71"/>
              <w:jc w:val="right"/>
              <w:rPr>
                <w:sz w:val="20"/>
              </w:rPr>
            </w:pPr>
            <w:r>
              <w:rPr>
                <w:sz w:val="20"/>
              </w:rPr>
              <w:t>(208)</w:t>
            </w:r>
          </w:p>
        </w:tc>
        <w:tc>
          <w:tcPr>
            <w:tcW w:w="1909" w:type="dxa"/>
          </w:tcPr>
          <w:p w14:paraId="7326BF94" w14:textId="77777777" w:rsidR="00EF3DFB" w:rsidRDefault="00D27C17">
            <w:pPr>
              <w:pStyle w:val="TableParagraph"/>
              <w:tabs>
                <w:tab w:val="left" w:pos="878"/>
              </w:tabs>
              <w:spacing w:before="40"/>
              <w:ind w:right="15"/>
              <w:jc w:val="right"/>
              <w:rPr>
                <w:sz w:val="20"/>
              </w:rPr>
            </w:pPr>
            <w:r>
              <w:rPr>
                <w:sz w:val="20"/>
              </w:rPr>
              <w:t>14</w:t>
            </w:r>
            <w:r>
              <w:rPr>
                <w:sz w:val="20"/>
              </w:rPr>
              <w:tab/>
              <w:t>(34)</w:t>
            </w:r>
          </w:p>
        </w:tc>
      </w:tr>
      <w:tr w:rsidR="00EF3DFB" w14:paraId="7326BF9B" w14:textId="77777777">
        <w:trPr>
          <w:trHeight w:val="300"/>
        </w:trPr>
        <w:tc>
          <w:tcPr>
            <w:tcW w:w="5512" w:type="dxa"/>
            <w:shd w:val="clear" w:color="auto" w:fill="CCEDFF"/>
          </w:tcPr>
          <w:p w14:paraId="7326BF96" w14:textId="77777777" w:rsidR="00EF3DFB" w:rsidRDefault="00D27C17">
            <w:pPr>
              <w:pStyle w:val="TableParagraph"/>
              <w:spacing w:before="4"/>
              <w:ind w:left="52"/>
              <w:rPr>
                <w:sz w:val="20"/>
              </w:rPr>
            </w:pPr>
            <w:r>
              <w:rPr>
                <w:sz w:val="20"/>
              </w:rPr>
              <w:t>Cash used in financing activities</w:t>
            </w:r>
          </w:p>
        </w:tc>
        <w:tc>
          <w:tcPr>
            <w:tcW w:w="1160" w:type="dxa"/>
            <w:shd w:val="clear" w:color="auto" w:fill="CCEDFF"/>
          </w:tcPr>
          <w:p w14:paraId="7326BF97" w14:textId="77777777" w:rsidR="00EF3DFB" w:rsidRDefault="00D27C17">
            <w:pPr>
              <w:pStyle w:val="TableParagraph"/>
              <w:spacing w:before="40"/>
              <w:ind w:right="71"/>
              <w:jc w:val="right"/>
              <w:rPr>
                <w:sz w:val="20"/>
              </w:rPr>
            </w:pPr>
            <w:r>
              <w:rPr>
                <w:sz w:val="20"/>
              </w:rPr>
              <w:t>(559)</w:t>
            </w:r>
          </w:p>
        </w:tc>
        <w:tc>
          <w:tcPr>
            <w:tcW w:w="1020" w:type="dxa"/>
            <w:shd w:val="clear" w:color="auto" w:fill="CCEDFF"/>
          </w:tcPr>
          <w:p w14:paraId="7326BF98" w14:textId="77777777" w:rsidR="00EF3DFB" w:rsidRDefault="00D27C17">
            <w:pPr>
              <w:pStyle w:val="TableParagraph"/>
              <w:spacing w:before="40"/>
              <w:ind w:right="71"/>
              <w:jc w:val="right"/>
              <w:rPr>
                <w:sz w:val="20"/>
              </w:rPr>
            </w:pPr>
            <w:r>
              <w:rPr>
                <w:sz w:val="20"/>
              </w:rPr>
              <w:t>(972)</w:t>
            </w:r>
          </w:p>
        </w:tc>
        <w:tc>
          <w:tcPr>
            <w:tcW w:w="1020" w:type="dxa"/>
            <w:shd w:val="clear" w:color="auto" w:fill="CCEDFF"/>
          </w:tcPr>
          <w:p w14:paraId="7326BF99" w14:textId="77777777" w:rsidR="00EF3DFB" w:rsidRDefault="00D27C17">
            <w:pPr>
              <w:pStyle w:val="TableParagraph"/>
              <w:spacing w:before="40"/>
              <w:ind w:right="71"/>
              <w:jc w:val="right"/>
              <w:rPr>
                <w:sz w:val="20"/>
              </w:rPr>
            </w:pPr>
            <w:r>
              <w:rPr>
                <w:sz w:val="20"/>
              </w:rPr>
              <w:t>(321)</w:t>
            </w:r>
          </w:p>
        </w:tc>
        <w:tc>
          <w:tcPr>
            <w:tcW w:w="1909" w:type="dxa"/>
            <w:shd w:val="clear" w:color="auto" w:fill="CCEDFF"/>
          </w:tcPr>
          <w:p w14:paraId="7326BF9A" w14:textId="77777777" w:rsidR="00EF3DFB" w:rsidRDefault="00D27C17">
            <w:pPr>
              <w:pStyle w:val="TableParagraph"/>
              <w:tabs>
                <w:tab w:val="left" w:pos="878"/>
              </w:tabs>
              <w:spacing w:before="40"/>
              <w:ind w:right="15"/>
              <w:jc w:val="right"/>
              <w:rPr>
                <w:sz w:val="20"/>
              </w:rPr>
            </w:pPr>
            <w:r>
              <w:rPr>
                <w:sz w:val="20"/>
              </w:rPr>
              <w:t>413</w:t>
            </w:r>
            <w:r>
              <w:rPr>
                <w:sz w:val="20"/>
              </w:rPr>
              <w:tab/>
            </w:r>
            <w:r>
              <w:rPr>
                <w:spacing w:val="-1"/>
                <w:sz w:val="20"/>
              </w:rPr>
              <w:t>(651)</w:t>
            </w:r>
          </w:p>
        </w:tc>
      </w:tr>
      <w:tr w:rsidR="00EF3DFB" w14:paraId="7326BFA1" w14:textId="77777777">
        <w:trPr>
          <w:trHeight w:val="300"/>
        </w:trPr>
        <w:tc>
          <w:tcPr>
            <w:tcW w:w="5512" w:type="dxa"/>
          </w:tcPr>
          <w:p w14:paraId="7326BF9C" w14:textId="77777777" w:rsidR="00EF3DFB" w:rsidRDefault="00D27C17">
            <w:pPr>
              <w:pStyle w:val="TableParagraph"/>
              <w:spacing w:before="1"/>
              <w:ind w:left="52"/>
              <w:rPr>
                <w:b/>
                <w:i/>
                <w:sz w:val="20"/>
              </w:rPr>
            </w:pPr>
            <w:r>
              <w:rPr>
                <w:b/>
                <w:i/>
                <w:sz w:val="20"/>
                <w:u w:val="single"/>
              </w:rPr>
              <w:t>Discontinued Operations</w:t>
            </w:r>
          </w:p>
        </w:tc>
        <w:tc>
          <w:tcPr>
            <w:tcW w:w="1160" w:type="dxa"/>
          </w:tcPr>
          <w:p w14:paraId="7326BF9D" w14:textId="77777777" w:rsidR="00EF3DFB" w:rsidRDefault="00EF3DFB">
            <w:pPr>
              <w:pStyle w:val="TableParagraph"/>
              <w:rPr>
                <w:sz w:val="18"/>
              </w:rPr>
            </w:pPr>
          </w:p>
        </w:tc>
        <w:tc>
          <w:tcPr>
            <w:tcW w:w="1020" w:type="dxa"/>
          </w:tcPr>
          <w:p w14:paraId="7326BF9E" w14:textId="77777777" w:rsidR="00EF3DFB" w:rsidRDefault="00EF3DFB">
            <w:pPr>
              <w:pStyle w:val="TableParagraph"/>
              <w:rPr>
                <w:sz w:val="18"/>
              </w:rPr>
            </w:pPr>
          </w:p>
        </w:tc>
        <w:tc>
          <w:tcPr>
            <w:tcW w:w="1020" w:type="dxa"/>
          </w:tcPr>
          <w:p w14:paraId="7326BF9F" w14:textId="77777777" w:rsidR="00EF3DFB" w:rsidRDefault="00EF3DFB">
            <w:pPr>
              <w:pStyle w:val="TableParagraph"/>
              <w:rPr>
                <w:sz w:val="18"/>
              </w:rPr>
            </w:pPr>
          </w:p>
        </w:tc>
        <w:tc>
          <w:tcPr>
            <w:tcW w:w="1909" w:type="dxa"/>
          </w:tcPr>
          <w:p w14:paraId="7326BFA0" w14:textId="77777777" w:rsidR="00EF3DFB" w:rsidRDefault="00EF3DFB">
            <w:pPr>
              <w:pStyle w:val="TableParagraph"/>
              <w:rPr>
                <w:sz w:val="18"/>
              </w:rPr>
            </w:pPr>
          </w:p>
        </w:tc>
      </w:tr>
      <w:tr w:rsidR="00EF3DFB" w14:paraId="7326BFA7" w14:textId="77777777">
        <w:trPr>
          <w:trHeight w:val="300"/>
        </w:trPr>
        <w:tc>
          <w:tcPr>
            <w:tcW w:w="5512" w:type="dxa"/>
            <w:shd w:val="clear" w:color="auto" w:fill="CCEDFF"/>
          </w:tcPr>
          <w:p w14:paraId="7326BFA2" w14:textId="77777777" w:rsidR="00EF3DFB" w:rsidRDefault="00D27C17">
            <w:pPr>
              <w:pStyle w:val="TableParagraph"/>
              <w:spacing w:before="4"/>
              <w:ind w:left="52"/>
              <w:rPr>
                <w:sz w:val="20"/>
              </w:rPr>
            </w:pPr>
            <w:r>
              <w:rPr>
                <w:sz w:val="20"/>
              </w:rPr>
              <w:t>Cash provided by (used in) operating activities</w:t>
            </w:r>
          </w:p>
        </w:tc>
        <w:tc>
          <w:tcPr>
            <w:tcW w:w="1160" w:type="dxa"/>
            <w:shd w:val="clear" w:color="auto" w:fill="CCEDFF"/>
          </w:tcPr>
          <w:p w14:paraId="7326BFA3" w14:textId="77777777" w:rsidR="00EF3DFB" w:rsidRDefault="00D27C17">
            <w:pPr>
              <w:pStyle w:val="TableParagraph"/>
              <w:tabs>
                <w:tab w:val="left" w:pos="821"/>
              </w:tabs>
              <w:spacing w:before="40"/>
              <w:ind w:left="210"/>
              <w:rPr>
                <w:sz w:val="20"/>
              </w:rPr>
            </w:pPr>
            <w:r>
              <w:rPr>
                <w:sz w:val="20"/>
              </w:rPr>
              <w:t>$</w:t>
            </w:r>
            <w:r>
              <w:rPr>
                <w:sz w:val="20"/>
              </w:rPr>
              <w:tab/>
              <w:t>—</w:t>
            </w:r>
          </w:p>
        </w:tc>
        <w:tc>
          <w:tcPr>
            <w:tcW w:w="1020" w:type="dxa"/>
            <w:shd w:val="clear" w:color="auto" w:fill="CCEDFF"/>
          </w:tcPr>
          <w:p w14:paraId="7326BFA4" w14:textId="77777777" w:rsidR="00EF3DFB" w:rsidRDefault="00D27C17">
            <w:pPr>
              <w:pStyle w:val="TableParagraph"/>
              <w:tabs>
                <w:tab w:val="left" w:pos="544"/>
              </w:tabs>
              <w:spacing w:before="40"/>
              <w:ind w:right="71"/>
              <w:jc w:val="right"/>
              <w:rPr>
                <w:sz w:val="20"/>
              </w:rPr>
            </w:pPr>
            <w:r>
              <w:rPr>
                <w:sz w:val="20"/>
              </w:rPr>
              <w:t>$</w:t>
            </w:r>
            <w:r>
              <w:rPr>
                <w:sz w:val="20"/>
              </w:rPr>
              <w:tab/>
            </w:r>
            <w:r>
              <w:rPr>
                <w:spacing w:val="-1"/>
                <w:sz w:val="20"/>
              </w:rPr>
              <w:t>(46)</w:t>
            </w:r>
          </w:p>
        </w:tc>
        <w:tc>
          <w:tcPr>
            <w:tcW w:w="1020" w:type="dxa"/>
            <w:shd w:val="clear" w:color="auto" w:fill="CCEDFF"/>
          </w:tcPr>
          <w:p w14:paraId="7326BFA5" w14:textId="77777777" w:rsidR="00EF3DFB" w:rsidRDefault="00D27C17">
            <w:pPr>
              <w:pStyle w:val="TableParagraph"/>
              <w:tabs>
                <w:tab w:val="left" w:pos="581"/>
              </w:tabs>
              <w:spacing w:before="40"/>
              <w:ind w:left="70"/>
              <w:rPr>
                <w:sz w:val="20"/>
              </w:rPr>
            </w:pPr>
            <w:r>
              <w:rPr>
                <w:sz w:val="20"/>
              </w:rPr>
              <w:t>$</w:t>
            </w:r>
            <w:r>
              <w:rPr>
                <w:sz w:val="20"/>
              </w:rPr>
              <w:tab/>
              <w:t>123</w:t>
            </w:r>
          </w:p>
        </w:tc>
        <w:tc>
          <w:tcPr>
            <w:tcW w:w="1909" w:type="dxa"/>
            <w:shd w:val="clear" w:color="auto" w:fill="CCEDFF"/>
          </w:tcPr>
          <w:p w14:paraId="7326BFA6" w14:textId="77777777" w:rsidR="00EF3DFB" w:rsidRDefault="00D27C17">
            <w:pPr>
              <w:pStyle w:val="TableParagraph"/>
              <w:tabs>
                <w:tab w:val="left" w:pos="610"/>
                <w:tab w:val="left" w:pos="1389"/>
              </w:tabs>
              <w:spacing w:before="40"/>
              <w:ind w:right="15"/>
              <w:jc w:val="right"/>
              <w:rPr>
                <w:sz w:val="20"/>
              </w:rPr>
            </w:pPr>
            <w:r>
              <w:rPr>
                <w:sz w:val="20"/>
              </w:rPr>
              <w:t>$</w:t>
            </w:r>
            <w:r>
              <w:rPr>
                <w:sz w:val="20"/>
              </w:rPr>
              <w:tab/>
              <w:t xml:space="preserve">46 </w:t>
            </w:r>
            <w:r>
              <w:rPr>
                <w:spacing w:val="33"/>
                <w:sz w:val="20"/>
              </w:rPr>
              <w:t xml:space="preserve"> </w:t>
            </w:r>
            <w:r>
              <w:rPr>
                <w:sz w:val="20"/>
              </w:rPr>
              <w:t>$</w:t>
            </w:r>
            <w:r>
              <w:rPr>
                <w:sz w:val="20"/>
              </w:rPr>
              <w:tab/>
              <w:t>(169)</w:t>
            </w:r>
          </w:p>
        </w:tc>
      </w:tr>
      <w:tr w:rsidR="00EF3DFB" w14:paraId="7326BFAD" w14:textId="77777777">
        <w:trPr>
          <w:trHeight w:val="300"/>
        </w:trPr>
        <w:tc>
          <w:tcPr>
            <w:tcW w:w="5512" w:type="dxa"/>
          </w:tcPr>
          <w:p w14:paraId="7326BFA8" w14:textId="77777777" w:rsidR="00EF3DFB" w:rsidRDefault="00D27C17">
            <w:pPr>
              <w:pStyle w:val="TableParagraph"/>
              <w:spacing w:before="4"/>
              <w:ind w:left="52"/>
              <w:rPr>
                <w:sz w:val="20"/>
              </w:rPr>
            </w:pPr>
            <w:r>
              <w:rPr>
                <w:sz w:val="20"/>
              </w:rPr>
              <w:t>Cash provided by investing activities</w:t>
            </w:r>
          </w:p>
        </w:tc>
        <w:tc>
          <w:tcPr>
            <w:tcW w:w="1160" w:type="dxa"/>
          </w:tcPr>
          <w:p w14:paraId="7326BFA9" w14:textId="77777777" w:rsidR="00EF3DFB" w:rsidRDefault="00D27C17">
            <w:pPr>
              <w:pStyle w:val="TableParagraph"/>
              <w:spacing w:before="40"/>
              <w:ind w:right="136"/>
              <w:jc w:val="right"/>
              <w:rPr>
                <w:sz w:val="20"/>
              </w:rPr>
            </w:pPr>
            <w:r>
              <w:rPr>
                <w:sz w:val="20"/>
              </w:rPr>
              <w:t>—</w:t>
            </w:r>
          </w:p>
        </w:tc>
        <w:tc>
          <w:tcPr>
            <w:tcW w:w="1020" w:type="dxa"/>
          </w:tcPr>
          <w:p w14:paraId="7326BFAA" w14:textId="77777777" w:rsidR="00EF3DFB" w:rsidRDefault="00D27C17">
            <w:pPr>
              <w:pStyle w:val="TableParagraph"/>
              <w:spacing w:before="40"/>
              <w:ind w:right="136"/>
              <w:jc w:val="right"/>
              <w:rPr>
                <w:sz w:val="20"/>
              </w:rPr>
            </w:pPr>
            <w:r>
              <w:rPr>
                <w:sz w:val="20"/>
              </w:rPr>
              <w:t>978</w:t>
            </w:r>
          </w:p>
        </w:tc>
        <w:tc>
          <w:tcPr>
            <w:tcW w:w="1020" w:type="dxa"/>
          </w:tcPr>
          <w:p w14:paraId="7326BFAB" w14:textId="77777777" w:rsidR="00EF3DFB" w:rsidRDefault="00D27C17">
            <w:pPr>
              <w:pStyle w:val="TableParagraph"/>
              <w:spacing w:before="40"/>
              <w:ind w:right="136"/>
              <w:jc w:val="right"/>
              <w:rPr>
                <w:sz w:val="20"/>
              </w:rPr>
            </w:pPr>
            <w:r>
              <w:rPr>
                <w:sz w:val="20"/>
              </w:rPr>
              <w:t>5,015</w:t>
            </w:r>
          </w:p>
        </w:tc>
        <w:tc>
          <w:tcPr>
            <w:tcW w:w="1909" w:type="dxa"/>
          </w:tcPr>
          <w:p w14:paraId="7326BFAC" w14:textId="77777777" w:rsidR="00EF3DFB" w:rsidRDefault="00D27C17">
            <w:pPr>
              <w:pStyle w:val="TableParagraph"/>
              <w:tabs>
                <w:tab w:val="left" w:pos="794"/>
              </w:tabs>
              <w:spacing w:before="40"/>
              <w:ind w:right="15"/>
              <w:jc w:val="right"/>
              <w:rPr>
                <w:sz w:val="20"/>
              </w:rPr>
            </w:pPr>
            <w:r>
              <w:rPr>
                <w:sz w:val="20"/>
              </w:rPr>
              <w:t>(978)</w:t>
            </w:r>
            <w:r>
              <w:rPr>
                <w:sz w:val="20"/>
              </w:rPr>
              <w:tab/>
              <w:t>(4,037)</w:t>
            </w:r>
          </w:p>
        </w:tc>
      </w:tr>
      <w:tr w:rsidR="00EF3DFB" w14:paraId="7326BFB3" w14:textId="77777777">
        <w:trPr>
          <w:trHeight w:val="300"/>
        </w:trPr>
        <w:tc>
          <w:tcPr>
            <w:tcW w:w="5512" w:type="dxa"/>
            <w:shd w:val="clear" w:color="auto" w:fill="CCEDFF"/>
          </w:tcPr>
          <w:p w14:paraId="7326BFAE" w14:textId="77777777" w:rsidR="00EF3DFB" w:rsidRDefault="00D27C17">
            <w:pPr>
              <w:pStyle w:val="TableParagraph"/>
              <w:spacing w:before="4"/>
              <w:ind w:left="52"/>
              <w:rPr>
                <w:sz w:val="20"/>
              </w:rPr>
            </w:pPr>
            <w:r>
              <w:rPr>
                <w:sz w:val="20"/>
              </w:rPr>
              <w:t>Cash used in financing activities</w:t>
            </w:r>
          </w:p>
        </w:tc>
        <w:tc>
          <w:tcPr>
            <w:tcW w:w="1160" w:type="dxa"/>
            <w:shd w:val="clear" w:color="auto" w:fill="CCEDFF"/>
          </w:tcPr>
          <w:p w14:paraId="7326BFAF" w14:textId="77777777" w:rsidR="00EF3DFB" w:rsidRDefault="00D27C17">
            <w:pPr>
              <w:pStyle w:val="TableParagraph"/>
              <w:spacing w:before="40"/>
              <w:ind w:right="136"/>
              <w:jc w:val="right"/>
              <w:rPr>
                <w:sz w:val="20"/>
              </w:rPr>
            </w:pPr>
            <w:r>
              <w:rPr>
                <w:sz w:val="20"/>
              </w:rPr>
              <w:t>—</w:t>
            </w:r>
          </w:p>
        </w:tc>
        <w:tc>
          <w:tcPr>
            <w:tcW w:w="1020" w:type="dxa"/>
            <w:shd w:val="clear" w:color="auto" w:fill="CCEDFF"/>
          </w:tcPr>
          <w:p w14:paraId="7326BFB0" w14:textId="77777777" w:rsidR="00EF3DFB" w:rsidRDefault="00D27C17">
            <w:pPr>
              <w:pStyle w:val="TableParagraph"/>
              <w:spacing w:before="40"/>
              <w:ind w:right="71"/>
              <w:jc w:val="right"/>
              <w:rPr>
                <w:sz w:val="20"/>
              </w:rPr>
            </w:pPr>
            <w:r>
              <w:rPr>
                <w:sz w:val="20"/>
              </w:rPr>
              <w:t>(932)</w:t>
            </w:r>
          </w:p>
        </w:tc>
        <w:tc>
          <w:tcPr>
            <w:tcW w:w="1020" w:type="dxa"/>
            <w:shd w:val="clear" w:color="auto" w:fill="CCEDFF"/>
          </w:tcPr>
          <w:p w14:paraId="7326BFB1" w14:textId="77777777" w:rsidR="00EF3DFB" w:rsidRDefault="00D27C17">
            <w:pPr>
              <w:pStyle w:val="TableParagraph"/>
              <w:spacing w:before="40"/>
              <w:ind w:right="71"/>
              <w:jc w:val="right"/>
              <w:rPr>
                <w:sz w:val="20"/>
              </w:rPr>
            </w:pPr>
            <w:r>
              <w:rPr>
                <w:sz w:val="20"/>
              </w:rPr>
              <w:t>(5,133)</w:t>
            </w:r>
          </w:p>
        </w:tc>
        <w:tc>
          <w:tcPr>
            <w:tcW w:w="1909" w:type="dxa"/>
            <w:shd w:val="clear" w:color="auto" w:fill="CCEDFF"/>
          </w:tcPr>
          <w:p w14:paraId="7326BFB2" w14:textId="77777777" w:rsidR="00EF3DFB" w:rsidRDefault="00D27C17">
            <w:pPr>
              <w:pStyle w:val="TableParagraph"/>
              <w:tabs>
                <w:tab w:val="left" w:pos="794"/>
              </w:tabs>
              <w:spacing w:before="40"/>
              <w:ind w:right="80"/>
              <w:jc w:val="right"/>
              <w:rPr>
                <w:sz w:val="20"/>
              </w:rPr>
            </w:pPr>
            <w:r>
              <w:rPr>
                <w:sz w:val="20"/>
              </w:rPr>
              <w:t>932</w:t>
            </w:r>
            <w:r>
              <w:rPr>
                <w:sz w:val="20"/>
              </w:rPr>
              <w:tab/>
              <w:t>4,201</w:t>
            </w:r>
          </w:p>
        </w:tc>
      </w:tr>
      <w:tr w:rsidR="00EF3DFB" w14:paraId="7326BFB9" w14:textId="77777777">
        <w:trPr>
          <w:trHeight w:val="300"/>
        </w:trPr>
        <w:tc>
          <w:tcPr>
            <w:tcW w:w="5512" w:type="dxa"/>
          </w:tcPr>
          <w:p w14:paraId="7326BFB4" w14:textId="77777777" w:rsidR="00EF3DFB" w:rsidRDefault="00D27C17">
            <w:pPr>
              <w:pStyle w:val="TableParagraph"/>
              <w:spacing w:before="1"/>
              <w:ind w:left="52"/>
              <w:rPr>
                <w:b/>
                <w:i/>
                <w:sz w:val="20"/>
              </w:rPr>
            </w:pPr>
            <w:r>
              <w:rPr>
                <w:b/>
                <w:i/>
                <w:sz w:val="20"/>
                <w:u w:val="single"/>
              </w:rPr>
              <w:t>Total Company</w:t>
            </w:r>
          </w:p>
        </w:tc>
        <w:tc>
          <w:tcPr>
            <w:tcW w:w="1160" w:type="dxa"/>
          </w:tcPr>
          <w:p w14:paraId="7326BFB5" w14:textId="77777777" w:rsidR="00EF3DFB" w:rsidRDefault="00EF3DFB">
            <w:pPr>
              <w:pStyle w:val="TableParagraph"/>
              <w:rPr>
                <w:sz w:val="18"/>
              </w:rPr>
            </w:pPr>
          </w:p>
        </w:tc>
        <w:tc>
          <w:tcPr>
            <w:tcW w:w="1020" w:type="dxa"/>
          </w:tcPr>
          <w:p w14:paraId="7326BFB6" w14:textId="77777777" w:rsidR="00EF3DFB" w:rsidRDefault="00EF3DFB">
            <w:pPr>
              <w:pStyle w:val="TableParagraph"/>
              <w:rPr>
                <w:sz w:val="18"/>
              </w:rPr>
            </w:pPr>
          </w:p>
        </w:tc>
        <w:tc>
          <w:tcPr>
            <w:tcW w:w="1020" w:type="dxa"/>
          </w:tcPr>
          <w:p w14:paraId="7326BFB7" w14:textId="77777777" w:rsidR="00EF3DFB" w:rsidRDefault="00EF3DFB">
            <w:pPr>
              <w:pStyle w:val="TableParagraph"/>
              <w:rPr>
                <w:sz w:val="18"/>
              </w:rPr>
            </w:pPr>
          </w:p>
        </w:tc>
        <w:tc>
          <w:tcPr>
            <w:tcW w:w="1909" w:type="dxa"/>
          </w:tcPr>
          <w:p w14:paraId="7326BFB8" w14:textId="77777777" w:rsidR="00EF3DFB" w:rsidRDefault="00EF3DFB">
            <w:pPr>
              <w:pStyle w:val="TableParagraph"/>
              <w:rPr>
                <w:sz w:val="18"/>
              </w:rPr>
            </w:pPr>
          </w:p>
        </w:tc>
      </w:tr>
      <w:tr w:rsidR="00EF3DFB" w14:paraId="7326BFBF" w14:textId="77777777">
        <w:trPr>
          <w:trHeight w:val="300"/>
        </w:trPr>
        <w:tc>
          <w:tcPr>
            <w:tcW w:w="5512" w:type="dxa"/>
            <w:shd w:val="clear" w:color="auto" w:fill="CCEDFF"/>
          </w:tcPr>
          <w:p w14:paraId="7326BFBA" w14:textId="77777777" w:rsidR="00EF3DFB" w:rsidRDefault="00D27C17">
            <w:pPr>
              <w:pStyle w:val="TableParagraph"/>
              <w:spacing w:before="4"/>
              <w:ind w:left="52"/>
              <w:rPr>
                <w:sz w:val="20"/>
              </w:rPr>
            </w:pPr>
            <w:r>
              <w:rPr>
                <w:sz w:val="20"/>
              </w:rPr>
              <w:t>Cash provided by operating activities</w:t>
            </w:r>
          </w:p>
        </w:tc>
        <w:tc>
          <w:tcPr>
            <w:tcW w:w="1160" w:type="dxa"/>
            <w:shd w:val="clear" w:color="auto" w:fill="CCEDFF"/>
          </w:tcPr>
          <w:p w14:paraId="7326BFBB" w14:textId="77777777" w:rsidR="00EF3DFB" w:rsidRDefault="00D27C17">
            <w:pPr>
              <w:pStyle w:val="TableParagraph"/>
              <w:tabs>
                <w:tab w:val="left" w:pos="571"/>
              </w:tabs>
              <w:spacing w:before="40"/>
              <w:ind w:left="210"/>
              <w:rPr>
                <w:sz w:val="20"/>
              </w:rPr>
            </w:pPr>
            <w:r>
              <w:rPr>
                <w:sz w:val="20"/>
              </w:rPr>
              <w:t>$</w:t>
            </w:r>
            <w:r>
              <w:rPr>
                <w:sz w:val="20"/>
              </w:rPr>
              <w:tab/>
              <w:t>1,432</w:t>
            </w:r>
          </w:p>
        </w:tc>
        <w:tc>
          <w:tcPr>
            <w:tcW w:w="1020" w:type="dxa"/>
            <w:shd w:val="clear" w:color="auto" w:fill="CCEDFF"/>
          </w:tcPr>
          <w:p w14:paraId="7326BFBC" w14:textId="77777777" w:rsidR="00EF3DFB" w:rsidRDefault="00D27C17">
            <w:pPr>
              <w:pStyle w:val="TableParagraph"/>
              <w:tabs>
                <w:tab w:val="left" w:pos="360"/>
              </w:tabs>
              <w:spacing w:before="40"/>
              <w:ind w:right="136"/>
              <w:jc w:val="right"/>
              <w:rPr>
                <w:sz w:val="20"/>
              </w:rPr>
            </w:pPr>
            <w:r>
              <w:rPr>
                <w:sz w:val="20"/>
              </w:rPr>
              <w:t>$</w:t>
            </w:r>
            <w:r>
              <w:rPr>
                <w:sz w:val="20"/>
              </w:rPr>
              <w:tab/>
              <w:t>1,044</w:t>
            </w:r>
          </w:p>
        </w:tc>
        <w:tc>
          <w:tcPr>
            <w:tcW w:w="1020" w:type="dxa"/>
            <w:shd w:val="clear" w:color="auto" w:fill="CCEDFF"/>
          </w:tcPr>
          <w:p w14:paraId="7326BFBD" w14:textId="77777777" w:rsidR="00EF3DFB" w:rsidRDefault="00D27C17">
            <w:pPr>
              <w:pStyle w:val="TableParagraph"/>
              <w:tabs>
                <w:tab w:val="left" w:pos="581"/>
              </w:tabs>
              <w:spacing w:before="40"/>
              <w:ind w:left="70"/>
              <w:rPr>
                <w:sz w:val="20"/>
              </w:rPr>
            </w:pPr>
            <w:r>
              <w:rPr>
                <w:sz w:val="20"/>
              </w:rPr>
              <w:t>$</w:t>
            </w:r>
            <w:r>
              <w:rPr>
                <w:sz w:val="20"/>
              </w:rPr>
              <w:tab/>
              <w:t>680</w:t>
            </w:r>
          </w:p>
        </w:tc>
        <w:tc>
          <w:tcPr>
            <w:tcW w:w="1909" w:type="dxa"/>
            <w:shd w:val="clear" w:color="auto" w:fill="CCEDFF"/>
          </w:tcPr>
          <w:p w14:paraId="7326BFBE" w14:textId="77777777" w:rsidR="00EF3DFB" w:rsidRDefault="00D27C17">
            <w:pPr>
              <w:pStyle w:val="TableParagraph"/>
              <w:tabs>
                <w:tab w:val="left" w:pos="581"/>
                <w:tab w:val="left" w:pos="1526"/>
              </w:tabs>
              <w:spacing w:before="40"/>
              <w:ind w:left="70"/>
              <w:rPr>
                <w:sz w:val="20"/>
              </w:rPr>
            </w:pPr>
            <w:r>
              <w:rPr>
                <w:sz w:val="20"/>
              </w:rPr>
              <w:t>$</w:t>
            </w:r>
            <w:r>
              <w:rPr>
                <w:sz w:val="20"/>
              </w:rPr>
              <w:tab/>
              <w:t xml:space="preserve">388 </w:t>
            </w:r>
            <w:r>
              <w:rPr>
                <w:spacing w:val="33"/>
                <w:sz w:val="20"/>
              </w:rPr>
              <w:t xml:space="preserve"> </w:t>
            </w:r>
            <w:r>
              <w:rPr>
                <w:sz w:val="20"/>
              </w:rPr>
              <w:t>$</w:t>
            </w:r>
            <w:r>
              <w:rPr>
                <w:sz w:val="20"/>
              </w:rPr>
              <w:tab/>
              <w:t>364</w:t>
            </w:r>
          </w:p>
        </w:tc>
      </w:tr>
      <w:tr w:rsidR="00EF3DFB" w14:paraId="7326BFC5" w14:textId="77777777">
        <w:trPr>
          <w:trHeight w:val="300"/>
        </w:trPr>
        <w:tc>
          <w:tcPr>
            <w:tcW w:w="5512" w:type="dxa"/>
          </w:tcPr>
          <w:p w14:paraId="7326BFC0" w14:textId="77777777" w:rsidR="00EF3DFB" w:rsidRDefault="00D27C17">
            <w:pPr>
              <w:pStyle w:val="TableParagraph"/>
              <w:spacing w:before="4"/>
              <w:ind w:left="52"/>
              <w:rPr>
                <w:sz w:val="20"/>
              </w:rPr>
            </w:pPr>
            <w:r>
              <w:rPr>
                <w:sz w:val="20"/>
              </w:rPr>
              <w:t>Cash provided by (used in) investing activities</w:t>
            </w:r>
          </w:p>
        </w:tc>
        <w:tc>
          <w:tcPr>
            <w:tcW w:w="1160" w:type="dxa"/>
          </w:tcPr>
          <w:p w14:paraId="7326BFC1" w14:textId="77777777" w:rsidR="00EF3DFB" w:rsidRDefault="00D27C17">
            <w:pPr>
              <w:pStyle w:val="TableParagraph"/>
              <w:spacing w:before="40"/>
              <w:ind w:right="71"/>
              <w:jc w:val="right"/>
              <w:rPr>
                <w:sz w:val="20"/>
              </w:rPr>
            </w:pPr>
            <w:r>
              <w:rPr>
                <w:sz w:val="20"/>
              </w:rPr>
              <w:t>(228)</w:t>
            </w:r>
          </w:p>
        </w:tc>
        <w:tc>
          <w:tcPr>
            <w:tcW w:w="1020" w:type="dxa"/>
          </w:tcPr>
          <w:p w14:paraId="7326BFC2" w14:textId="77777777" w:rsidR="00EF3DFB" w:rsidRDefault="00D27C17">
            <w:pPr>
              <w:pStyle w:val="TableParagraph"/>
              <w:spacing w:before="40"/>
              <w:ind w:right="136"/>
              <w:jc w:val="right"/>
              <w:rPr>
                <w:sz w:val="20"/>
              </w:rPr>
            </w:pPr>
            <w:r>
              <w:rPr>
                <w:sz w:val="20"/>
              </w:rPr>
              <w:t>736</w:t>
            </w:r>
          </w:p>
        </w:tc>
        <w:tc>
          <w:tcPr>
            <w:tcW w:w="1020" w:type="dxa"/>
          </w:tcPr>
          <w:p w14:paraId="7326BFC3" w14:textId="77777777" w:rsidR="00EF3DFB" w:rsidRDefault="00D27C17">
            <w:pPr>
              <w:pStyle w:val="TableParagraph"/>
              <w:spacing w:before="40"/>
              <w:ind w:right="136"/>
              <w:jc w:val="right"/>
              <w:rPr>
                <w:sz w:val="20"/>
              </w:rPr>
            </w:pPr>
            <w:r>
              <w:rPr>
                <w:sz w:val="20"/>
              </w:rPr>
              <w:t>4,807</w:t>
            </w:r>
          </w:p>
        </w:tc>
        <w:tc>
          <w:tcPr>
            <w:tcW w:w="1909" w:type="dxa"/>
          </w:tcPr>
          <w:p w14:paraId="7326BFC4" w14:textId="77777777" w:rsidR="00EF3DFB" w:rsidRDefault="00D27C17">
            <w:pPr>
              <w:pStyle w:val="TableParagraph"/>
              <w:tabs>
                <w:tab w:val="left" w:pos="794"/>
              </w:tabs>
              <w:spacing w:before="40"/>
              <w:ind w:right="15"/>
              <w:jc w:val="right"/>
              <w:rPr>
                <w:sz w:val="20"/>
              </w:rPr>
            </w:pPr>
            <w:r>
              <w:rPr>
                <w:sz w:val="20"/>
              </w:rPr>
              <w:t>(964)</w:t>
            </w:r>
            <w:r>
              <w:rPr>
                <w:sz w:val="20"/>
              </w:rPr>
              <w:tab/>
              <w:t>(4,071)</w:t>
            </w:r>
          </w:p>
        </w:tc>
      </w:tr>
      <w:tr w:rsidR="00EF3DFB" w14:paraId="7326BFCB" w14:textId="77777777">
        <w:trPr>
          <w:trHeight w:val="300"/>
        </w:trPr>
        <w:tc>
          <w:tcPr>
            <w:tcW w:w="5512" w:type="dxa"/>
            <w:shd w:val="clear" w:color="auto" w:fill="CCEDFF"/>
          </w:tcPr>
          <w:p w14:paraId="7326BFC6" w14:textId="77777777" w:rsidR="00EF3DFB" w:rsidRDefault="00D27C17">
            <w:pPr>
              <w:pStyle w:val="TableParagraph"/>
              <w:spacing w:before="4"/>
              <w:ind w:left="52"/>
              <w:rPr>
                <w:sz w:val="20"/>
              </w:rPr>
            </w:pPr>
            <w:r>
              <w:rPr>
                <w:sz w:val="20"/>
              </w:rPr>
              <w:t>Cash used in financing activities</w:t>
            </w:r>
          </w:p>
        </w:tc>
        <w:tc>
          <w:tcPr>
            <w:tcW w:w="1160" w:type="dxa"/>
            <w:shd w:val="clear" w:color="auto" w:fill="CCEDFF"/>
          </w:tcPr>
          <w:p w14:paraId="7326BFC7" w14:textId="77777777" w:rsidR="00EF3DFB" w:rsidRDefault="00D27C17">
            <w:pPr>
              <w:pStyle w:val="TableParagraph"/>
              <w:spacing w:before="40"/>
              <w:ind w:right="71"/>
              <w:jc w:val="right"/>
              <w:rPr>
                <w:sz w:val="20"/>
              </w:rPr>
            </w:pPr>
            <w:r>
              <w:rPr>
                <w:sz w:val="20"/>
              </w:rPr>
              <w:t>(559)</w:t>
            </w:r>
          </w:p>
        </w:tc>
        <w:tc>
          <w:tcPr>
            <w:tcW w:w="1020" w:type="dxa"/>
            <w:shd w:val="clear" w:color="auto" w:fill="CCEDFF"/>
          </w:tcPr>
          <w:p w14:paraId="7326BFC8" w14:textId="77777777" w:rsidR="00EF3DFB" w:rsidRDefault="00D27C17">
            <w:pPr>
              <w:pStyle w:val="TableParagraph"/>
              <w:spacing w:before="40"/>
              <w:ind w:right="71"/>
              <w:jc w:val="right"/>
              <w:rPr>
                <w:sz w:val="20"/>
              </w:rPr>
            </w:pPr>
            <w:r>
              <w:rPr>
                <w:sz w:val="20"/>
              </w:rPr>
              <w:t>(1,904)</w:t>
            </w:r>
          </w:p>
        </w:tc>
        <w:tc>
          <w:tcPr>
            <w:tcW w:w="1020" w:type="dxa"/>
            <w:shd w:val="clear" w:color="auto" w:fill="CCEDFF"/>
          </w:tcPr>
          <w:p w14:paraId="7326BFC9" w14:textId="77777777" w:rsidR="00EF3DFB" w:rsidRDefault="00D27C17">
            <w:pPr>
              <w:pStyle w:val="TableParagraph"/>
              <w:spacing w:before="40"/>
              <w:ind w:right="71"/>
              <w:jc w:val="right"/>
              <w:rPr>
                <w:sz w:val="20"/>
              </w:rPr>
            </w:pPr>
            <w:r>
              <w:rPr>
                <w:sz w:val="20"/>
              </w:rPr>
              <w:t>(5,454)</w:t>
            </w:r>
          </w:p>
        </w:tc>
        <w:tc>
          <w:tcPr>
            <w:tcW w:w="1909" w:type="dxa"/>
            <w:shd w:val="clear" w:color="auto" w:fill="CCEDFF"/>
          </w:tcPr>
          <w:p w14:paraId="7326BFCA" w14:textId="77777777" w:rsidR="00EF3DFB" w:rsidRDefault="00D27C17">
            <w:pPr>
              <w:pStyle w:val="TableParagraph"/>
              <w:tabs>
                <w:tab w:val="left" w:pos="944"/>
              </w:tabs>
              <w:spacing w:before="40"/>
              <w:ind w:right="80"/>
              <w:jc w:val="right"/>
              <w:rPr>
                <w:sz w:val="20"/>
              </w:rPr>
            </w:pPr>
            <w:r>
              <w:rPr>
                <w:sz w:val="20"/>
              </w:rPr>
              <w:t>1,345</w:t>
            </w:r>
            <w:r>
              <w:rPr>
                <w:sz w:val="20"/>
              </w:rPr>
              <w:tab/>
              <w:t>3,550</w:t>
            </w:r>
          </w:p>
        </w:tc>
      </w:tr>
      <w:tr w:rsidR="00EF3DFB" w14:paraId="7326BFD1" w14:textId="77777777">
        <w:trPr>
          <w:trHeight w:val="290"/>
        </w:trPr>
        <w:tc>
          <w:tcPr>
            <w:tcW w:w="5512" w:type="dxa"/>
          </w:tcPr>
          <w:p w14:paraId="7326BFCC" w14:textId="77777777" w:rsidR="00EF3DFB" w:rsidRDefault="00D27C17">
            <w:pPr>
              <w:pStyle w:val="TableParagraph"/>
              <w:spacing w:before="4"/>
              <w:ind w:left="52"/>
              <w:rPr>
                <w:sz w:val="20"/>
              </w:rPr>
            </w:pPr>
            <w:r>
              <w:rPr>
                <w:sz w:val="20"/>
              </w:rPr>
              <w:t>Exchange rate effect on cash, cash equivalents and restricted cash</w:t>
            </w:r>
          </w:p>
        </w:tc>
        <w:tc>
          <w:tcPr>
            <w:tcW w:w="1160" w:type="dxa"/>
            <w:tcBorders>
              <w:bottom w:val="single" w:sz="8" w:space="0" w:color="000000"/>
            </w:tcBorders>
          </w:tcPr>
          <w:p w14:paraId="7326BFCD" w14:textId="77777777" w:rsidR="00EF3DFB" w:rsidRDefault="00D27C17">
            <w:pPr>
              <w:pStyle w:val="TableParagraph"/>
              <w:spacing w:before="40" w:line="230" w:lineRule="exact"/>
              <w:ind w:right="136"/>
              <w:jc w:val="right"/>
              <w:rPr>
                <w:sz w:val="20"/>
              </w:rPr>
            </w:pPr>
            <w:r>
              <w:rPr>
                <w:sz w:val="20"/>
              </w:rPr>
              <w:t>5</w:t>
            </w:r>
          </w:p>
        </w:tc>
        <w:tc>
          <w:tcPr>
            <w:tcW w:w="1020" w:type="dxa"/>
            <w:tcBorders>
              <w:bottom w:val="single" w:sz="8" w:space="0" w:color="000000"/>
            </w:tcBorders>
          </w:tcPr>
          <w:p w14:paraId="7326BFCE" w14:textId="77777777" w:rsidR="00EF3DFB" w:rsidRDefault="00D27C17">
            <w:pPr>
              <w:pStyle w:val="TableParagraph"/>
              <w:spacing w:before="40" w:line="230" w:lineRule="exact"/>
              <w:ind w:right="71"/>
              <w:jc w:val="right"/>
              <w:rPr>
                <w:sz w:val="20"/>
              </w:rPr>
            </w:pPr>
            <w:r>
              <w:rPr>
                <w:sz w:val="20"/>
              </w:rPr>
              <w:t>(1)</w:t>
            </w:r>
          </w:p>
        </w:tc>
        <w:tc>
          <w:tcPr>
            <w:tcW w:w="1020" w:type="dxa"/>
            <w:tcBorders>
              <w:bottom w:val="single" w:sz="8" w:space="0" w:color="000000"/>
            </w:tcBorders>
          </w:tcPr>
          <w:p w14:paraId="7326BFCF" w14:textId="77777777" w:rsidR="00EF3DFB" w:rsidRDefault="00D27C17">
            <w:pPr>
              <w:pStyle w:val="TableParagraph"/>
              <w:spacing w:before="40" w:line="230" w:lineRule="exact"/>
              <w:ind w:right="71"/>
              <w:jc w:val="right"/>
              <w:rPr>
                <w:sz w:val="20"/>
              </w:rPr>
            </w:pPr>
            <w:r>
              <w:rPr>
                <w:sz w:val="20"/>
              </w:rPr>
              <w:t>(23)</w:t>
            </w:r>
          </w:p>
        </w:tc>
        <w:tc>
          <w:tcPr>
            <w:tcW w:w="1909" w:type="dxa"/>
            <w:tcBorders>
              <w:bottom w:val="single" w:sz="8" w:space="0" w:color="000000"/>
            </w:tcBorders>
          </w:tcPr>
          <w:p w14:paraId="7326BFD0" w14:textId="77777777" w:rsidR="00EF3DFB" w:rsidRDefault="00D27C17">
            <w:pPr>
              <w:pStyle w:val="TableParagraph"/>
              <w:tabs>
                <w:tab w:val="left" w:pos="844"/>
              </w:tabs>
              <w:spacing w:before="40" w:line="230" w:lineRule="exact"/>
              <w:ind w:right="80"/>
              <w:jc w:val="right"/>
              <w:rPr>
                <w:sz w:val="20"/>
              </w:rPr>
            </w:pPr>
            <w:r>
              <w:rPr>
                <w:sz w:val="20"/>
              </w:rPr>
              <w:t>6</w:t>
            </w:r>
            <w:r>
              <w:rPr>
                <w:sz w:val="20"/>
              </w:rPr>
              <w:tab/>
              <w:t>22</w:t>
            </w:r>
          </w:p>
        </w:tc>
      </w:tr>
      <w:tr w:rsidR="00EF3DFB" w14:paraId="7326BFD7" w14:textId="77777777">
        <w:trPr>
          <w:trHeight w:val="290"/>
        </w:trPr>
        <w:tc>
          <w:tcPr>
            <w:tcW w:w="5512" w:type="dxa"/>
            <w:shd w:val="clear" w:color="auto" w:fill="CCEDFF"/>
          </w:tcPr>
          <w:p w14:paraId="7326BFD2" w14:textId="77777777" w:rsidR="00EF3DFB" w:rsidRDefault="00D27C17">
            <w:pPr>
              <w:pStyle w:val="TableParagraph"/>
              <w:spacing w:line="224" w:lineRule="exact"/>
              <w:ind w:left="52"/>
              <w:rPr>
                <w:sz w:val="20"/>
              </w:rPr>
            </w:pPr>
            <w:r>
              <w:rPr>
                <w:sz w:val="20"/>
              </w:rPr>
              <w:t>Increase (decrease) in cash, cash equivalents and restricted cash</w:t>
            </w:r>
          </w:p>
        </w:tc>
        <w:tc>
          <w:tcPr>
            <w:tcW w:w="1160" w:type="dxa"/>
            <w:tcBorders>
              <w:top w:val="single" w:sz="8" w:space="0" w:color="000000"/>
            </w:tcBorders>
            <w:shd w:val="clear" w:color="auto" w:fill="CCEDFF"/>
          </w:tcPr>
          <w:p w14:paraId="7326BFD3" w14:textId="77777777" w:rsidR="00EF3DFB" w:rsidRDefault="00D27C17">
            <w:pPr>
              <w:pStyle w:val="TableParagraph"/>
              <w:tabs>
                <w:tab w:val="left" w:pos="721"/>
              </w:tabs>
              <w:spacing w:before="30"/>
              <w:ind w:left="210"/>
              <w:rPr>
                <w:sz w:val="20"/>
              </w:rPr>
            </w:pPr>
            <w:r>
              <w:rPr>
                <w:sz w:val="20"/>
                <w:u w:val="single"/>
              </w:rPr>
              <w:t>$</w:t>
            </w:r>
            <w:r>
              <w:rPr>
                <w:sz w:val="20"/>
                <w:u w:val="single"/>
              </w:rPr>
              <w:tab/>
              <w:t>650</w:t>
            </w:r>
          </w:p>
        </w:tc>
        <w:tc>
          <w:tcPr>
            <w:tcW w:w="1020" w:type="dxa"/>
            <w:tcBorders>
              <w:top w:val="single" w:sz="8" w:space="0" w:color="000000"/>
            </w:tcBorders>
            <w:shd w:val="clear" w:color="auto" w:fill="CCEDFF"/>
          </w:tcPr>
          <w:p w14:paraId="7326BFD4" w14:textId="77777777" w:rsidR="00EF3DFB" w:rsidRDefault="00D27C17">
            <w:pPr>
              <w:pStyle w:val="TableParagraph"/>
              <w:tabs>
                <w:tab w:val="left" w:pos="444"/>
              </w:tabs>
              <w:spacing w:before="30"/>
              <w:ind w:right="71"/>
              <w:jc w:val="right"/>
              <w:rPr>
                <w:sz w:val="20"/>
              </w:rPr>
            </w:pPr>
            <w:r>
              <w:rPr>
                <w:sz w:val="20"/>
                <w:u w:val="single"/>
              </w:rPr>
              <w:t>$</w:t>
            </w:r>
            <w:r>
              <w:rPr>
                <w:sz w:val="20"/>
                <w:u w:val="single"/>
              </w:rPr>
              <w:tab/>
            </w:r>
            <w:r>
              <w:rPr>
                <w:spacing w:val="-1"/>
                <w:sz w:val="20"/>
                <w:u w:val="single"/>
              </w:rPr>
              <w:t>(125)</w:t>
            </w:r>
          </w:p>
        </w:tc>
        <w:tc>
          <w:tcPr>
            <w:tcW w:w="1020" w:type="dxa"/>
            <w:tcBorders>
              <w:top w:val="single" w:sz="8" w:space="0" w:color="000000"/>
            </w:tcBorders>
            <w:shd w:val="clear" w:color="auto" w:fill="CCEDFF"/>
          </w:tcPr>
          <w:p w14:paraId="7326BFD5" w14:textId="77777777" w:rsidR="00EF3DFB" w:rsidRDefault="00D27C17">
            <w:pPr>
              <w:pStyle w:val="TableParagraph"/>
              <w:tabs>
                <w:tab w:val="left" w:pos="681"/>
              </w:tabs>
              <w:spacing w:before="30"/>
              <w:ind w:left="70"/>
              <w:rPr>
                <w:sz w:val="20"/>
              </w:rPr>
            </w:pPr>
            <w:r>
              <w:rPr>
                <w:sz w:val="20"/>
                <w:u w:val="single"/>
              </w:rPr>
              <w:t>$</w:t>
            </w:r>
            <w:r>
              <w:rPr>
                <w:sz w:val="20"/>
                <w:u w:val="single"/>
              </w:rPr>
              <w:tab/>
              <w:t>10</w:t>
            </w:r>
          </w:p>
        </w:tc>
        <w:tc>
          <w:tcPr>
            <w:tcW w:w="1909" w:type="dxa"/>
            <w:tcBorders>
              <w:top w:val="single" w:sz="8" w:space="0" w:color="000000"/>
            </w:tcBorders>
            <w:shd w:val="clear" w:color="auto" w:fill="CCEDFF"/>
          </w:tcPr>
          <w:p w14:paraId="7326BFD6" w14:textId="77777777" w:rsidR="00EF3DFB" w:rsidRDefault="00D27C17">
            <w:pPr>
              <w:pStyle w:val="TableParagraph"/>
              <w:tabs>
                <w:tab w:val="left" w:pos="510"/>
                <w:tab w:val="left" w:pos="1389"/>
              </w:tabs>
              <w:spacing w:before="30"/>
              <w:ind w:right="15"/>
              <w:jc w:val="right"/>
              <w:rPr>
                <w:sz w:val="20"/>
              </w:rPr>
            </w:pPr>
            <w:r>
              <w:rPr>
                <w:sz w:val="20"/>
                <w:u w:val="single"/>
              </w:rPr>
              <w:t>$</w:t>
            </w:r>
            <w:r>
              <w:rPr>
                <w:sz w:val="20"/>
                <w:u w:val="single"/>
              </w:rPr>
              <w:tab/>
              <w:t xml:space="preserve">775 </w:t>
            </w:r>
            <w:r>
              <w:rPr>
                <w:spacing w:val="33"/>
                <w:sz w:val="20"/>
                <w:u w:val="single"/>
              </w:rPr>
              <w:t xml:space="preserve"> </w:t>
            </w:r>
            <w:r>
              <w:rPr>
                <w:sz w:val="20"/>
                <w:u w:val="single"/>
              </w:rPr>
              <w:t>$</w:t>
            </w:r>
            <w:r>
              <w:rPr>
                <w:sz w:val="20"/>
                <w:u w:val="single"/>
              </w:rPr>
              <w:tab/>
              <w:t>(135)</w:t>
            </w:r>
          </w:p>
        </w:tc>
      </w:tr>
    </w:tbl>
    <w:p w14:paraId="7326BFD8" w14:textId="52E307EB" w:rsidR="00EF3DFB" w:rsidRDefault="00D27C17">
      <w:pPr>
        <w:spacing w:line="20" w:lineRule="exact"/>
        <w:ind w:left="5850"/>
        <w:rPr>
          <w:sz w:val="2"/>
        </w:rPr>
      </w:pPr>
      <w:r>
        <w:rPr>
          <w:noProof/>
          <w:sz w:val="2"/>
        </w:rPr>
        <mc:AlternateContent>
          <mc:Choice Requires="wpg">
            <w:drawing>
              <wp:inline distT="0" distB="0" distL="0" distR="0" wp14:anchorId="7326D6F3" wp14:editId="7B179604">
                <wp:extent cx="600075" cy="12700"/>
                <wp:effectExtent l="12700" t="5080" r="6350" b="1270"/>
                <wp:docPr id="49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2700"/>
                          <a:chOff x="0" y="0"/>
                          <a:chExt cx="945" cy="20"/>
                        </a:xfrm>
                      </wpg:grpSpPr>
                      <wps:wsp>
                        <wps:cNvPr id="500" name="Line 483"/>
                        <wps:cNvCnPr>
                          <a:cxnSpLocks noChangeShapeType="1"/>
                        </wps:cNvCnPr>
                        <wps:spPr bwMode="auto">
                          <a:xfrm>
                            <a:off x="0" y="10"/>
                            <a:ext cx="9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39F3D" id="Group 482" o:spid="_x0000_s1026" style="width:47.25pt;height:1pt;mso-position-horizontal-relative:char;mso-position-vertical-relative:line" coordsize="9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">
                <v:line id="Line 483" o:spid="_x0000_s1027" style="position:absolute;visibility:visible;mso-wrap-style:square" from="0,10" to="9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6F5" wp14:editId="3D2A6F2A">
                <wp:extent cx="600075" cy="12700"/>
                <wp:effectExtent l="12700" t="5080" r="15875" b="1270"/>
                <wp:docPr id="497"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2700"/>
                          <a:chOff x="0" y="0"/>
                          <a:chExt cx="945" cy="20"/>
                        </a:xfrm>
                      </wpg:grpSpPr>
                      <wps:wsp>
                        <wps:cNvPr id="498" name="Line 481"/>
                        <wps:cNvCnPr>
                          <a:cxnSpLocks noChangeShapeType="1"/>
                        </wps:cNvCnPr>
                        <wps:spPr bwMode="auto">
                          <a:xfrm>
                            <a:off x="0" y="10"/>
                            <a:ext cx="9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AD43F" id="Group 480" o:spid="_x0000_s1026" style="width:47.25pt;height:1pt;mso-position-horizontal-relative:char;mso-position-vertical-relative:line" coordsize="9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">
                <v:line id="Line 481" o:spid="_x0000_s1027" style="position:absolute;visibility:visible;mso-wrap-style:square" from="0,10" to="9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6F7" wp14:editId="63BF31FD">
                <wp:extent cx="600075" cy="12700"/>
                <wp:effectExtent l="12700" t="5080" r="6350" b="1270"/>
                <wp:docPr id="495"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2700"/>
                          <a:chOff x="0" y="0"/>
                          <a:chExt cx="945" cy="20"/>
                        </a:xfrm>
                      </wpg:grpSpPr>
                      <wps:wsp>
                        <wps:cNvPr id="496" name="Line 479"/>
                        <wps:cNvCnPr>
                          <a:cxnSpLocks noChangeShapeType="1"/>
                        </wps:cNvCnPr>
                        <wps:spPr bwMode="auto">
                          <a:xfrm>
                            <a:off x="0" y="10"/>
                            <a:ext cx="9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17B7E" id="Group 478" o:spid="_x0000_s1026" style="width:47.25pt;height:1pt;mso-position-horizontal-relative:char;mso-position-vertical-relative:line" coordsize="9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">
                <v:line id="Line 479" o:spid="_x0000_s1027" style="position:absolute;visibility:visible;mso-wrap-style:square" from="0,10" to="9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6F9" wp14:editId="2A8AF62B">
                <wp:extent cx="1200150" cy="12700"/>
                <wp:effectExtent l="12700" t="5080" r="6350" b="1270"/>
                <wp:docPr id="493"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2700"/>
                          <a:chOff x="0" y="0"/>
                          <a:chExt cx="1890" cy="20"/>
                        </a:xfrm>
                      </wpg:grpSpPr>
                      <wps:wsp>
                        <wps:cNvPr id="494" name="Line 477"/>
                        <wps:cNvCnPr>
                          <a:cxnSpLocks noChangeShapeType="1"/>
                        </wps:cNvCnPr>
                        <wps:spPr bwMode="auto">
                          <a:xfrm>
                            <a:off x="0" y="10"/>
                            <a:ext cx="18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56597A" id="Group 476" o:spid="_x0000_s1026" style="width:94.5pt;height:1pt;mso-position-horizontal-relative:char;mso-position-vertical-relative:line" coordsize="1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">
                <v:line id="Line 477" o:spid="_x0000_s1027" style="position:absolute;visibility:visible;mso-wrap-style:square" from="0,10" to="18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" strokeweight="1pt"/>
                <w10:anchorlock/>
              </v:group>
            </w:pict>
          </mc:Fallback>
        </mc:AlternateContent>
      </w:r>
    </w:p>
    <w:p w14:paraId="7326BFD9" w14:textId="77777777" w:rsidR="00EF3DFB" w:rsidRDefault="00EF3DFB">
      <w:pPr>
        <w:pStyle w:val="BodyText"/>
        <w:spacing w:before="7"/>
        <w:rPr>
          <w:b/>
          <w:sz w:val="23"/>
        </w:rPr>
      </w:pPr>
    </w:p>
    <w:p w14:paraId="7326BFDA" w14:textId="77777777" w:rsidR="00EF3DFB" w:rsidRDefault="00D27C17">
      <w:pPr>
        <w:pStyle w:val="BodyText"/>
        <w:spacing w:line="249" w:lineRule="auto"/>
        <w:ind w:left="190" w:right="168"/>
        <w:jc w:val="both"/>
      </w:pPr>
      <w:r>
        <w:t>The Company tends to generate the majority of its operating cash flow in third and fourth quarters of the year due to seasonal variations in operating results, the timing of annual performance-based compensation payments, working capital requirements and c</w:t>
      </w:r>
      <w:r>
        <w:t>redit terms provided to customers.</w:t>
      </w:r>
    </w:p>
    <w:p w14:paraId="7326BFDB" w14:textId="77777777" w:rsidR="00EF3DFB" w:rsidRDefault="00EF3DFB">
      <w:pPr>
        <w:pStyle w:val="BodyText"/>
        <w:spacing w:before="1"/>
        <w:rPr>
          <w:sz w:val="21"/>
        </w:rPr>
      </w:pPr>
    </w:p>
    <w:p w14:paraId="7326BFDC" w14:textId="77777777" w:rsidR="00EF3DFB" w:rsidRDefault="00D27C17">
      <w:pPr>
        <w:ind w:left="190"/>
        <w:rPr>
          <w:i/>
          <w:sz w:val="20"/>
        </w:rPr>
      </w:pPr>
      <w:r>
        <w:rPr>
          <w:i/>
          <w:sz w:val="20"/>
        </w:rPr>
        <w:t>Factors Affecting Liquidity</w:t>
      </w:r>
    </w:p>
    <w:p w14:paraId="7326BFDD" w14:textId="77777777" w:rsidR="00EF3DFB" w:rsidRDefault="00EF3DFB">
      <w:pPr>
        <w:pStyle w:val="BodyText"/>
        <w:spacing w:before="8"/>
        <w:rPr>
          <w:i/>
          <w:sz w:val="21"/>
        </w:rPr>
      </w:pPr>
    </w:p>
    <w:p w14:paraId="7326BFDE" w14:textId="77777777" w:rsidR="00EF3DFB" w:rsidRDefault="00D27C17">
      <w:pPr>
        <w:pStyle w:val="BodyText"/>
        <w:spacing w:before="1" w:line="249" w:lineRule="auto"/>
        <w:ind w:left="190" w:right="168"/>
        <w:jc w:val="both"/>
      </w:pPr>
      <w:r>
        <w:t>As a result of the debt ratings downgrades by Moody’s Corporation ("Moody’s") and S&amp;P Global Inc. ("S&amp;P") described in Footnote 9 of the Notes to Consolidated Financial Statements, the Compan</w:t>
      </w:r>
      <w:r>
        <w:t>y’s ability to borrow from the commercial paper market on terms it deems acceptable or favorable was eliminated. Previously, the Company was able to issue commercial paper up to a maximum of $800 million provided there was a sufficient amount available for</w:t>
      </w:r>
      <w:r>
        <w:t xml:space="preserve"> borrowing under the Credit Revolver. The Company’s ability to borrow under the Credit Revolver was not affected by the downgrades. As such, the Company does not expect any change in its ability to access liquidity in the short term as a result of the down</w:t>
      </w:r>
      <w:r>
        <w:t>grades. The interest rate for borrowings under the</w:t>
      </w:r>
    </w:p>
    <w:p w14:paraId="7326BFDF" w14:textId="77777777" w:rsidR="00EF3DFB" w:rsidRDefault="00EF3DFB">
      <w:pPr>
        <w:spacing w:line="249" w:lineRule="auto"/>
        <w:jc w:val="both"/>
        <w:sectPr w:rsidR="00EF3DFB">
          <w:pgSz w:w="12240" w:h="15840"/>
          <w:pgMar w:top="600" w:right="640" w:bottom="480" w:left="620" w:header="0" w:footer="291" w:gutter="0"/>
          <w:cols w:space="720"/>
        </w:sectPr>
      </w:pPr>
    </w:p>
    <w:p w14:paraId="7326BFE0" w14:textId="77777777" w:rsidR="00EF3DFB" w:rsidRDefault="00D27C17">
      <w:pPr>
        <w:pStyle w:val="BodyText"/>
        <w:spacing w:before="72" w:line="249" w:lineRule="auto"/>
        <w:ind w:left="190" w:right="168"/>
        <w:jc w:val="both"/>
      </w:pPr>
      <w:r>
        <w:lastRenderedPageBreak/>
        <w:t>Credit Revolver is the borrowing period referenced LIBOR rate plus 127.5 basis points. On April 15, 2020, Fitch Ratings ("Fitch") downgraded the Company’s debt rating to "BB" as they believed the Company would fail to meet Fitch's target debt level for 202</w:t>
      </w:r>
      <w:r>
        <w:t>0.</w:t>
      </w:r>
    </w:p>
    <w:p w14:paraId="7326BFE1" w14:textId="77777777" w:rsidR="00EF3DFB" w:rsidRDefault="00EF3DFB">
      <w:pPr>
        <w:pStyle w:val="BodyText"/>
        <w:rPr>
          <w:sz w:val="21"/>
        </w:rPr>
      </w:pPr>
    </w:p>
    <w:p w14:paraId="7326BFE2" w14:textId="77777777" w:rsidR="00EF3DFB" w:rsidRDefault="00D27C17">
      <w:pPr>
        <w:pStyle w:val="BodyText"/>
        <w:spacing w:line="249" w:lineRule="auto"/>
        <w:ind w:left="190" w:right="170"/>
        <w:jc w:val="both"/>
      </w:pPr>
      <w:r>
        <w:t>The Credit Revolver requires the maintenance of certain financial covenants. A failure by the Company to maintain its financial covenants would impair its ability to borrow under the Credit Revolver. At the time of filing this Annual Report on Form 10-</w:t>
      </w:r>
      <w:r>
        <w:t>K, the Company is in compliance with all of its financial covenants.</w:t>
      </w:r>
    </w:p>
    <w:p w14:paraId="7326BFE3" w14:textId="77777777" w:rsidR="00EF3DFB" w:rsidRDefault="00EF3DFB">
      <w:pPr>
        <w:pStyle w:val="BodyText"/>
        <w:spacing w:before="1"/>
        <w:rPr>
          <w:sz w:val="21"/>
        </w:rPr>
      </w:pPr>
    </w:p>
    <w:p w14:paraId="7326BFE4" w14:textId="77777777" w:rsidR="00EF3DFB" w:rsidRDefault="00D27C17">
      <w:pPr>
        <w:pStyle w:val="BodyText"/>
        <w:spacing w:line="249" w:lineRule="auto"/>
        <w:ind w:left="190" w:right="169"/>
        <w:jc w:val="both"/>
      </w:pPr>
      <w:r>
        <w:t>In addition, certain of the Company’s Senior Notes aggregating to approximately $4.3 billion in principal amount outstanding are subject to an interest rate adjustment of 25 basis points</w:t>
      </w:r>
      <w:r>
        <w:t xml:space="preserve"> as a result of the downgrades from S&amp;P and Moody's, for a total of 50 basis points. This increase to the interest rates of each series of the Company's senior notes subject to adjustment increased the Company’s interest expense for 2020 by approximately $</w:t>
      </w:r>
      <w:r>
        <w:t>17 million and approximately $21 million thereafter, on an annualized basis. The Fitch downgrade did not impact the interest rates on any of the Company's senior</w:t>
      </w:r>
      <w:r>
        <w:rPr>
          <w:spacing w:val="-18"/>
        </w:rPr>
        <w:t xml:space="preserve"> </w:t>
      </w:r>
      <w:r>
        <w:t>notes.</w:t>
      </w:r>
    </w:p>
    <w:p w14:paraId="7326BFE5" w14:textId="77777777" w:rsidR="00EF3DFB" w:rsidRDefault="00EF3DFB">
      <w:pPr>
        <w:pStyle w:val="BodyText"/>
        <w:spacing w:before="2"/>
        <w:rPr>
          <w:sz w:val="21"/>
        </w:rPr>
      </w:pPr>
    </w:p>
    <w:p w14:paraId="7326BFE6" w14:textId="77777777" w:rsidR="00EF3DFB" w:rsidRDefault="00D27C17">
      <w:pPr>
        <w:pStyle w:val="BodyText"/>
        <w:spacing w:line="249" w:lineRule="auto"/>
        <w:ind w:left="190" w:right="170"/>
        <w:jc w:val="both"/>
      </w:pPr>
      <w:r>
        <w:t>Furthermore, the Company may be required to pay a higher interest rate in future finan</w:t>
      </w:r>
      <w:r>
        <w:t>cings, and its potential pool of investors and funding sources could decrease as a result of the downgrades.</w:t>
      </w:r>
    </w:p>
    <w:p w14:paraId="7326BFE7" w14:textId="77777777" w:rsidR="00EF3DFB" w:rsidRDefault="00EF3DFB">
      <w:pPr>
        <w:pStyle w:val="BodyText"/>
        <w:spacing w:before="9"/>
      </w:pPr>
    </w:p>
    <w:p w14:paraId="7326BFE8" w14:textId="77777777" w:rsidR="00EF3DFB" w:rsidRDefault="00D27C17">
      <w:pPr>
        <w:pStyle w:val="Heading3"/>
      </w:pPr>
      <w:r>
        <w:t>Cash Flows from Operating Activities</w:t>
      </w:r>
    </w:p>
    <w:p w14:paraId="7326BFE9" w14:textId="77777777" w:rsidR="00EF3DFB" w:rsidRDefault="00EF3DFB">
      <w:pPr>
        <w:pStyle w:val="BodyText"/>
        <w:rPr>
          <w:b/>
          <w:i/>
          <w:sz w:val="22"/>
        </w:rPr>
      </w:pPr>
    </w:p>
    <w:p w14:paraId="7326BFEA" w14:textId="77777777" w:rsidR="00EF3DFB" w:rsidRDefault="00D27C17">
      <w:pPr>
        <w:pStyle w:val="BodyText"/>
        <w:spacing w:line="249" w:lineRule="auto"/>
        <w:ind w:left="190" w:right="167"/>
        <w:jc w:val="both"/>
      </w:pPr>
      <w:r>
        <w:t>The change in net cash provided by operating activities is primarily due to successful working capital initi</w:t>
      </w:r>
      <w:r>
        <w:t>atives, which included: the extension of payment terms for goods and services with vendors, enhanced customer credit review and collections processes and evaluating supply purchases and focused inventory management. In addition, net cash from operating act</w:t>
      </w:r>
      <w:r>
        <w:t>ivities benefited from higher accounts receivable sold under the Customer Receivables Purchase Agreement and a timing benefit from higher payables due to inventory build to support demand, which is expected to partially reverse in 2021. The change in net c</w:t>
      </w:r>
      <w:r>
        <w:t>ash was partially offset by higher annual incentive compensation payments in the current</w:t>
      </w:r>
      <w:r>
        <w:rPr>
          <w:spacing w:val="-7"/>
        </w:rPr>
        <w:t xml:space="preserve"> </w:t>
      </w:r>
      <w:r>
        <w:t>year.</w:t>
      </w:r>
    </w:p>
    <w:p w14:paraId="7326BFEB" w14:textId="77777777" w:rsidR="00EF3DFB" w:rsidRDefault="00EF3DFB">
      <w:pPr>
        <w:pStyle w:val="BodyText"/>
        <w:spacing w:before="5"/>
        <w:rPr>
          <w:sz w:val="24"/>
        </w:rPr>
      </w:pPr>
    </w:p>
    <w:p w14:paraId="7326BFEC" w14:textId="77777777" w:rsidR="00EF3DFB" w:rsidRDefault="00D27C17">
      <w:pPr>
        <w:pStyle w:val="BodyText"/>
        <w:spacing w:line="249" w:lineRule="auto"/>
        <w:ind w:left="190" w:right="167"/>
        <w:jc w:val="both"/>
      </w:pPr>
      <w:r>
        <w:t>The change in net cash provided by operating activities from continuing operations for 2019 is primarily due to favorable working capital management as a result</w:t>
      </w:r>
      <w:r>
        <w:t xml:space="preserve"> of the Company’s continued focus on improving its working capital. Accounts receivable decreased in 2019 due to better terms compliance as a result of improvements in the Company’s dispute resolution process and accounts receivable sold under the Customer</w:t>
      </w:r>
      <w:r>
        <w:t xml:space="preserve"> Receivables Purchase Agreement. Operating cash flow also benefited from a decrease in cash paid for interest and income taxes of approximately $154 million and $136 million, respectively.</w:t>
      </w:r>
    </w:p>
    <w:p w14:paraId="7326BFED" w14:textId="77777777" w:rsidR="00EF3DFB" w:rsidRDefault="00EF3DFB">
      <w:pPr>
        <w:pStyle w:val="BodyText"/>
        <w:spacing w:before="4"/>
      </w:pPr>
    </w:p>
    <w:p w14:paraId="7326BFEE" w14:textId="77777777" w:rsidR="00EF3DFB" w:rsidRDefault="00D27C17">
      <w:pPr>
        <w:ind w:left="190"/>
        <w:jc w:val="both"/>
        <w:rPr>
          <w:sz w:val="20"/>
        </w:rPr>
      </w:pPr>
      <w:r>
        <w:rPr>
          <w:sz w:val="20"/>
        </w:rPr>
        <w:t xml:space="preserve">See </w:t>
      </w:r>
      <w:r>
        <w:rPr>
          <w:i/>
          <w:sz w:val="20"/>
        </w:rPr>
        <w:t xml:space="preserve">Capital Resources </w:t>
      </w:r>
      <w:r>
        <w:rPr>
          <w:sz w:val="20"/>
        </w:rPr>
        <w:t>for further information.</w:t>
      </w:r>
    </w:p>
    <w:p w14:paraId="7326BFEF" w14:textId="77777777" w:rsidR="00EF3DFB" w:rsidRDefault="00EF3DFB">
      <w:pPr>
        <w:pStyle w:val="BodyText"/>
        <w:spacing w:before="8"/>
        <w:rPr>
          <w:sz w:val="19"/>
        </w:rPr>
      </w:pPr>
    </w:p>
    <w:p w14:paraId="7326BFF0" w14:textId="77777777" w:rsidR="00EF3DFB" w:rsidRDefault="00D27C17">
      <w:pPr>
        <w:pStyle w:val="Heading3"/>
      </w:pPr>
      <w:r>
        <w:t>Cash Flows from In</w:t>
      </w:r>
      <w:r>
        <w:t>vesting Activities</w:t>
      </w:r>
    </w:p>
    <w:p w14:paraId="7326BFF1" w14:textId="77777777" w:rsidR="00EF3DFB" w:rsidRDefault="00EF3DFB">
      <w:pPr>
        <w:pStyle w:val="BodyText"/>
        <w:rPr>
          <w:b/>
          <w:i/>
          <w:sz w:val="22"/>
        </w:rPr>
      </w:pPr>
    </w:p>
    <w:p w14:paraId="7326BFF2" w14:textId="77777777" w:rsidR="00EF3DFB" w:rsidRDefault="00D27C17">
      <w:pPr>
        <w:pStyle w:val="BodyText"/>
        <w:spacing w:before="1" w:line="249" w:lineRule="auto"/>
        <w:ind w:left="190" w:right="168"/>
        <w:jc w:val="both"/>
      </w:pPr>
      <w:r>
        <w:t>The change in cash used in investing activities for 2020 was primarily due to higher proceeds from the sale of divested businesses in the prior year, partially offset by lower capital expenditures.</w:t>
      </w:r>
    </w:p>
    <w:p w14:paraId="7326BFF3" w14:textId="77777777" w:rsidR="00EF3DFB" w:rsidRDefault="00EF3DFB">
      <w:pPr>
        <w:pStyle w:val="BodyText"/>
        <w:rPr>
          <w:sz w:val="21"/>
        </w:rPr>
      </w:pPr>
    </w:p>
    <w:p w14:paraId="7326BFF4" w14:textId="77777777" w:rsidR="00EF3DFB" w:rsidRDefault="00D27C17">
      <w:pPr>
        <w:pStyle w:val="BodyText"/>
        <w:spacing w:line="249" w:lineRule="auto"/>
        <w:ind w:left="190" w:right="168"/>
        <w:jc w:val="both"/>
      </w:pPr>
      <w:r>
        <w:t xml:space="preserve">The change in cash used in investing activities for 2019 </w:t>
      </w:r>
      <w:r>
        <w:t>was primarily due to higher proceeds from the sale of divested businesses in 2018, cash received by the Company in 2018 for insurance claims, which include a claim from fire-related losses and settlement of a note receivable related to a legacy Jarden inve</w:t>
      </w:r>
      <w:r>
        <w:t>stment, partially offset by lower capital expenditures.</w:t>
      </w:r>
    </w:p>
    <w:p w14:paraId="7326BFF5" w14:textId="77777777" w:rsidR="00EF3DFB" w:rsidRDefault="00EF3DFB">
      <w:pPr>
        <w:pStyle w:val="BodyText"/>
        <w:spacing w:before="6"/>
        <w:rPr>
          <w:sz w:val="18"/>
        </w:rPr>
      </w:pPr>
    </w:p>
    <w:p w14:paraId="7326BFF6" w14:textId="77777777" w:rsidR="00EF3DFB" w:rsidRDefault="00D27C17">
      <w:pPr>
        <w:pStyle w:val="Heading3"/>
      </w:pPr>
      <w:r>
        <w:t>Cash Flows from Financing Activities</w:t>
      </w:r>
    </w:p>
    <w:p w14:paraId="7326BFF7" w14:textId="77777777" w:rsidR="00EF3DFB" w:rsidRDefault="00EF3DFB">
      <w:pPr>
        <w:pStyle w:val="BodyText"/>
        <w:rPr>
          <w:b/>
          <w:i/>
          <w:sz w:val="22"/>
        </w:rPr>
      </w:pPr>
    </w:p>
    <w:p w14:paraId="7326BFF8" w14:textId="77777777" w:rsidR="00EF3DFB" w:rsidRDefault="00D27C17">
      <w:pPr>
        <w:pStyle w:val="BodyText"/>
        <w:spacing w:line="249" w:lineRule="auto"/>
        <w:ind w:left="190" w:right="170"/>
        <w:jc w:val="both"/>
      </w:pPr>
      <w:r>
        <w:t>The change in net cash used in financing activities was primarily due to higher payments of long-term debt in the prior year, as well as current-year proceeds fr</w:t>
      </w:r>
      <w:r>
        <w:t xml:space="preserve">om the issuance of the June 2025 Notes (defined below). See </w:t>
      </w:r>
      <w:r>
        <w:rPr>
          <w:i/>
        </w:rPr>
        <w:t xml:space="preserve">Footnote 9 of the Notes to Consolidated Financial Statements </w:t>
      </w:r>
      <w:r>
        <w:t>for further information.</w:t>
      </w:r>
    </w:p>
    <w:p w14:paraId="7326BFF9" w14:textId="77777777" w:rsidR="00EF3DFB" w:rsidRDefault="00EF3DFB">
      <w:pPr>
        <w:pStyle w:val="BodyText"/>
        <w:spacing w:before="1"/>
        <w:rPr>
          <w:sz w:val="21"/>
        </w:rPr>
      </w:pPr>
    </w:p>
    <w:p w14:paraId="7326BFFA" w14:textId="77777777" w:rsidR="00EF3DFB" w:rsidRDefault="00D27C17">
      <w:pPr>
        <w:pStyle w:val="BodyText"/>
        <w:spacing w:line="249" w:lineRule="auto"/>
        <w:ind w:left="190" w:right="168"/>
        <w:jc w:val="both"/>
      </w:pPr>
      <w:r>
        <w:t>The change in financing activities for 2019 was primarily due to the year-over-year change in debt (approxima</w:t>
      </w:r>
      <w:r>
        <w:t xml:space="preserve">tely $2.2 billion) and a decrease in shares repurchased (approximately $1.5 billion), partially offset by payments to dissenting shareholders in 2019 (approximately $171 million) in connection with the Jarden acquisition. See </w:t>
      </w:r>
      <w:r>
        <w:rPr>
          <w:i/>
        </w:rPr>
        <w:t>Footnote 18 of the Notes to Co</w:t>
      </w:r>
      <w:r>
        <w:rPr>
          <w:i/>
        </w:rPr>
        <w:t xml:space="preserve">nsolidated Financial Statements </w:t>
      </w:r>
      <w:r>
        <w:t>for further</w:t>
      </w:r>
      <w:r>
        <w:rPr>
          <w:spacing w:val="-2"/>
        </w:rPr>
        <w:t xml:space="preserve"> </w:t>
      </w:r>
      <w:r>
        <w:t>information.</w:t>
      </w:r>
    </w:p>
    <w:p w14:paraId="7326BFFB" w14:textId="77777777" w:rsidR="00EF3DFB" w:rsidRDefault="00EF3DFB">
      <w:pPr>
        <w:spacing w:line="249" w:lineRule="auto"/>
        <w:jc w:val="both"/>
        <w:sectPr w:rsidR="00EF3DFB">
          <w:pgSz w:w="12240" w:h="15840"/>
          <w:pgMar w:top="600" w:right="640" w:bottom="480" w:left="620" w:header="0" w:footer="291" w:gutter="0"/>
          <w:cols w:space="720"/>
        </w:sectPr>
      </w:pPr>
    </w:p>
    <w:p w14:paraId="7326BFFC" w14:textId="77777777" w:rsidR="00EF3DFB" w:rsidRDefault="00D27C17">
      <w:pPr>
        <w:pStyle w:val="Heading3"/>
        <w:spacing w:before="68"/>
      </w:pPr>
      <w:r>
        <w:lastRenderedPageBreak/>
        <w:t>Capital Resources</w:t>
      </w:r>
    </w:p>
    <w:p w14:paraId="7326BFFD" w14:textId="77777777" w:rsidR="00EF3DFB" w:rsidRDefault="00EF3DFB">
      <w:pPr>
        <w:pStyle w:val="BodyText"/>
        <w:rPr>
          <w:b/>
          <w:i/>
          <w:sz w:val="22"/>
        </w:rPr>
      </w:pPr>
    </w:p>
    <w:p w14:paraId="7326BFFE" w14:textId="77777777" w:rsidR="00EF3DFB" w:rsidRDefault="00D27C17">
      <w:pPr>
        <w:pStyle w:val="BodyText"/>
        <w:spacing w:before="1" w:line="249" w:lineRule="auto"/>
        <w:ind w:left="190" w:right="170"/>
        <w:jc w:val="both"/>
      </w:pPr>
      <w:r>
        <w:t>In March 2020, the Company repurchased $15 million of the 4.20% senior notes due 2026 at approximately par value. The total consideration, excluding accrued interest,</w:t>
      </w:r>
      <w:r>
        <w:t xml:space="preserve"> was approximately $15 million. As a result of the partial debt extinguishment, the Company recorded an immaterial loss.</w:t>
      </w:r>
    </w:p>
    <w:p w14:paraId="7326BFFF" w14:textId="77777777" w:rsidR="00EF3DFB" w:rsidRDefault="00EF3DFB">
      <w:pPr>
        <w:pStyle w:val="BodyText"/>
        <w:rPr>
          <w:sz w:val="21"/>
        </w:rPr>
      </w:pPr>
    </w:p>
    <w:p w14:paraId="7326C000" w14:textId="77777777" w:rsidR="00EF3DFB" w:rsidRDefault="00D27C17">
      <w:pPr>
        <w:pStyle w:val="BodyText"/>
        <w:spacing w:before="1" w:line="249" w:lineRule="auto"/>
        <w:ind w:left="190" w:right="168"/>
        <w:jc w:val="both"/>
      </w:pPr>
      <w:r>
        <w:t>In May 2020, the Company completed a registered public offering of $500 million in aggregate principal amount of 4.875% senior notes t</w:t>
      </w:r>
      <w:r>
        <w:t>hat mature in June 2025 (the “June 2025 Notes”) and received proceeds of approximately $491 million, net of fees and expenses paid. The June 2025 Notes are subject to similar restrictive and financial covenants as the Company’s existing senior notes, howev</w:t>
      </w:r>
      <w:r>
        <w:t>er, they are not subject to the interest rate adjustment or coupon step up provisions of certain other notes described below. The June 2025 Notes are redeemable in whole or in part, at the option of the Company (1) at any time prior to one month before the</w:t>
      </w:r>
      <w:r>
        <w:t xml:space="preserve"> stated maturity at a redemption price equal to the greater of (a) 100% of the principal amount or (b) the discounted present value of principal and interest at the Treasury Rate plus 50 basis points, plus accrued interest to but excluding the redemption d</w:t>
      </w:r>
      <w:r>
        <w:t>ate; or (2) at any time on or after one month prior to the stated maturity at a price equal to 100% of the principal amount being redeemed, plus accrued interest to but excluding the redemption date. The Company used the net proceeds from the June 2025 Not</w:t>
      </w:r>
      <w:r>
        <w:t>es for general corporate purposes, including repayment of outstanding borrowings under the Credit Revolver and accounts receivable securitization facility, and the redemption of the outstanding 4.70% Senior Notes due in August 2020 at maturity.</w:t>
      </w:r>
    </w:p>
    <w:p w14:paraId="7326C001" w14:textId="77777777" w:rsidR="00EF3DFB" w:rsidRDefault="00EF3DFB">
      <w:pPr>
        <w:pStyle w:val="BodyText"/>
        <w:spacing w:before="8"/>
        <w:rPr>
          <w:sz w:val="21"/>
        </w:rPr>
      </w:pPr>
    </w:p>
    <w:p w14:paraId="7326C002" w14:textId="77777777" w:rsidR="00EF3DFB" w:rsidRDefault="00D27C17">
      <w:pPr>
        <w:pStyle w:val="BodyText"/>
        <w:spacing w:line="249" w:lineRule="auto"/>
        <w:ind w:left="190" w:right="168"/>
        <w:jc w:val="both"/>
      </w:pPr>
      <w:r>
        <w:t>In Novembe</w:t>
      </w:r>
      <w:r>
        <w:t>r 2020, the Company repurchased $300 million of the 3.85% Senior Notes due 2023 with available cash on hand. The total consideration, excluding accrued interest, was approximately $318 million. The Company recorded a loss on extinguishment of debt of $20 m</w:t>
      </w:r>
      <w:r>
        <w:t>illion as a result of the partial debt repayment.</w:t>
      </w:r>
    </w:p>
    <w:p w14:paraId="7326C003" w14:textId="77777777" w:rsidR="00EF3DFB" w:rsidRDefault="00EF3DFB">
      <w:pPr>
        <w:pStyle w:val="BodyText"/>
        <w:spacing w:before="1"/>
        <w:rPr>
          <w:sz w:val="21"/>
        </w:rPr>
      </w:pPr>
    </w:p>
    <w:p w14:paraId="7326C004" w14:textId="77777777" w:rsidR="00EF3DFB" w:rsidRDefault="00D27C17">
      <w:pPr>
        <w:pStyle w:val="BodyText"/>
        <w:spacing w:line="249" w:lineRule="auto"/>
        <w:ind w:left="190" w:right="168"/>
        <w:jc w:val="both"/>
      </w:pPr>
      <w:r>
        <w:t>On January 25, 2021, the Company delivered a notice of redemption to the holders of the 3.150% senior notes that will mature in April 2021 (the “April 2021 Notes”) that the Company will redeem the April 2021 Notes on March 1, 2021 (the “Redemption Date”) f</w:t>
      </w:r>
      <w:r>
        <w:t>or a redemption price equal to 100% of the current outstanding aggregate principal amount of the notes, plus accrued and unpaid interest to the Redemption</w:t>
      </w:r>
      <w:r>
        <w:rPr>
          <w:spacing w:val="-3"/>
        </w:rPr>
        <w:t xml:space="preserve"> </w:t>
      </w:r>
      <w:r>
        <w:t>Date.</w:t>
      </w:r>
    </w:p>
    <w:p w14:paraId="7326C005" w14:textId="77777777" w:rsidR="00EF3DFB" w:rsidRDefault="00EF3DFB">
      <w:pPr>
        <w:pStyle w:val="BodyText"/>
        <w:spacing w:before="3"/>
      </w:pPr>
    </w:p>
    <w:p w14:paraId="7326C006" w14:textId="77777777" w:rsidR="00EF3DFB" w:rsidRDefault="00D27C17">
      <w:pPr>
        <w:pStyle w:val="BodyText"/>
        <w:ind w:left="190" w:right="168"/>
        <w:jc w:val="both"/>
      </w:pPr>
      <w:r>
        <w:t>Under the Company's $1.25 billion Credit Revolver that matures in December 2023, the Company m</w:t>
      </w:r>
      <w:r>
        <w:t>ay borrow funds on a variety of interest rate terms. Prior to the Moody’s and S&amp;P downgrades discussed above, the Credit Revolver provided the committed backup liquidity required to issue commercial paper. As a result of the S&amp;P and Moody's downgrades, the</w:t>
      </w:r>
      <w:r>
        <w:t xml:space="preserve"> Company could no longer borrow from the commercial paper market on terms it deems acceptable or favorable. Previously, the Company was able to issue commercial paper up to a maximum of $800 million provided there was a sufficient amount available for borr</w:t>
      </w:r>
      <w:r>
        <w:t>owing under the Credit Revolver. The Credit Revolver also provides for the issuance of up to $100 million of letters of credit, so long as there is a sufficient</w:t>
      </w:r>
      <w:r>
        <w:rPr>
          <w:spacing w:val="6"/>
        </w:rPr>
        <w:t xml:space="preserve"> </w:t>
      </w:r>
      <w:r>
        <w:t>amount</w:t>
      </w:r>
      <w:r>
        <w:rPr>
          <w:spacing w:val="6"/>
        </w:rPr>
        <w:t xml:space="preserve"> </w:t>
      </w:r>
      <w:r>
        <w:t>available</w:t>
      </w:r>
      <w:r>
        <w:rPr>
          <w:spacing w:val="6"/>
        </w:rPr>
        <w:t xml:space="preserve"> </w:t>
      </w:r>
      <w:r>
        <w:t>for</w:t>
      </w:r>
      <w:r>
        <w:rPr>
          <w:spacing w:val="6"/>
        </w:rPr>
        <w:t xml:space="preserve"> </w:t>
      </w:r>
      <w:r>
        <w:t>borrowing</w:t>
      </w:r>
      <w:r>
        <w:rPr>
          <w:spacing w:val="6"/>
        </w:rPr>
        <w:t xml:space="preserve"> </w:t>
      </w:r>
      <w:r>
        <w:t>under</w:t>
      </w:r>
      <w:r>
        <w:rPr>
          <w:spacing w:val="6"/>
        </w:rPr>
        <w:t xml:space="preserve"> </w:t>
      </w:r>
      <w:r>
        <w:t>the</w:t>
      </w:r>
      <w:r>
        <w:rPr>
          <w:spacing w:val="6"/>
        </w:rPr>
        <w:t xml:space="preserve"> </w:t>
      </w:r>
      <w:r>
        <w:t>Credit</w:t>
      </w:r>
      <w:r>
        <w:rPr>
          <w:spacing w:val="6"/>
        </w:rPr>
        <w:t xml:space="preserve"> </w:t>
      </w:r>
      <w:r>
        <w:t>Revolver.</w:t>
      </w:r>
      <w:r>
        <w:rPr>
          <w:spacing w:val="6"/>
        </w:rPr>
        <w:t xml:space="preserve"> </w:t>
      </w:r>
      <w:r>
        <w:t>During</w:t>
      </w:r>
      <w:r>
        <w:rPr>
          <w:spacing w:val="6"/>
        </w:rPr>
        <w:t xml:space="preserve"> </w:t>
      </w:r>
      <w:r>
        <w:t>the</w:t>
      </w:r>
      <w:r>
        <w:rPr>
          <w:spacing w:val="6"/>
        </w:rPr>
        <w:t xml:space="preserve"> </w:t>
      </w:r>
      <w:r>
        <w:t>second</w:t>
      </w:r>
      <w:r>
        <w:rPr>
          <w:spacing w:val="6"/>
        </w:rPr>
        <w:t xml:space="preserve"> </w:t>
      </w:r>
      <w:r>
        <w:t>quarter</w:t>
      </w:r>
      <w:r>
        <w:rPr>
          <w:spacing w:val="6"/>
        </w:rPr>
        <w:t xml:space="preserve"> </w:t>
      </w:r>
      <w:r>
        <w:t>of</w:t>
      </w:r>
      <w:r>
        <w:rPr>
          <w:spacing w:val="6"/>
        </w:rPr>
        <w:t xml:space="preserve"> </w:t>
      </w:r>
      <w:r>
        <w:t>2020,</w:t>
      </w:r>
      <w:r>
        <w:rPr>
          <w:spacing w:val="6"/>
        </w:rPr>
        <w:t xml:space="preserve"> </w:t>
      </w:r>
      <w:r>
        <w:t>th</w:t>
      </w:r>
      <w:r>
        <w:t>e</w:t>
      </w:r>
      <w:r>
        <w:rPr>
          <w:spacing w:val="6"/>
        </w:rPr>
        <w:t xml:space="preserve"> </w:t>
      </w:r>
      <w:r>
        <w:t>Company</w:t>
      </w:r>
      <w:r>
        <w:rPr>
          <w:spacing w:val="6"/>
        </w:rPr>
        <w:t xml:space="preserve"> </w:t>
      </w:r>
      <w:r>
        <w:t>drew</w:t>
      </w:r>
      <w:r>
        <w:rPr>
          <w:spacing w:val="6"/>
        </w:rPr>
        <w:t xml:space="preserve"> </w:t>
      </w:r>
      <w:r>
        <w:t>down</w:t>
      </w:r>
    </w:p>
    <w:p w14:paraId="7326C007" w14:textId="77777777" w:rsidR="00EF3DFB" w:rsidRDefault="00D27C17">
      <w:pPr>
        <w:pStyle w:val="BodyText"/>
        <w:ind w:left="190" w:right="168"/>
        <w:jc w:val="both"/>
      </w:pPr>
      <w:r>
        <w:t>$125 million on the Credit Revolver and used a portion of the proceeds to repay the outstanding commercial paper of $40 million outstanding at March 31, 2020. At December 31, 2020, there were no commercial paper balance borrowings. In a</w:t>
      </w:r>
      <w:r>
        <w:t>ddition, there were approximately $20 million of outstanding standby letters of credit issued against the Credit Revolver and there were no borrowings outstanding under the Credit Revolver. At December 31, 2020, the net availability under the Credit Revolv</w:t>
      </w:r>
      <w:r>
        <w:t>er was approximately</w:t>
      </w:r>
    </w:p>
    <w:p w14:paraId="7326C008" w14:textId="77777777" w:rsidR="00EF3DFB" w:rsidRDefault="00D27C17">
      <w:pPr>
        <w:pStyle w:val="BodyText"/>
        <w:ind w:left="190"/>
        <w:jc w:val="both"/>
      </w:pPr>
      <w:r>
        <w:t>$1.2 billion.</w:t>
      </w:r>
    </w:p>
    <w:p w14:paraId="7326C009" w14:textId="77777777" w:rsidR="00EF3DFB" w:rsidRDefault="00EF3DFB">
      <w:pPr>
        <w:pStyle w:val="BodyText"/>
        <w:spacing w:before="10"/>
      </w:pPr>
    </w:p>
    <w:p w14:paraId="7326C00A" w14:textId="77777777" w:rsidR="00EF3DFB" w:rsidRDefault="00D27C17">
      <w:pPr>
        <w:pStyle w:val="BodyText"/>
        <w:spacing w:before="1" w:line="249" w:lineRule="auto"/>
        <w:ind w:left="190" w:right="168"/>
        <w:jc w:val="both"/>
      </w:pPr>
      <w:r>
        <w:t xml:space="preserve">The Company maintains an Accounts Receivable Securitization Facility. The aggregate commitment under the Securitization Facility is $600 million. The Securitization Facility matures in October 2022 and bears interest at </w:t>
      </w:r>
      <w:r>
        <w:t>a margin over a variable interest rate. The maximum availability under the Securitization Facility fluctuates based on eligible accounts receivable balances. In March 2020, the Company amended its Securitization Facility with respect to certain customer re</w:t>
      </w:r>
      <w:r>
        <w:t>ceivables and to remove an originator from the Securitization Facility. At December 31, 2020, the Company did not have any amounts outstanding under the Securitization</w:t>
      </w:r>
      <w:r>
        <w:rPr>
          <w:spacing w:val="-1"/>
        </w:rPr>
        <w:t xml:space="preserve"> </w:t>
      </w:r>
      <w:r>
        <w:t>Facility.</w:t>
      </w:r>
    </w:p>
    <w:p w14:paraId="7326C00B" w14:textId="77777777" w:rsidR="00EF3DFB" w:rsidRDefault="00EF3DFB">
      <w:pPr>
        <w:pStyle w:val="BodyText"/>
        <w:spacing w:before="3"/>
        <w:rPr>
          <w:sz w:val="21"/>
        </w:rPr>
      </w:pPr>
    </w:p>
    <w:p w14:paraId="7326C00C" w14:textId="77777777" w:rsidR="00EF3DFB" w:rsidRDefault="00D27C17">
      <w:pPr>
        <w:pStyle w:val="BodyText"/>
        <w:spacing w:line="249" w:lineRule="auto"/>
        <w:ind w:left="190" w:right="167"/>
        <w:jc w:val="both"/>
      </w:pPr>
      <w:r>
        <w:t xml:space="preserve">During the first quarter of 2020, the Company amended its existing factoring </w:t>
      </w:r>
      <w:r>
        <w:t>agreement (the “Customer Receivables Purchase Agreement”) to increase the amount of certain customer receivables that may be sold. The balance of factored receivables at December 31, 2020 was approximately $350 million. Transactions under this agreement co</w:t>
      </w:r>
      <w:r>
        <w:t>ntinue to be accounted for as sales of accounts receivable, and the receivables sold are removed from the Condensed Consolidated Balance Sheet at the time of the sales transaction. The Company classifies the proceeds received from the sales of accounts rec</w:t>
      </w:r>
      <w:r>
        <w:t>eivable as an operating cash flow in Consolidated Statement of Cash Flows. The Company records the discount as other (income) expense, net in the Consolidated Statement of Operations and collections of accounts receivables not yet submitted to the financia</w:t>
      </w:r>
      <w:r>
        <w:t>l institution as a financing cash flow.</w:t>
      </w:r>
    </w:p>
    <w:p w14:paraId="7326C00D" w14:textId="77777777" w:rsidR="00EF3DFB" w:rsidRDefault="00EF3DFB">
      <w:pPr>
        <w:pStyle w:val="BodyText"/>
        <w:spacing w:before="5"/>
        <w:rPr>
          <w:sz w:val="21"/>
        </w:rPr>
      </w:pPr>
    </w:p>
    <w:p w14:paraId="7326C00E" w14:textId="77777777" w:rsidR="00EF3DFB" w:rsidRDefault="00D27C17">
      <w:pPr>
        <w:pStyle w:val="BodyText"/>
        <w:ind w:left="190"/>
        <w:jc w:val="both"/>
      </w:pPr>
      <w:r>
        <w:t>The Company was in compliance with all of its debt covenants at December 31, 2020.</w:t>
      </w:r>
    </w:p>
    <w:p w14:paraId="7326C00F" w14:textId="77777777" w:rsidR="00EF3DFB" w:rsidRDefault="00EF3DFB">
      <w:pPr>
        <w:jc w:val="both"/>
        <w:sectPr w:rsidR="00EF3DFB">
          <w:footerReference w:type="default" r:id="rId16"/>
          <w:pgSz w:w="12240" w:h="15840"/>
          <w:pgMar w:top="600" w:right="640" w:bottom="480" w:left="620" w:header="0" w:footer="291" w:gutter="0"/>
          <w:pgNumType w:start="40"/>
          <w:cols w:space="720"/>
        </w:sectPr>
      </w:pPr>
    </w:p>
    <w:p w14:paraId="7326C010" w14:textId="77777777" w:rsidR="00EF3DFB" w:rsidRDefault="00D27C17">
      <w:pPr>
        <w:pStyle w:val="Heading2"/>
        <w:spacing w:before="68"/>
        <w:jc w:val="left"/>
      </w:pPr>
      <w:bookmarkStart w:id="33" w:name="Risk_Management"/>
      <w:bookmarkEnd w:id="33"/>
      <w:r>
        <w:rPr>
          <w:u w:val="single"/>
        </w:rPr>
        <w:lastRenderedPageBreak/>
        <w:t>Risk Management</w:t>
      </w:r>
    </w:p>
    <w:p w14:paraId="7326C011" w14:textId="77777777" w:rsidR="00EF3DFB" w:rsidRDefault="00EF3DFB">
      <w:pPr>
        <w:pStyle w:val="BodyText"/>
        <w:spacing w:before="1"/>
        <w:rPr>
          <w:b/>
          <w:sz w:val="14"/>
        </w:rPr>
      </w:pPr>
    </w:p>
    <w:p w14:paraId="7326C012" w14:textId="77777777" w:rsidR="00EF3DFB" w:rsidRDefault="00D27C17">
      <w:pPr>
        <w:pStyle w:val="BodyText"/>
        <w:spacing w:before="92" w:line="249" w:lineRule="auto"/>
        <w:ind w:left="190" w:right="170"/>
        <w:jc w:val="both"/>
      </w:pPr>
      <w:r>
        <w:t>From time to time, the Company enters into derivative transactions to hedge its exposures to interest rate, foreign currency rate and commodity price fluctuations. The Company does not enter into derivative transactions for trading purposes.</w:t>
      </w:r>
    </w:p>
    <w:p w14:paraId="7326C013" w14:textId="77777777" w:rsidR="00EF3DFB" w:rsidRDefault="00EF3DFB">
      <w:pPr>
        <w:pStyle w:val="BodyText"/>
        <w:spacing w:before="8"/>
      </w:pPr>
    </w:p>
    <w:p w14:paraId="7326C014" w14:textId="77777777" w:rsidR="00EF3DFB" w:rsidRDefault="00D27C17">
      <w:pPr>
        <w:pStyle w:val="Heading3"/>
      </w:pPr>
      <w:r>
        <w:t>Interest Rate</w:t>
      </w:r>
      <w:r>
        <w:t xml:space="preserve"> Contracts</w:t>
      </w:r>
    </w:p>
    <w:p w14:paraId="7326C015" w14:textId="77777777" w:rsidR="00EF3DFB" w:rsidRDefault="00EF3DFB">
      <w:pPr>
        <w:pStyle w:val="BodyText"/>
        <w:rPr>
          <w:b/>
          <w:i/>
          <w:sz w:val="22"/>
        </w:rPr>
      </w:pPr>
    </w:p>
    <w:p w14:paraId="7326C016" w14:textId="77777777" w:rsidR="00EF3DFB" w:rsidRDefault="00D27C17">
      <w:pPr>
        <w:pStyle w:val="BodyText"/>
        <w:spacing w:line="249" w:lineRule="auto"/>
        <w:ind w:left="190" w:right="168"/>
        <w:jc w:val="both"/>
      </w:pPr>
      <w:r>
        <w:t>The Company manages its fixed and floating rate debt mix using interest rate swaps. The Company may use fixed and floating rate swaps to alter its exposure to the impact of changing interest rates on its consolidated results of operations and f</w:t>
      </w:r>
      <w:r>
        <w:t>uture cash outflows for interest. Floating rate swaps would be used, depending on market conditions, to convert the fixed rates of long-term debt into short-term variable rates. Fixed rate swaps would be used to reduce the Company’s risk of the possibility</w:t>
      </w:r>
      <w:r>
        <w:t xml:space="preserve"> of increased interest costs. Interest rate swap contracts are therefore used by the Company to separate interest rate risk from the debt funding decision. The cash paid and received from the settlement of interest rate swaps is included in interest expens</w:t>
      </w:r>
      <w:r>
        <w:t>e.</w:t>
      </w:r>
    </w:p>
    <w:p w14:paraId="7326C017" w14:textId="77777777" w:rsidR="00EF3DFB" w:rsidRDefault="00EF3DFB">
      <w:pPr>
        <w:pStyle w:val="BodyText"/>
        <w:rPr>
          <w:sz w:val="21"/>
        </w:rPr>
      </w:pPr>
    </w:p>
    <w:p w14:paraId="7326C018" w14:textId="77777777" w:rsidR="00EF3DFB" w:rsidRDefault="00D27C17">
      <w:pPr>
        <w:pStyle w:val="Heading3"/>
        <w:spacing w:before="1"/>
      </w:pPr>
      <w:r>
        <w:t>Fair Value Hedges</w:t>
      </w:r>
    </w:p>
    <w:p w14:paraId="7326C019" w14:textId="77777777" w:rsidR="00EF3DFB" w:rsidRDefault="00EF3DFB">
      <w:pPr>
        <w:pStyle w:val="BodyText"/>
        <w:rPr>
          <w:b/>
          <w:i/>
          <w:sz w:val="22"/>
        </w:rPr>
      </w:pPr>
    </w:p>
    <w:p w14:paraId="7326C01A" w14:textId="77777777" w:rsidR="00EF3DFB" w:rsidRDefault="00D27C17">
      <w:pPr>
        <w:pStyle w:val="BodyText"/>
        <w:spacing w:line="249" w:lineRule="auto"/>
        <w:ind w:left="190" w:right="170"/>
        <w:jc w:val="both"/>
      </w:pPr>
      <w:r>
        <w:t>At December 31, 2020, the Company had approximately $100 million notional of interest rate swaps that exchange a fixed rate of interest for variable rate (LIBOR) of interest plus a weighted average spread. These floating rate swaps a</w:t>
      </w:r>
      <w:r>
        <w:t>re designated as fair value hedges against $100 million of principal on the 4.00% senior notes due 2024 for the remaining life of the note. The effective portion of the fair value gains or losses on these swaps is offset by fair value adjustments in the un</w:t>
      </w:r>
      <w:r>
        <w:t>derlying debt. On August 15, 2020, a</w:t>
      </w:r>
    </w:p>
    <w:p w14:paraId="7326C01B" w14:textId="77777777" w:rsidR="00EF3DFB" w:rsidRDefault="00D27C17">
      <w:pPr>
        <w:pStyle w:val="BodyText"/>
        <w:spacing w:before="3" w:line="249" w:lineRule="auto"/>
        <w:ind w:left="190" w:right="168"/>
        <w:jc w:val="both"/>
      </w:pPr>
      <w:r>
        <w:t>$277 million notional interest rate swap matured concurrently with the maturity of the 4.70% senior notes which were repaid during the third quarter.</w:t>
      </w:r>
    </w:p>
    <w:p w14:paraId="7326C01C" w14:textId="77777777" w:rsidR="00EF3DFB" w:rsidRDefault="00EF3DFB">
      <w:pPr>
        <w:pStyle w:val="BodyText"/>
        <w:spacing w:before="8"/>
      </w:pPr>
    </w:p>
    <w:p w14:paraId="7326C01D" w14:textId="77777777" w:rsidR="00EF3DFB" w:rsidRDefault="00D27C17">
      <w:pPr>
        <w:pStyle w:val="Heading3"/>
        <w:spacing w:before="1"/>
      </w:pPr>
      <w:r>
        <w:t>Cross-Currency Contracts</w:t>
      </w:r>
    </w:p>
    <w:p w14:paraId="7326C01E" w14:textId="77777777" w:rsidR="00EF3DFB" w:rsidRDefault="00EF3DFB">
      <w:pPr>
        <w:pStyle w:val="BodyText"/>
        <w:rPr>
          <w:b/>
          <w:i/>
          <w:sz w:val="22"/>
        </w:rPr>
      </w:pPr>
    </w:p>
    <w:p w14:paraId="7326C01F" w14:textId="77777777" w:rsidR="00EF3DFB" w:rsidRDefault="00D27C17">
      <w:pPr>
        <w:pStyle w:val="BodyText"/>
        <w:spacing w:line="249" w:lineRule="auto"/>
        <w:ind w:left="190" w:right="168"/>
        <w:jc w:val="both"/>
      </w:pPr>
      <w:r>
        <w:t>The Company uses cross-currency swaps to hedge foreign currency risk on certain</w:t>
      </w:r>
      <w:r>
        <w:t xml:space="preserve"> financing arrangements. During the first quarter of 2020, the Company entered into two cross-currency swaps with an aggregate notional amount of $900 million, which were designated as net investment hedges of the Company's foreign currency exposure of its</w:t>
      </w:r>
      <w:r>
        <w:t xml:space="preserve"> net investment in certain Euro-functional currency subsidiaries with Euro-denominated net assets. With these cross-currency swaps, which mature in January and February 2025, the Company pays a fixed rate of Euro-based interest and receives a fixed rate of</w:t>
      </w:r>
      <w:r>
        <w:t xml:space="preserve"> U.S. dollar interest. The Company has elected the spot method for assessing the effectiveness of these contracts. During the year ended December 31, 2020, the Company recognized income of $14 million in interest expense, net, related to the portion of cro</w:t>
      </w:r>
      <w:r>
        <w:t>ss-currency swaps excluded from hedge effectiveness testing. The Company had no cross-currency swaps used as hedging instruments in 2019.</w:t>
      </w:r>
    </w:p>
    <w:p w14:paraId="7326C020" w14:textId="77777777" w:rsidR="00EF3DFB" w:rsidRDefault="00EF3DFB">
      <w:pPr>
        <w:pStyle w:val="BodyText"/>
        <w:spacing w:before="1"/>
        <w:rPr>
          <w:sz w:val="21"/>
        </w:rPr>
      </w:pPr>
    </w:p>
    <w:p w14:paraId="7326C021" w14:textId="77777777" w:rsidR="00EF3DFB" w:rsidRDefault="00D27C17">
      <w:pPr>
        <w:pStyle w:val="Heading3"/>
        <w:spacing w:before="1"/>
      </w:pPr>
      <w:r>
        <w:t>Foreign Currency Contracts</w:t>
      </w:r>
    </w:p>
    <w:p w14:paraId="7326C022" w14:textId="77777777" w:rsidR="00EF3DFB" w:rsidRDefault="00EF3DFB">
      <w:pPr>
        <w:pStyle w:val="BodyText"/>
        <w:rPr>
          <w:b/>
          <w:i/>
          <w:sz w:val="22"/>
        </w:rPr>
      </w:pPr>
    </w:p>
    <w:p w14:paraId="7326C023" w14:textId="77777777" w:rsidR="00EF3DFB" w:rsidRDefault="00D27C17">
      <w:pPr>
        <w:pStyle w:val="BodyText"/>
        <w:spacing w:line="249" w:lineRule="auto"/>
        <w:ind w:left="190" w:right="168"/>
        <w:jc w:val="both"/>
      </w:pPr>
      <w:r>
        <w:t>The Company uses forward foreign currency contracts to mitigate the foreign currency exchange rate exposure on the cash flows related to forecasted inventory purchases and sales and have maturity dates through December 2021. The derivatives used to hedge t</w:t>
      </w:r>
      <w:r>
        <w:t>hese forecasted transactions that meet the criteria for hedge accounting are accounted for as cash flow hedges. The effective portion of the gains or losses on these derivatives is deferred as a component of accumulated other comprehensive income (loss) (“</w:t>
      </w:r>
      <w:r>
        <w:t xml:space="preserve">AOCL”) and is recognized in earnings at the same time that the hedged item affects earnings and is included in the same caption in the statements of operations as the underlying hedged item. At December 31, 2020, the Company had approximately $509 million </w:t>
      </w:r>
      <w:r>
        <w:t>notional amount outstanding of forward foreign currency contracts that are designated as cash flow hedges of forecasted inventory purchases and sales.</w:t>
      </w:r>
    </w:p>
    <w:p w14:paraId="7326C024" w14:textId="77777777" w:rsidR="00EF3DFB" w:rsidRDefault="00EF3DFB">
      <w:pPr>
        <w:pStyle w:val="BodyText"/>
        <w:spacing w:before="5"/>
        <w:rPr>
          <w:sz w:val="21"/>
        </w:rPr>
      </w:pPr>
    </w:p>
    <w:p w14:paraId="7326C025" w14:textId="77777777" w:rsidR="00EF3DFB" w:rsidRDefault="00D27C17">
      <w:pPr>
        <w:pStyle w:val="BodyText"/>
        <w:spacing w:line="249" w:lineRule="auto"/>
        <w:ind w:left="190" w:right="167"/>
        <w:jc w:val="both"/>
      </w:pPr>
      <w:r>
        <w:t>The Company also uses foreign currency contracts, primarily forward foreign currency contracts, to mitig</w:t>
      </w:r>
      <w:r>
        <w:t>ate the foreign currency exposure of certain other foreign currency transactions. At December 31, 2020, the Company had approximately $994 million notional amount outstanding of these foreign currency contracts that are not designated as effective hedges f</w:t>
      </w:r>
      <w:r>
        <w:t>or accounting purposes and have maturity dates through December 2021. Fair market value gains or losses are included in the results of operations and are classified in other (income) expense, net.</w:t>
      </w:r>
    </w:p>
    <w:p w14:paraId="7326C026" w14:textId="77777777" w:rsidR="00EF3DFB" w:rsidRDefault="00EF3DFB">
      <w:pPr>
        <w:pStyle w:val="BodyText"/>
        <w:spacing w:before="1"/>
      </w:pPr>
    </w:p>
    <w:p w14:paraId="7326C027" w14:textId="77777777" w:rsidR="00EF3DFB" w:rsidRDefault="00D27C17">
      <w:pPr>
        <w:pStyle w:val="Heading3"/>
      </w:pPr>
      <w:r>
        <w:t>Commodity Contracts</w:t>
      </w:r>
    </w:p>
    <w:p w14:paraId="7326C028" w14:textId="77777777" w:rsidR="00EF3DFB" w:rsidRDefault="00EF3DFB">
      <w:pPr>
        <w:pStyle w:val="BodyText"/>
        <w:rPr>
          <w:b/>
          <w:i/>
          <w:sz w:val="22"/>
        </w:rPr>
      </w:pPr>
    </w:p>
    <w:p w14:paraId="7326C029" w14:textId="77777777" w:rsidR="00EF3DFB" w:rsidRDefault="00D27C17">
      <w:pPr>
        <w:pStyle w:val="BodyText"/>
        <w:spacing w:line="249" w:lineRule="auto"/>
        <w:ind w:left="190" w:right="168"/>
        <w:jc w:val="both"/>
      </w:pPr>
      <w:r>
        <w:t xml:space="preserve">To a lesser extent, the Company also </w:t>
      </w:r>
      <w:r>
        <w:t>enters into commodity-based derivatives in order to mitigate the risk that the rising price of these commodities could have on the cost of certain of the Company’s raw materials. These commodity-based derivatives provide the Company with cost certainty. At</w:t>
      </w:r>
      <w:r>
        <w:t xml:space="preserve"> December 31, 2020, the Company had no notional amount outstanding of commodity-based derivatives that are designated as effective hedges for accounting purposes. Fair market value gains or losses are included in the results of operations and are classifie</w:t>
      </w:r>
      <w:r>
        <w:t>d in cost of products sold.</w:t>
      </w:r>
    </w:p>
    <w:p w14:paraId="7326C02A" w14:textId="77777777" w:rsidR="00EF3DFB" w:rsidRDefault="00EF3DFB">
      <w:pPr>
        <w:spacing w:line="249" w:lineRule="auto"/>
        <w:jc w:val="both"/>
        <w:sectPr w:rsidR="00EF3DFB">
          <w:pgSz w:w="12240" w:h="15840"/>
          <w:pgMar w:top="600" w:right="640" w:bottom="480" w:left="620" w:header="0" w:footer="291" w:gutter="0"/>
          <w:cols w:space="720"/>
        </w:sectPr>
      </w:pPr>
    </w:p>
    <w:p w14:paraId="7326C02B" w14:textId="77777777" w:rsidR="00EF3DFB" w:rsidRDefault="00D27C17">
      <w:pPr>
        <w:pStyle w:val="BodyText"/>
        <w:spacing w:before="72"/>
        <w:ind w:left="190"/>
      </w:pPr>
      <w:r>
        <w:lastRenderedPageBreak/>
        <w:t>The following table presents the fair value of derivative financial instruments at December 31, 2020 (in millions):</w:t>
      </w:r>
    </w:p>
    <w:p w14:paraId="7326C02C" w14:textId="77777777" w:rsidR="00EF3DFB" w:rsidRDefault="00EF3DFB">
      <w:pPr>
        <w:sectPr w:rsidR="00EF3DFB">
          <w:pgSz w:w="12240" w:h="15840"/>
          <w:pgMar w:top="600" w:right="640" w:bottom="480" w:left="620" w:header="0" w:footer="291" w:gutter="0"/>
          <w:cols w:space="720"/>
        </w:sectPr>
      </w:pPr>
    </w:p>
    <w:p w14:paraId="7326C02D" w14:textId="77777777" w:rsidR="00EF3DFB" w:rsidRDefault="00EF3DFB">
      <w:pPr>
        <w:pStyle w:val="BodyText"/>
        <w:rPr>
          <w:sz w:val="22"/>
        </w:rPr>
      </w:pPr>
    </w:p>
    <w:p w14:paraId="7326C02E" w14:textId="77777777" w:rsidR="00EF3DFB" w:rsidRDefault="00EF3DFB">
      <w:pPr>
        <w:pStyle w:val="BodyText"/>
        <w:spacing w:before="7"/>
        <w:rPr>
          <w:sz w:val="29"/>
        </w:rPr>
      </w:pPr>
    </w:p>
    <w:p w14:paraId="7326C02F" w14:textId="77777777" w:rsidR="00EF3DFB" w:rsidRDefault="00D27C17">
      <w:pPr>
        <w:pStyle w:val="Heading2"/>
        <w:spacing w:before="1"/>
        <w:ind w:left="242"/>
        <w:jc w:val="left"/>
      </w:pPr>
      <w:r>
        <w:t>Derivatives designated as effective hedges:</w:t>
      </w:r>
    </w:p>
    <w:p w14:paraId="7326C030" w14:textId="77777777" w:rsidR="00EF3DFB" w:rsidRDefault="00D27C17">
      <w:pPr>
        <w:pStyle w:val="BodyText"/>
        <w:spacing w:before="10"/>
        <w:rPr>
          <w:b/>
          <w:sz w:val="12"/>
        </w:rPr>
      </w:pPr>
      <w:r>
        <w:br w:type="column"/>
      </w:r>
    </w:p>
    <w:p w14:paraId="7326C031" w14:textId="60923AC0" w:rsidR="00EF3DFB" w:rsidRDefault="00D27C17">
      <w:pPr>
        <w:pStyle w:val="BodyText"/>
        <w:spacing w:line="20" w:lineRule="exact"/>
        <w:ind w:left="-21"/>
        <w:rPr>
          <w:sz w:val="2"/>
        </w:rPr>
      </w:pPr>
      <w:r>
        <w:rPr>
          <w:noProof/>
          <w:sz w:val="2"/>
        </w:rPr>
        <mc:AlternateContent>
          <mc:Choice Requires="wpg">
            <w:drawing>
              <wp:inline distT="0" distB="0" distL="0" distR="0" wp14:anchorId="7326D6FB" wp14:editId="6A3DD145">
                <wp:extent cx="762000" cy="12700"/>
                <wp:effectExtent l="12700" t="635" r="6350" b="5715"/>
                <wp:docPr id="490"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91" name="Line 475"/>
                        <wps:cNvCnPr>
                          <a:cxnSpLocks noChangeShapeType="1"/>
                        </wps:cNvCnPr>
                        <wps:spPr bwMode="auto">
                          <a:xfrm>
                            <a:off x="0" y="1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474"/>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08290" id="Group 473"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">
                <v:line id="Line 475"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0YxQAAANwAAAAPAAAAZHJzL2Rvd25yZXYueG1sRI9Pa8JA&#10;FMTvQr/D8gre6iZi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DUru0YxQAAANwAAAAP&#10;AAAAAAAAAAAAAAAAAAcCAABkcnMvZG93bnJldi54bWxQSwUGAAAAAAMAAwC3AAAA+QIAAAAA&#10;" strokeweight="0"/>
                <v:line id="Line 474" o:spid="_x0000_s1028"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" strokeweight="1pt"/>
                <w10:anchorlock/>
              </v:group>
            </w:pict>
          </mc:Fallback>
        </mc:AlternateContent>
      </w:r>
    </w:p>
    <w:p w14:paraId="7326C032" w14:textId="77777777" w:rsidR="00EF3DFB" w:rsidRDefault="00D27C17">
      <w:pPr>
        <w:spacing w:before="19" w:line="249" w:lineRule="auto"/>
        <w:ind w:left="242" w:right="403" w:firstLine="164"/>
        <w:rPr>
          <w:b/>
          <w:sz w:val="16"/>
        </w:rPr>
      </w:pPr>
      <w:r>
        <w:rPr>
          <w:b/>
          <w:sz w:val="16"/>
        </w:rPr>
        <w:t>Asset (Liability)</w:t>
      </w:r>
    </w:p>
    <w:p w14:paraId="7326C033" w14:textId="37D8E156" w:rsidR="00EF3DFB" w:rsidRDefault="00D27C17">
      <w:pPr>
        <w:pStyle w:val="BodyText"/>
        <w:spacing w:line="20" w:lineRule="exact"/>
        <w:ind w:left="-21"/>
        <w:rPr>
          <w:sz w:val="2"/>
        </w:rPr>
      </w:pPr>
      <w:r>
        <w:rPr>
          <w:noProof/>
          <w:sz w:val="2"/>
        </w:rPr>
        <mc:AlternateContent>
          <mc:Choice Requires="wpg">
            <w:drawing>
              <wp:inline distT="0" distB="0" distL="0" distR="0" wp14:anchorId="7326D6FD" wp14:editId="5DAC58D6">
                <wp:extent cx="762000" cy="12700"/>
                <wp:effectExtent l="12700" t="1270" r="6350" b="5080"/>
                <wp:docPr id="487"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88" name="Line 472"/>
                        <wps:cNvCnPr>
                          <a:cxnSpLocks noChangeShapeType="1"/>
                        </wps:cNvCnPr>
                        <wps:spPr bwMode="auto">
                          <a:xfrm>
                            <a:off x="0" y="1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471"/>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3D0E7" id="Group 470"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">
                <v:line id="Line 472"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" strokeweight="0"/>
                <v:line id="Line 471" o:spid="_x0000_s1028"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" strokeweight="1pt"/>
                <w10:anchorlock/>
              </v:group>
            </w:pict>
          </mc:Fallback>
        </mc:AlternateContent>
      </w:r>
    </w:p>
    <w:p w14:paraId="7326C034" w14:textId="77777777" w:rsidR="00EF3DFB" w:rsidRDefault="00EF3DFB">
      <w:pPr>
        <w:spacing w:line="20" w:lineRule="exact"/>
        <w:rPr>
          <w:sz w:val="2"/>
        </w:rPr>
        <w:sectPr w:rsidR="00EF3DFB">
          <w:type w:val="continuous"/>
          <w:pgSz w:w="12240" w:h="15840"/>
          <w:pgMar w:top="760" w:right="640" w:bottom="280" w:left="620" w:header="720" w:footer="720" w:gutter="0"/>
          <w:cols w:num="2" w:space="720" w:equalWidth="0">
            <w:col w:w="3891" w:space="5730"/>
            <w:col w:w="1359"/>
          </w:cols>
        </w:sectPr>
      </w:pPr>
    </w:p>
    <w:p w14:paraId="7326C035" w14:textId="77777777" w:rsidR="00EF3DFB" w:rsidRDefault="00D27C17">
      <w:pPr>
        <w:pStyle w:val="BodyText"/>
        <w:tabs>
          <w:tab w:val="left" w:pos="9662"/>
          <w:tab w:val="left" w:pos="10461"/>
          <w:tab w:val="left" w:pos="10809"/>
        </w:tabs>
        <w:spacing w:before="58" w:line="312" w:lineRule="auto"/>
        <w:ind w:left="602" w:right="168" w:hanging="360"/>
      </w:pPr>
      <w:r>
        <w:rPr>
          <w:shd w:val="clear" w:color="auto" w:fill="CCEDFF"/>
        </w:rPr>
        <w:t>Cash</w:t>
      </w:r>
      <w:r>
        <w:rPr>
          <w:spacing w:val="-4"/>
          <w:shd w:val="clear" w:color="auto" w:fill="CCEDFF"/>
        </w:rPr>
        <w:t xml:space="preserve"> </w:t>
      </w:r>
      <w:r>
        <w:rPr>
          <w:shd w:val="clear" w:color="auto" w:fill="CCEDFF"/>
        </w:rPr>
        <w:t>flow</w:t>
      </w:r>
      <w:r>
        <w:rPr>
          <w:spacing w:val="-5"/>
          <w:shd w:val="clear" w:color="auto" w:fill="CCEDFF"/>
        </w:rPr>
        <w:t xml:space="preserve"> </w:t>
      </w:r>
      <w:r>
        <w:rPr>
          <w:shd w:val="clear" w:color="auto" w:fill="CCEDFF"/>
        </w:rPr>
        <w:t>hedges:</w:t>
      </w:r>
      <w:r>
        <w:rPr>
          <w:shd w:val="clear" w:color="auto" w:fill="CCEDFF"/>
        </w:rPr>
        <w:tab/>
      </w:r>
      <w:r>
        <w:rPr>
          <w:shd w:val="clear" w:color="auto" w:fill="CCEDFF"/>
        </w:rPr>
        <w:tab/>
      </w:r>
      <w:r>
        <w:rPr>
          <w:shd w:val="clear" w:color="auto" w:fill="CCEDFF"/>
        </w:rPr>
        <w:tab/>
      </w:r>
      <w:r>
        <w:t xml:space="preserve"> Foreign</w:t>
      </w:r>
      <w:r>
        <w:rPr>
          <w:spacing w:val="-3"/>
        </w:rPr>
        <w:t xml:space="preserve"> </w:t>
      </w:r>
      <w:r>
        <w:t>currency</w:t>
      </w:r>
      <w:r>
        <w:rPr>
          <w:spacing w:val="-3"/>
        </w:rPr>
        <w:t xml:space="preserve"> </w:t>
      </w:r>
      <w:r>
        <w:t>contracts</w:t>
      </w:r>
      <w:r>
        <w:tab/>
      </w:r>
      <w:r>
        <w:rPr>
          <w:position w:val="-3"/>
        </w:rPr>
        <w:t>$</w:t>
      </w:r>
      <w:r>
        <w:rPr>
          <w:position w:val="-3"/>
        </w:rPr>
        <w:tab/>
        <w:t>(18)</w:t>
      </w:r>
    </w:p>
    <w:p w14:paraId="7326C036" w14:textId="77777777" w:rsidR="00EF3DFB" w:rsidRDefault="00D27C17">
      <w:pPr>
        <w:pStyle w:val="BodyText"/>
        <w:tabs>
          <w:tab w:val="left" w:pos="10809"/>
        </w:tabs>
        <w:spacing w:line="192" w:lineRule="exact"/>
        <w:ind w:left="242"/>
      </w:pPr>
      <w:r>
        <w:rPr>
          <w:shd w:val="clear" w:color="auto" w:fill="CCEDFF"/>
        </w:rPr>
        <w:t>Fair value</w:t>
      </w:r>
      <w:r>
        <w:rPr>
          <w:spacing w:val="-9"/>
          <w:shd w:val="clear" w:color="auto" w:fill="CCEDFF"/>
        </w:rPr>
        <w:t xml:space="preserve"> </w:t>
      </w:r>
      <w:r>
        <w:rPr>
          <w:shd w:val="clear" w:color="auto" w:fill="CCEDFF"/>
        </w:rPr>
        <w:t>hedges:</w:t>
      </w:r>
      <w:r>
        <w:rPr>
          <w:shd w:val="clear" w:color="auto" w:fill="CCEDFF"/>
        </w:rPr>
        <w:tab/>
      </w:r>
    </w:p>
    <w:p w14:paraId="7326C037" w14:textId="77777777" w:rsidR="00EF3DFB" w:rsidRDefault="00D27C17">
      <w:pPr>
        <w:pStyle w:val="BodyText"/>
        <w:tabs>
          <w:tab w:val="right" w:pos="10728"/>
        </w:tabs>
        <w:spacing w:before="70"/>
        <w:ind w:left="602"/>
      </w:pPr>
      <w:r>
        <w:t>Interest</w:t>
      </w:r>
      <w:r>
        <w:rPr>
          <w:spacing w:val="-2"/>
        </w:rPr>
        <w:t xml:space="preserve"> </w:t>
      </w:r>
      <w:r>
        <w:t>rate</w:t>
      </w:r>
      <w:r>
        <w:rPr>
          <w:spacing w:val="-2"/>
        </w:rPr>
        <w:t xml:space="preserve"> </w:t>
      </w:r>
      <w:r>
        <w:t>swaps</w:t>
      </w:r>
      <w:r>
        <w:rPr>
          <w:position w:val="-3"/>
        </w:rPr>
        <w:tab/>
        <w:t>7</w:t>
      </w:r>
    </w:p>
    <w:p w14:paraId="7326C038" w14:textId="77777777" w:rsidR="00EF3DFB" w:rsidRDefault="00D27C17">
      <w:pPr>
        <w:pStyle w:val="BodyText"/>
        <w:tabs>
          <w:tab w:val="left" w:pos="10461"/>
          <w:tab w:val="left" w:pos="10809"/>
        </w:tabs>
        <w:spacing w:before="30" w:line="297" w:lineRule="auto"/>
        <w:ind w:left="602" w:right="168" w:hanging="360"/>
      </w:pPr>
      <w:r>
        <w:rPr>
          <w:shd w:val="clear" w:color="auto" w:fill="CCEDFF"/>
        </w:rPr>
        <w:t>Net</w:t>
      </w:r>
      <w:r>
        <w:rPr>
          <w:spacing w:val="-7"/>
          <w:shd w:val="clear" w:color="auto" w:fill="CCEDFF"/>
        </w:rPr>
        <w:t xml:space="preserve"> </w:t>
      </w:r>
      <w:r>
        <w:rPr>
          <w:shd w:val="clear" w:color="auto" w:fill="CCEDFF"/>
        </w:rPr>
        <w:t>investment</w:t>
      </w:r>
      <w:r>
        <w:rPr>
          <w:spacing w:val="-7"/>
          <w:shd w:val="clear" w:color="auto" w:fill="CCEDFF"/>
        </w:rPr>
        <w:t xml:space="preserve"> </w:t>
      </w:r>
      <w:r>
        <w:rPr>
          <w:shd w:val="clear" w:color="auto" w:fill="CCEDFF"/>
        </w:rPr>
        <w:t>hedges:</w:t>
      </w:r>
      <w:r>
        <w:rPr>
          <w:shd w:val="clear" w:color="auto" w:fill="CCEDFF"/>
        </w:rPr>
        <w:tab/>
      </w:r>
      <w:r>
        <w:rPr>
          <w:shd w:val="clear" w:color="auto" w:fill="CCEDFF"/>
        </w:rPr>
        <w:tab/>
      </w:r>
      <w:r>
        <w:t xml:space="preserve"> Cross-currency</w:t>
      </w:r>
      <w:r>
        <w:rPr>
          <w:spacing w:val="-3"/>
        </w:rPr>
        <w:t xml:space="preserve"> </w:t>
      </w:r>
      <w:r>
        <w:t>swaps</w:t>
      </w:r>
      <w:r>
        <w:tab/>
      </w:r>
      <w:r>
        <w:rPr>
          <w:position w:val="-1"/>
        </w:rPr>
        <w:t>(92)</w:t>
      </w:r>
    </w:p>
    <w:p w14:paraId="7326C039" w14:textId="77777777" w:rsidR="00EF3DFB" w:rsidRDefault="00D27C17">
      <w:pPr>
        <w:pStyle w:val="Heading2"/>
        <w:tabs>
          <w:tab w:val="left" w:pos="10809"/>
        </w:tabs>
        <w:spacing w:line="206" w:lineRule="exact"/>
        <w:ind w:left="242"/>
        <w:jc w:val="left"/>
      </w:pPr>
      <w:r>
        <w:rPr>
          <w:shd w:val="clear" w:color="auto" w:fill="CCEDFF"/>
        </w:rPr>
        <w:t>Derivatives not designated as effective</w:t>
      </w:r>
      <w:r>
        <w:rPr>
          <w:spacing w:val="-26"/>
          <w:shd w:val="clear" w:color="auto" w:fill="CCEDFF"/>
        </w:rPr>
        <w:t xml:space="preserve"> </w:t>
      </w:r>
      <w:r>
        <w:rPr>
          <w:shd w:val="clear" w:color="auto" w:fill="CCEDFF"/>
        </w:rPr>
        <w:t>hedges:</w:t>
      </w:r>
      <w:r>
        <w:rPr>
          <w:shd w:val="clear" w:color="auto" w:fill="CCEDFF"/>
        </w:rPr>
        <w:tab/>
      </w:r>
    </w:p>
    <w:p w14:paraId="7326C03A" w14:textId="77777777" w:rsidR="00EF3DFB" w:rsidRDefault="00D27C17">
      <w:pPr>
        <w:pStyle w:val="BodyText"/>
        <w:tabs>
          <w:tab w:val="left" w:pos="10561"/>
        </w:tabs>
        <w:spacing w:before="58" w:after="16"/>
        <w:ind w:left="602"/>
      </w:pPr>
      <w:r>
        <w:t>Foreign</w:t>
      </w:r>
      <w:r>
        <w:rPr>
          <w:spacing w:val="-3"/>
        </w:rPr>
        <w:t xml:space="preserve"> </w:t>
      </w:r>
      <w:r>
        <w:t>currency</w:t>
      </w:r>
      <w:r>
        <w:rPr>
          <w:spacing w:val="-3"/>
        </w:rPr>
        <w:t xml:space="preserve"> </w:t>
      </w:r>
      <w:r>
        <w:t>contracts</w:t>
      </w:r>
      <w:r>
        <w:tab/>
      </w:r>
      <w:r>
        <w:rPr>
          <w:position w:val="-3"/>
        </w:rPr>
        <w:t>(7)</w:t>
      </w:r>
    </w:p>
    <w:p w14:paraId="7326C03B" w14:textId="7C9C122F" w:rsidR="00EF3DFB" w:rsidRDefault="00D27C17">
      <w:pPr>
        <w:pStyle w:val="BodyText"/>
        <w:ind w:left="190"/>
      </w:pPr>
      <w:r>
        <w:rPr>
          <w:noProof/>
        </w:rPr>
        <mc:AlternateContent>
          <mc:Choice Requires="wpg">
            <w:drawing>
              <wp:inline distT="0" distB="0" distL="0" distR="0" wp14:anchorId="7326D6FF" wp14:editId="7DC7FF5A">
                <wp:extent cx="6746875" cy="215900"/>
                <wp:effectExtent l="0" t="2540" r="6350" b="635"/>
                <wp:docPr id="480"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215900"/>
                          <a:chOff x="0" y="0"/>
                          <a:chExt cx="10625" cy="340"/>
                        </a:xfrm>
                      </wpg:grpSpPr>
                      <wps:wsp>
                        <wps:cNvPr id="481" name="Rectangle 469"/>
                        <wps:cNvSpPr>
                          <a:spLocks noChangeArrowheads="1"/>
                        </wps:cNvSpPr>
                        <wps:spPr bwMode="auto">
                          <a:xfrm>
                            <a:off x="0" y="10"/>
                            <a:ext cx="10620"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68"/>
                        <wps:cNvCnPr>
                          <a:cxnSpLocks noChangeShapeType="1"/>
                        </wps:cNvCnPr>
                        <wps:spPr bwMode="auto">
                          <a:xfrm>
                            <a:off x="9420" y="1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467"/>
                        <wps:cNvCnPr>
                          <a:cxnSpLocks noChangeShapeType="1"/>
                        </wps:cNvCnPr>
                        <wps:spPr bwMode="auto">
                          <a:xfrm>
                            <a:off x="942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466"/>
                        <wps:cNvCnPr>
                          <a:cxnSpLocks noChangeShapeType="1"/>
                        </wps:cNvCnPr>
                        <wps:spPr bwMode="auto">
                          <a:xfrm>
                            <a:off x="9420" y="3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Text Box 465"/>
                        <wps:cNvSpPr txBox="1">
                          <a:spLocks noChangeArrowheads="1"/>
                        </wps:cNvSpPr>
                        <wps:spPr bwMode="auto">
                          <a:xfrm>
                            <a:off x="9472" y="58"/>
                            <a:ext cx="115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849" w14:textId="77777777" w:rsidR="00EF3DFB" w:rsidRDefault="00D27C17">
                              <w:pPr>
                                <w:tabs>
                                  <w:tab w:val="left" w:pos="699"/>
                                </w:tabs>
                                <w:spacing w:line="221" w:lineRule="exact"/>
                                <w:rPr>
                                  <w:b/>
                                  <w:sz w:val="20"/>
                                </w:rPr>
                              </w:pPr>
                              <w:r>
                                <w:rPr>
                                  <w:b/>
                                  <w:sz w:val="20"/>
                                  <w:u w:val="single"/>
                                </w:rPr>
                                <w:t>$</w:t>
                              </w:r>
                              <w:r>
                                <w:rPr>
                                  <w:b/>
                                  <w:sz w:val="20"/>
                                  <w:u w:val="single"/>
                                </w:rPr>
                                <w:tab/>
                                <w:t>(110)</w:t>
                              </w:r>
                            </w:p>
                          </w:txbxContent>
                        </wps:txbx>
                        <wps:bodyPr rot="0" vert="horz" wrap="square" lIns="0" tIns="0" rIns="0" bIns="0" anchor="t" anchorCtr="0" upright="1">
                          <a:noAutofit/>
                        </wps:bodyPr>
                      </wps:wsp>
                      <wps:wsp>
                        <wps:cNvPr id="486" name="Text Box 464"/>
                        <wps:cNvSpPr txBox="1">
                          <a:spLocks noChangeArrowheads="1"/>
                        </wps:cNvSpPr>
                        <wps:spPr bwMode="auto">
                          <a:xfrm>
                            <a:off x="772" y="22"/>
                            <a:ext cx="44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84A" w14:textId="77777777" w:rsidR="00EF3DFB" w:rsidRDefault="00D27C17">
                              <w:pPr>
                                <w:spacing w:line="221" w:lineRule="exact"/>
                                <w:rPr>
                                  <w:sz w:val="20"/>
                                </w:rPr>
                              </w:pPr>
                              <w:r>
                                <w:rPr>
                                  <w:sz w:val="20"/>
                                </w:rPr>
                                <w:t>Total</w:t>
                              </w:r>
                            </w:p>
                          </w:txbxContent>
                        </wps:txbx>
                        <wps:bodyPr rot="0" vert="horz" wrap="square" lIns="0" tIns="0" rIns="0" bIns="0" anchor="t" anchorCtr="0" upright="1">
                          <a:noAutofit/>
                        </wps:bodyPr>
                      </wps:wsp>
                    </wpg:wgp>
                  </a:graphicData>
                </a:graphic>
              </wp:inline>
            </w:drawing>
          </mc:Choice>
          <mc:Fallback>
            <w:pict>
              <v:group w14:anchorId="7326D6FF" id="Group 463" o:spid="_x0000_s1028" style="width:531.25pt;height:17pt;mso-position-horizontal-relative:char;mso-position-vertical-relative:line" coordsize="10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">
                <v:rect id="Rectangle 469" o:spid="_x0000_s1029" style="position:absolute;top:10;width:106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" fillcolor="#ccedff" stroked="f"/>
                <v:line id="Line 468" o:spid="_x0000_s1030" style="position:absolute;visibility:visible;mso-wrap-style:square" from="9420,10" to="106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line id="Line 467" o:spid="_x0000_s1031" style="position:absolute;visibility:visible;mso-wrap-style:square" from="9420,10" to="106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" strokeweight="1pt"/>
                <v:line id="Line 466" o:spid="_x0000_s1032" style="position:absolute;visibility:visible;mso-wrap-style:square" from="9420,330" to="1062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6xQAAANwAAAAPAAAAZHJzL2Rvd25yZXYueG1sRI/RagIx&#10;FETfhf5DuAXfatYi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CfRgC6xQAAANwAAAAP&#10;AAAAAAAAAAAAAAAAAAcCAABkcnMvZG93bnJldi54bWxQSwUGAAAAAAMAAwC3AAAA+QIAAAAA&#10;" strokeweight="1pt"/>
                <v:shape id="Text Box 465" o:spid="_x0000_s1033" type="#_x0000_t202" style="position:absolute;left:9472;top:58;width:115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7326D849" w14:textId="77777777" w:rsidR="00EF3DFB" w:rsidRDefault="00D27C17">
                        <w:pPr>
                          <w:tabs>
                            <w:tab w:val="left" w:pos="699"/>
                          </w:tabs>
                          <w:spacing w:line="221" w:lineRule="exact"/>
                          <w:rPr>
                            <w:b/>
                            <w:sz w:val="20"/>
                          </w:rPr>
                        </w:pPr>
                        <w:r>
                          <w:rPr>
                            <w:b/>
                            <w:sz w:val="20"/>
                            <w:u w:val="single"/>
                          </w:rPr>
                          <w:t>$</w:t>
                        </w:r>
                        <w:r>
                          <w:rPr>
                            <w:b/>
                            <w:sz w:val="20"/>
                            <w:u w:val="single"/>
                          </w:rPr>
                          <w:tab/>
                          <w:t>(110)</w:t>
                        </w:r>
                      </w:p>
                    </w:txbxContent>
                  </v:textbox>
                </v:shape>
                <v:shape id="Text Box 464" o:spid="_x0000_s1034" type="#_x0000_t202" style="position:absolute;left:772;top:22;width:44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7326D84A" w14:textId="77777777" w:rsidR="00EF3DFB" w:rsidRDefault="00D27C17">
                        <w:pPr>
                          <w:spacing w:line="221" w:lineRule="exact"/>
                          <w:rPr>
                            <w:sz w:val="20"/>
                          </w:rPr>
                        </w:pPr>
                        <w:r>
                          <w:rPr>
                            <w:sz w:val="20"/>
                          </w:rPr>
                          <w:t>Total</w:t>
                        </w:r>
                      </w:p>
                    </w:txbxContent>
                  </v:textbox>
                </v:shape>
                <w10:anchorlock/>
              </v:group>
            </w:pict>
          </mc:Fallback>
        </mc:AlternateContent>
      </w:r>
    </w:p>
    <w:p w14:paraId="7326C03C" w14:textId="77777777" w:rsidR="00EF3DFB" w:rsidRDefault="00EF3DFB">
      <w:pPr>
        <w:pStyle w:val="BodyText"/>
        <w:spacing w:before="2"/>
        <w:rPr>
          <w:sz w:val="23"/>
        </w:rPr>
      </w:pPr>
    </w:p>
    <w:p w14:paraId="7326C03D" w14:textId="77777777" w:rsidR="00EF3DFB" w:rsidRDefault="00D27C17">
      <w:pPr>
        <w:pStyle w:val="Heading2"/>
        <w:spacing w:before="92"/>
        <w:jc w:val="left"/>
      </w:pPr>
      <w:r>
        <w:t>Contractual Obligations, Commitments and Off-Balance Sheet Arrangements</w:t>
      </w:r>
    </w:p>
    <w:p w14:paraId="7326C03E" w14:textId="77777777" w:rsidR="00EF3DFB" w:rsidRDefault="00EF3DFB">
      <w:pPr>
        <w:pStyle w:val="BodyText"/>
        <w:rPr>
          <w:b/>
          <w:sz w:val="22"/>
        </w:rPr>
      </w:pPr>
    </w:p>
    <w:p w14:paraId="7326C03F" w14:textId="77777777" w:rsidR="00EF3DFB" w:rsidRDefault="00D27C17">
      <w:pPr>
        <w:pStyle w:val="BodyText"/>
        <w:spacing w:line="249" w:lineRule="auto"/>
        <w:ind w:left="190" w:right="168"/>
        <w:jc w:val="both"/>
      </w:pPr>
      <w:r>
        <w:t>The Company has outstanding debt obligations maturing at various dates through 2046. Certain other items, such as purchase commitments and other executory contracts, are not recognized as liabilities in the Company’s consolidated financial statements but a</w:t>
      </w:r>
      <w:r>
        <w:t>re required to be disclosed. Examples of items not recognized as liabilities in the Company’s consolidated financial statements are commitments to purchase raw materials or inventory that has not yet been received at December 31, 2020, and other non-cancel</w:t>
      </w:r>
      <w:r>
        <w:t>able obligations including capital assets and other licensing services.</w:t>
      </w:r>
    </w:p>
    <w:p w14:paraId="7326C040" w14:textId="77777777" w:rsidR="00EF3DFB" w:rsidRDefault="00EF3DFB">
      <w:pPr>
        <w:pStyle w:val="BodyText"/>
        <w:spacing w:before="3"/>
        <w:rPr>
          <w:sz w:val="21"/>
        </w:rPr>
      </w:pPr>
    </w:p>
    <w:p w14:paraId="7326C041" w14:textId="77777777" w:rsidR="00EF3DFB" w:rsidRDefault="00D27C17">
      <w:pPr>
        <w:pStyle w:val="BodyText"/>
        <w:spacing w:line="249" w:lineRule="auto"/>
        <w:ind w:left="190" w:right="168"/>
        <w:jc w:val="both"/>
      </w:pPr>
      <w:r>
        <w:t>The following table summarizes the effect, that material contractual obligations and commitments are expected to have on the Company’s cash flow in the indicated period at December 31</w:t>
      </w:r>
      <w:r>
        <w:t>, 2020. Additional details regarding these obligations are provided in the Notes to Consolidated Financial Statements:</w:t>
      </w:r>
    </w:p>
    <w:p w14:paraId="7326C042" w14:textId="77777777" w:rsidR="00EF3DFB" w:rsidRDefault="00EF3DFB">
      <w:pPr>
        <w:pStyle w:val="BodyText"/>
        <w:spacing w:before="8"/>
        <w:rPr>
          <w:sz w:val="17"/>
        </w:rPr>
      </w:pPr>
    </w:p>
    <w:p w14:paraId="7326C043" w14:textId="77777777" w:rsidR="00EF3DFB" w:rsidRDefault="00D27C17">
      <w:pPr>
        <w:pStyle w:val="Heading2"/>
        <w:spacing w:before="92"/>
        <w:ind w:left="9982"/>
        <w:jc w:val="left"/>
      </w:pPr>
      <w:r>
        <w:t>After</w:t>
      </w:r>
    </w:p>
    <w:tbl>
      <w:tblPr>
        <w:tblW w:w="0" w:type="auto"/>
        <w:tblInd w:w="190" w:type="dxa"/>
        <w:tblLayout w:type="fixed"/>
        <w:tblCellMar>
          <w:left w:w="0" w:type="dxa"/>
          <w:right w:w="0" w:type="dxa"/>
        </w:tblCellMar>
        <w:tblLook w:val="01E0" w:firstRow="1" w:lastRow="1" w:firstColumn="1" w:lastColumn="1" w:noHBand="0" w:noVBand="0"/>
      </w:tblPr>
      <w:tblGrid>
        <w:gridCol w:w="4320"/>
        <w:gridCol w:w="1223"/>
        <w:gridCol w:w="1275"/>
        <w:gridCol w:w="1275"/>
        <w:gridCol w:w="1275"/>
        <w:gridCol w:w="1252"/>
      </w:tblGrid>
      <w:tr w:rsidR="00EF3DFB" w14:paraId="7326C04A" w14:textId="77777777">
        <w:trPr>
          <w:trHeight w:val="241"/>
        </w:trPr>
        <w:tc>
          <w:tcPr>
            <w:tcW w:w="4320" w:type="dxa"/>
            <w:tcBorders>
              <w:bottom w:val="single" w:sz="8" w:space="0" w:color="000000"/>
            </w:tcBorders>
          </w:tcPr>
          <w:p w14:paraId="7326C044" w14:textId="77777777" w:rsidR="00EF3DFB" w:rsidRDefault="00D27C17">
            <w:pPr>
              <w:pStyle w:val="TableParagraph"/>
              <w:spacing w:line="200" w:lineRule="exact"/>
              <w:ind w:left="52"/>
              <w:rPr>
                <w:b/>
                <w:sz w:val="20"/>
              </w:rPr>
            </w:pPr>
            <w:r>
              <w:rPr>
                <w:b/>
                <w:sz w:val="20"/>
              </w:rPr>
              <w:t>(in millions)</w:t>
            </w:r>
          </w:p>
        </w:tc>
        <w:tc>
          <w:tcPr>
            <w:tcW w:w="1223" w:type="dxa"/>
            <w:tcBorders>
              <w:bottom w:val="single" w:sz="8" w:space="0" w:color="000000"/>
            </w:tcBorders>
          </w:tcPr>
          <w:p w14:paraId="7326C045" w14:textId="77777777" w:rsidR="00EF3DFB" w:rsidRDefault="00D27C17">
            <w:pPr>
              <w:pStyle w:val="TableParagraph"/>
              <w:spacing w:line="200" w:lineRule="exact"/>
              <w:ind w:left="372"/>
              <w:rPr>
                <w:b/>
                <w:sz w:val="20"/>
              </w:rPr>
            </w:pPr>
            <w:r>
              <w:rPr>
                <w:b/>
                <w:sz w:val="20"/>
              </w:rPr>
              <w:t>Total</w:t>
            </w:r>
          </w:p>
        </w:tc>
        <w:tc>
          <w:tcPr>
            <w:tcW w:w="1275" w:type="dxa"/>
            <w:tcBorders>
              <w:bottom w:val="single" w:sz="8" w:space="0" w:color="000000"/>
            </w:tcBorders>
          </w:tcPr>
          <w:p w14:paraId="7326C046" w14:textId="77777777" w:rsidR="00EF3DFB" w:rsidRDefault="00D27C17">
            <w:pPr>
              <w:pStyle w:val="TableParagraph"/>
              <w:spacing w:line="200" w:lineRule="exact"/>
              <w:ind w:left="388"/>
              <w:rPr>
                <w:b/>
                <w:sz w:val="20"/>
              </w:rPr>
            </w:pPr>
            <w:r>
              <w:rPr>
                <w:b/>
                <w:sz w:val="20"/>
              </w:rPr>
              <w:t>1 year</w:t>
            </w:r>
          </w:p>
        </w:tc>
        <w:tc>
          <w:tcPr>
            <w:tcW w:w="1275" w:type="dxa"/>
            <w:tcBorders>
              <w:bottom w:val="single" w:sz="8" w:space="0" w:color="000000"/>
            </w:tcBorders>
          </w:tcPr>
          <w:p w14:paraId="7326C047" w14:textId="77777777" w:rsidR="00EF3DFB" w:rsidRDefault="00D27C17">
            <w:pPr>
              <w:pStyle w:val="TableParagraph"/>
              <w:spacing w:line="200" w:lineRule="exact"/>
              <w:ind w:left="266"/>
              <w:rPr>
                <w:b/>
                <w:sz w:val="20"/>
              </w:rPr>
            </w:pPr>
            <w:r>
              <w:rPr>
                <w:b/>
                <w:sz w:val="20"/>
              </w:rPr>
              <w:t>2-3 years</w:t>
            </w:r>
          </w:p>
        </w:tc>
        <w:tc>
          <w:tcPr>
            <w:tcW w:w="1275" w:type="dxa"/>
            <w:tcBorders>
              <w:bottom w:val="single" w:sz="8" w:space="0" w:color="000000"/>
            </w:tcBorders>
          </w:tcPr>
          <w:p w14:paraId="7326C048" w14:textId="77777777" w:rsidR="00EF3DFB" w:rsidRDefault="00D27C17">
            <w:pPr>
              <w:pStyle w:val="TableParagraph"/>
              <w:spacing w:line="200" w:lineRule="exact"/>
              <w:ind w:left="266"/>
              <w:rPr>
                <w:b/>
                <w:sz w:val="20"/>
              </w:rPr>
            </w:pPr>
            <w:r>
              <w:rPr>
                <w:b/>
                <w:sz w:val="20"/>
              </w:rPr>
              <w:t>4-5 years</w:t>
            </w:r>
          </w:p>
        </w:tc>
        <w:tc>
          <w:tcPr>
            <w:tcW w:w="1252" w:type="dxa"/>
            <w:tcBorders>
              <w:bottom w:val="single" w:sz="8" w:space="0" w:color="000000"/>
            </w:tcBorders>
          </w:tcPr>
          <w:p w14:paraId="7326C049" w14:textId="77777777" w:rsidR="00EF3DFB" w:rsidRDefault="00D27C17">
            <w:pPr>
              <w:pStyle w:val="TableParagraph"/>
              <w:spacing w:line="200" w:lineRule="exact"/>
              <w:ind w:left="374"/>
              <w:rPr>
                <w:b/>
                <w:sz w:val="20"/>
              </w:rPr>
            </w:pPr>
            <w:r>
              <w:rPr>
                <w:b/>
                <w:sz w:val="20"/>
              </w:rPr>
              <w:t>5 years</w:t>
            </w:r>
          </w:p>
        </w:tc>
      </w:tr>
      <w:tr w:rsidR="00EF3DFB" w14:paraId="7326C051" w14:textId="77777777">
        <w:trPr>
          <w:trHeight w:val="305"/>
        </w:trPr>
        <w:tc>
          <w:tcPr>
            <w:tcW w:w="4320" w:type="dxa"/>
            <w:tcBorders>
              <w:top w:val="single" w:sz="8" w:space="0" w:color="000000"/>
            </w:tcBorders>
            <w:shd w:val="clear" w:color="auto" w:fill="CCEDFF"/>
          </w:tcPr>
          <w:p w14:paraId="7326C04B" w14:textId="77777777" w:rsidR="00EF3DFB" w:rsidRDefault="00D27C17">
            <w:pPr>
              <w:pStyle w:val="TableParagraph"/>
              <w:spacing w:before="24"/>
              <w:ind w:left="52"/>
              <w:rPr>
                <w:sz w:val="20"/>
              </w:rPr>
            </w:pPr>
            <w:r>
              <w:rPr>
                <w:sz w:val="20"/>
              </w:rPr>
              <w:t>Debt (1)</w:t>
            </w:r>
          </w:p>
        </w:tc>
        <w:tc>
          <w:tcPr>
            <w:tcW w:w="1223" w:type="dxa"/>
            <w:tcBorders>
              <w:top w:val="single" w:sz="8" w:space="0" w:color="000000"/>
            </w:tcBorders>
            <w:shd w:val="clear" w:color="auto" w:fill="CCEDFF"/>
          </w:tcPr>
          <w:p w14:paraId="7326C04C" w14:textId="77777777" w:rsidR="00EF3DFB" w:rsidRDefault="00D27C17">
            <w:pPr>
              <w:pStyle w:val="TableParagraph"/>
              <w:tabs>
                <w:tab w:val="left" w:pos="615"/>
              </w:tabs>
              <w:spacing w:before="24"/>
              <w:ind w:right="102"/>
              <w:jc w:val="right"/>
              <w:rPr>
                <w:sz w:val="20"/>
              </w:rPr>
            </w:pPr>
            <w:r>
              <w:rPr>
                <w:sz w:val="20"/>
              </w:rPr>
              <w:t>$</w:t>
            </w:r>
            <w:r>
              <w:rPr>
                <w:sz w:val="20"/>
              </w:rPr>
              <w:tab/>
              <w:t>5,633</w:t>
            </w:r>
          </w:p>
        </w:tc>
        <w:tc>
          <w:tcPr>
            <w:tcW w:w="1275" w:type="dxa"/>
            <w:tcBorders>
              <w:top w:val="single" w:sz="8" w:space="0" w:color="000000"/>
            </w:tcBorders>
            <w:shd w:val="clear" w:color="auto" w:fill="CCEDFF"/>
          </w:tcPr>
          <w:p w14:paraId="7326C04D" w14:textId="77777777" w:rsidR="00EF3DFB" w:rsidRDefault="00D27C17">
            <w:pPr>
              <w:pStyle w:val="TableParagraph"/>
              <w:tabs>
                <w:tab w:val="left" w:pos="765"/>
              </w:tabs>
              <w:spacing w:before="24"/>
              <w:ind w:right="102"/>
              <w:jc w:val="right"/>
              <w:rPr>
                <w:sz w:val="20"/>
              </w:rPr>
            </w:pPr>
            <w:r>
              <w:rPr>
                <w:sz w:val="20"/>
              </w:rPr>
              <w:t>$</w:t>
            </w:r>
            <w:r>
              <w:rPr>
                <w:sz w:val="20"/>
              </w:rPr>
              <w:tab/>
              <w:t>465</w:t>
            </w:r>
          </w:p>
        </w:tc>
        <w:tc>
          <w:tcPr>
            <w:tcW w:w="1275" w:type="dxa"/>
            <w:tcBorders>
              <w:top w:val="single" w:sz="8" w:space="0" w:color="000000"/>
            </w:tcBorders>
            <w:shd w:val="clear" w:color="auto" w:fill="CCEDFF"/>
          </w:tcPr>
          <w:p w14:paraId="7326C04E" w14:textId="77777777" w:rsidR="00EF3DFB" w:rsidRDefault="00D27C17">
            <w:pPr>
              <w:pStyle w:val="TableParagraph"/>
              <w:tabs>
                <w:tab w:val="left" w:pos="615"/>
              </w:tabs>
              <w:spacing w:before="24"/>
              <w:ind w:right="102"/>
              <w:jc w:val="right"/>
              <w:rPr>
                <w:sz w:val="20"/>
              </w:rPr>
            </w:pPr>
            <w:r>
              <w:rPr>
                <w:sz w:val="20"/>
              </w:rPr>
              <w:t>$</w:t>
            </w:r>
            <w:r>
              <w:rPr>
                <w:sz w:val="20"/>
              </w:rPr>
              <w:tab/>
              <w:t>1,348</w:t>
            </w:r>
          </w:p>
        </w:tc>
        <w:tc>
          <w:tcPr>
            <w:tcW w:w="1275" w:type="dxa"/>
            <w:tcBorders>
              <w:top w:val="single" w:sz="8" w:space="0" w:color="000000"/>
            </w:tcBorders>
            <w:shd w:val="clear" w:color="auto" w:fill="CCEDFF"/>
          </w:tcPr>
          <w:p w14:paraId="7326C04F" w14:textId="77777777" w:rsidR="00EF3DFB" w:rsidRDefault="00D27C17">
            <w:pPr>
              <w:pStyle w:val="TableParagraph"/>
              <w:tabs>
                <w:tab w:val="left" w:pos="765"/>
              </w:tabs>
              <w:spacing w:before="24"/>
              <w:ind w:right="102"/>
              <w:jc w:val="right"/>
              <w:rPr>
                <w:sz w:val="20"/>
              </w:rPr>
            </w:pPr>
            <w:r>
              <w:rPr>
                <w:sz w:val="20"/>
              </w:rPr>
              <w:t>$</w:t>
            </w:r>
            <w:r>
              <w:rPr>
                <w:sz w:val="20"/>
              </w:rPr>
              <w:tab/>
              <w:t>748</w:t>
            </w:r>
          </w:p>
        </w:tc>
        <w:tc>
          <w:tcPr>
            <w:tcW w:w="1252" w:type="dxa"/>
            <w:tcBorders>
              <w:top w:val="single" w:sz="8" w:space="0" w:color="000000"/>
            </w:tcBorders>
            <w:shd w:val="clear" w:color="auto" w:fill="CCEDFF"/>
          </w:tcPr>
          <w:p w14:paraId="7326C050" w14:textId="77777777" w:rsidR="00EF3DFB" w:rsidRDefault="00D27C17">
            <w:pPr>
              <w:pStyle w:val="TableParagraph"/>
              <w:tabs>
                <w:tab w:val="left" w:pos="615"/>
              </w:tabs>
              <w:spacing w:before="24"/>
              <w:ind w:right="79"/>
              <w:jc w:val="right"/>
              <w:rPr>
                <w:sz w:val="20"/>
              </w:rPr>
            </w:pPr>
            <w:r>
              <w:rPr>
                <w:sz w:val="20"/>
              </w:rPr>
              <w:t>$</w:t>
            </w:r>
            <w:r>
              <w:rPr>
                <w:sz w:val="20"/>
              </w:rPr>
              <w:tab/>
              <w:t>3,072</w:t>
            </w:r>
          </w:p>
        </w:tc>
      </w:tr>
      <w:tr w:rsidR="00EF3DFB" w14:paraId="7326C058" w14:textId="77777777">
        <w:trPr>
          <w:trHeight w:val="315"/>
        </w:trPr>
        <w:tc>
          <w:tcPr>
            <w:tcW w:w="4320" w:type="dxa"/>
          </w:tcPr>
          <w:p w14:paraId="7326C052" w14:textId="77777777" w:rsidR="00EF3DFB" w:rsidRDefault="00D27C17">
            <w:pPr>
              <w:pStyle w:val="TableParagraph"/>
              <w:spacing w:before="34"/>
              <w:ind w:left="52"/>
              <w:rPr>
                <w:sz w:val="20"/>
              </w:rPr>
            </w:pPr>
            <w:r>
              <w:rPr>
                <w:sz w:val="20"/>
              </w:rPr>
              <w:t>Interest on debt (2)</w:t>
            </w:r>
          </w:p>
        </w:tc>
        <w:tc>
          <w:tcPr>
            <w:tcW w:w="1223" w:type="dxa"/>
          </w:tcPr>
          <w:p w14:paraId="7326C053" w14:textId="77777777" w:rsidR="00EF3DFB" w:rsidRDefault="00D27C17">
            <w:pPr>
              <w:pStyle w:val="TableParagraph"/>
              <w:spacing w:before="34"/>
              <w:ind w:right="102"/>
              <w:jc w:val="right"/>
              <w:rPr>
                <w:sz w:val="20"/>
              </w:rPr>
            </w:pPr>
            <w:r>
              <w:rPr>
                <w:sz w:val="20"/>
              </w:rPr>
              <w:t>2,216</w:t>
            </w:r>
          </w:p>
        </w:tc>
        <w:tc>
          <w:tcPr>
            <w:tcW w:w="1275" w:type="dxa"/>
          </w:tcPr>
          <w:p w14:paraId="7326C054" w14:textId="77777777" w:rsidR="00EF3DFB" w:rsidRDefault="00D27C17">
            <w:pPr>
              <w:pStyle w:val="TableParagraph"/>
              <w:spacing w:before="34"/>
              <w:ind w:right="102"/>
              <w:jc w:val="right"/>
              <w:rPr>
                <w:sz w:val="20"/>
              </w:rPr>
            </w:pPr>
            <w:r>
              <w:rPr>
                <w:sz w:val="20"/>
              </w:rPr>
              <w:t>270</w:t>
            </w:r>
          </w:p>
        </w:tc>
        <w:tc>
          <w:tcPr>
            <w:tcW w:w="1275" w:type="dxa"/>
          </w:tcPr>
          <w:p w14:paraId="7326C055" w14:textId="77777777" w:rsidR="00EF3DFB" w:rsidRDefault="00D27C17">
            <w:pPr>
              <w:pStyle w:val="TableParagraph"/>
              <w:spacing w:before="34"/>
              <w:ind w:right="102"/>
              <w:jc w:val="right"/>
              <w:rPr>
                <w:sz w:val="20"/>
              </w:rPr>
            </w:pPr>
            <w:r>
              <w:rPr>
                <w:sz w:val="20"/>
              </w:rPr>
              <w:t>470</w:t>
            </w:r>
          </w:p>
        </w:tc>
        <w:tc>
          <w:tcPr>
            <w:tcW w:w="1275" w:type="dxa"/>
          </w:tcPr>
          <w:p w14:paraId="7326C056" w14:textId="77777777" w:rsidR="00EF3DFB" w:rsidRDefault="00D27C17">
            <w:pPr>
              <w:pStyle w:val="TableParagraph"/>
              <w:spacing w:before="34"/>
              <w:ind w:right="102"/>
              <w:jc w:val="right"/>
              <w:rPr>
                <w:sz w:val="20"/>
              </w:rPr>
            </w:pPr>
            <w:r>
              <w:rPr>
                <w:sz w:val="20"/>
              </w:rPr>
              <w:t>353</w:t>
            </w:r>
          </w:p>
        </w:tc>
        <w:tc>
          <w:tcPr>
            <w:tcW w:w="1252" w:type="dxa"/>
          </w:tcPr>
          <w:p w14:paraId="7326C057" w14:textId="77777777" w:rsidR="00EF3DFB" w:rsidRDefault="00D27C17">
            <w:pPr>
              <w:pStyle w:val="TableParagraph"/>
              <w:spacing w:before="34"/>
              <w:ind w:right="79"/>
              <w:jc w:val="right"/>
              <w:rPr>
                <w:sz w:val="20"/>
              </w:rPr>
            </w:pPr>
            <w:r>
              <w:rPr>
                <w:sz w:val="20"/>
              </w:rPr>
              <w:t>1,123</w:t>
            </w:r>
          </w:p>
        </w:tc>
      </w:tr>
      <w:tr w:rsidR="00EF3DFB" w14:paraId="7326C05F" w14:textId="77777777">
        <w:trPr>
          <w:trHeight w:val="315"/>
        </w:trPr>
        <w:tc>
          <w:tcPr>
            <w:tcW w:w="4320" w:type="dxa"/>
            <w:shd w:val="clear" w:color="auto" w:fill="CCEDFF"/>
          </w:tcPr>
          <w:p w14:paraId="7326C059" w14:textId="77777777" w:rsidR="00EF3DFB" w:rsidRDefault="00D27C17">
            <w:pPr>
              <w:pStyle w:val="TableParagraph"/>
              <w:spacing w:before="34"/>
              <w:ind w:left="52"/>
              <w:rPr>
                <w:sz w:val="20"/>
              </w:rPr>
            </w:pPr>
            <w:r>
              <w:rPr>
                <w:sz w:val="20"/>
              </w:rPr>
              <w:t>Lease obligations (3)</w:t>
            </w:r>
          </w:p>
        </w:tc>
        <w:tc>
          <w:tcPr>
            <w:tcW w:w="1223" w:type="dxa"/>
            <w:shd w:val="clear" w:color="auto" w:fill="CCEDFF"/>
          </w:tcPr>
          <w:p w14:paraId="7326C05A" w14:textId="77777777" w:rsidR="00EF3DFB" w:rsidRDefault="00D27C17">
            <w:pPr>
              <w:pStyle w:val="TableParagraph"/>
              <w:spacing w:before="34"/>
              <w:ind w:right="102"/>
              <w:jc w:val="right"/>
              <w:rPr>
                <w:sz w:val="20"/>
              </w:rPr>
            </w:pPr>
            <w:r>
              <w:rPr>
                <w:sz w:val="20"/>
              </w:rPr>
              <w:t>709</w:t>
            </w:r>
          </w:p>
        </w:tc>
        <w:tc>
          <w:tcPr>
            <w:tcW w:w="1275" w:type="dxa"/>
            <w:shd w:val="clear" w:color="auto" w:fill="CCEDFF"/>
          </w:tcPr>
          <w:p w14:paraId="7326C05B" w14:textId="77777777" w:rsidR="00EF3DFB" w:rsidRDefault="00D27C17">
            <w:pPr>
              <w:pStyle w:val="TableParagraph"/>
              <w:spacing w:before="34"/>
              <w:ind w:right="102"/>
              <w:jc w:val="right"/>
              <w:rPr>
                <w:sz w:val="20"/>
              </w:rPr>
            </w:pPr>
            <w:r>
              <w:rPr>
                <w:sz w:val="20"/>
              </w:rPr>
              <w:t>159</w:t>
            </w:r>
          </w:p>
        </w:tc>
        <w:tc>
          <w:tcPr>
            <w:tcW w:w="1275" w:type="dxa"/>
            <w:shd w:val="clear" w:color="auto" w:fill="CCEDFF"/>
          </w:tcPr>
          <w:p w14:paraId="7326C05C" w14:textId="77777777" w:rsidR="00EF3DFB" w:rsidRDefault="00D27C17">
            <w:pPr>
              <w:pStyle w:val="TableParagraph"/>
              <w:spacing w:before="34"/>
              <w:ind w:right="102"/>
              <w:jc w:val="right"/>
              <w:rPr>
                <w:sz w:val="20"/>
              </w:rPr>
            </w:pPr>
            <w:r>
              <w:rPr>
                <w:sz w:val="20"/>
              </w:rPr>
              <w:t>241</w:t>
            </w:r>
          </w:p>
        </w:tc>
        <w:tc>
          <w:tcPr>
            <w:tcW w:w="1275" w:type="dxa"/>
            <w:shd w:val="clear" w:color="auto" w:fill="CCEDFF"/>
          </w:tcPr>
          <w:p w14:paraId="7326C05D" w14:textId="77777777" w:rsidR="00EF3DFB" w:rsidRDefault="00D27C17">
            <w:pPr>
              <w:pStyle w:val="TableParagraph"/>
              <w:spacing w:before="34"/>
              <w:ind w:right="102"/>
              <w:jc w:val="right"/>
              <w:rPr>
                <w:sz w:val="20"/>
              </w:rPr>
            </w:pPr>
            <w:r>
              <w:rPr>
                <w:sz w:val="20"/>
              </w:rPr>
              <w:t>141</w:t>
            </w:r>
          </w:p>
        </w:tc>
        <w:tc>
          <w:tcPr>
            <w:tcW w:w="1252" w:type="dxa"/>
            <w:shd w:val="clear" w:color="auto" w:fill="CCEDFF"/>
          </w:tcPr>
          <w:p w14:paraId="7326C05E" w14:textId="77777777" w:rsidR="00EF3DFB" w:rsidRDefault="00D27C17">
            <w:pPr>
              <w:pStyle w:val="TableParagraph"/>
              <w:spacing w:before="34"/>
              <w:ind w:right="79"/>
              <w:jc w:val="right"/>
              <w:rPr>
                <w:sz w:val="20"/>
              </w:rPr>
            </w:pPr>
            <w:r>
              <w:rPr>
                <w:sz w:val="20"/>
              </w:rPr>
              <w:t>168</w:t>
            </w:r>
          </w:p>
        </w:tc>
      </w:tr>
      <w:tr w:rsidR="00EF3DFB" w14:paraId="7326C066" w14:textId="77777777">
        <w:trPr>
          <w:trHeight w:val="315"/>
        </w:trPr>
        <w:tc>
          <w:tcPr>
            <w:tcW w:w="4320" w:type="dxa"/>
          </w:tcPr>
          <w:p w14:paraId="7326C060" w14:textId="77777777" w:rsidR="00EF3DFB" w:rsidRDefault="00D27C17">
            <w:pPr>
              <w:pStyle w:val="TableParagraph"/>
              <w:spacing w:before="34"/>
              <w:ind w:left="52"/>
              <w:rPr>
                <w:sz w:val="20"/>
              </w:rPr>
            </w:pPr>
            <w:r>
              <w:rPr>
                <w:sz w:val="20"/>
              </w:rPr>
              <w:t>Purchase obligations (4)</w:t>
            </w:r>
          </w:p>
        </w:tc>
        <w:tc>
          <w:tcPr>
            <w:tcW w:w="1223" w:type="dxa"/>
          </w:tcPr>
          <w:p w14:paraId="7326C061" w14:textId="77777777" w:rsidR="00EF3DFB" w:rsidRDefault="00D27C17">
            <w:pPr>
              <w:pStyle w:val="TableParagraph"/>
              <w:spacing w:before="34"/>
              <w:ind w:right="102"/>
              <w:jc w:val="right"/>
              <w:rPr>
                <w:sz w:val="20"/>
              </w:rPr>
            </w:pPr>
            <w:r>
              <w:rPr>
                <w:sz w:val="20"/>
              </w:rPr>
              <w:t>347</w:t>
            </w:r>
          </w:p>
        </w:tc>
        <w:tc>
          <w:tcPr>
            <w:tcW w:w="1275" w:type="dxa"/>
          </w:tcPr>
          <w:p w14:paraId="7326C062" w14:textId="77777777" w:rsidR="00EF3DFB" w:rsidRDefault="00D27C17">
            <w:pPr>
              <w:pStyle w:val="TableParagraph"/>
              <w:spacing w:before="34"/>
              <w:ind w:right="102"/>
              <w:jc w:val="right"/>
              <w:rPr>
                <w:sz w:val="20"/>
              </w:rPr>
            </w:pPr>
            <w:r>
              <w:rPr>
                <w:sz w:val="20"/>
              </w:rPr>
              <w:t>248</w:t>
            </w:r>
          </w:p>
        </w:tc>
        <w:tc>
          <w:tcPr>
            <w:tcW w:w="1275" w:type="dxa"/>
          </w:tcPr>
          <w:p w14:paraId="7326C063" w14:textId="77777777" w:rsidR="00EF3DFB" w:rsidRDefault="00D27C17">
            <w:pPr>
              <w:pStyle w:val="TableParagraph"/>
              <w:spacing w:before="34"/>
              <w:ind w:right="102"/>
              <w:jc w:val="right"/>
              <w:rPr>
                <w:sz w:val="20"/>
              </w:rPr>
            </w:pPr>
            <w:r>
              <w:rPr>
                <w:sz w:val="20"/>
              </w:rPr>
              <w:t>74</w:t>
            </w:r>
          </w:p>
        </w:tc>
        <w:tc>
          <w:tcPr>
            <w:tcW w:w="1275" w:type="dxa"/>
          </w:tcPr>
          <w:p w14:paraId="7326C064" w14:textId="77777777" w:rsidR="00EF3DFB" w:rsidRDefault="00D27C17">
            <w:pPr>
              <w:pStyle w:val="TableParagraph"/>
              <w:spacing w:before="34"/>
              <w:ind w:right="102"/>
              <w:jc w:val="right"/>
              <w:rPr>
                <w:sz w:val="20"/>
              </w:rPr>
            </w:pPr>
            <w:r>
              <w:rPr>
                <w:sz w:val="20"/>
              </w:rPr>
              <w:t>21</w:t>
            </w:r>
          </w:p>
        </w:tc>
        <w:tc>
          <w:tcPr>
            <w:tcW w:w="1252" w:type="dxa"/>
          </w:tcPr>
          <w:p w14:paraId="7326C065" w14:textId="77777777" w:rsidR="00EF3DFB" w:rsidRDefault="00D27C17">
            <w:pPr>
              <w:pStyle w:val="TableParagraph"/>
              <w:spacing w:before="34"/>
              <w:ind w:right="79"/>
              <w:jc w:val="right"/>
              <w:rPr>
                <w:sz w:val="20"/>
              </w:rPr>
            </w:pPr>
            <w:r>
              <w:rPr>
                <w:sz w:val="20"/>
              </w:rPr>
              <w:t>4</w:t>
            </w:r>
          </w:p>
        </w:tc>
      </w:tr>
      <w:tr w:rsidR="00EF3DFB" w14:paraId="7326C06D" w14:textId="77777777">
        <w:trPr>
          <w:trHeight w:val="305"/>
        </w:trPr>
        <w:tc>
          <w:tcPr>
            <w:tcW w:w="4320" w:type="dxa"/>
            <w:shd w:val="clear" w:color="auto" w:fill="CCEDFF"/>
          </w:tcPr>
          <w:p w14:paraId="7326C067" w14:textId="77777777" w:rsidR="00EF3DFB" w:rsidRDefault="00D27C17">
            <w:pPr>
              <w:pStyle w:val="TableParagraph"/>
              <w:spacing w:before="34"/>
              <w:ind w:left="52"/>
              <w:rPr>
                <w:sz w:val="20"/>
              </w:rPr>
            </w:pPr>
            <w:r>
              <w:rPr>
                <w:sz w:val="20"/>
              </w:rPr>
              <w:t>Tax obligations (5)</w:t>
            </w:r>
          </w:p>
        </w:tc>
        <w:tc>
          <w:tcPr>
            <w:tcW w:w="1223" w:type="dxa"/>
            <w:tcBorders>
              <w:bottom w:val="single" w:sz="8" w:space="0" w:color="000000"/>
            </w:tcBorders>
            <w:shd w:val="clear" w:color="auto" w:fill="CCEDFF"/>
          </w:tcPr>
          <w:p w14:paraId="7326C068" w14:textId="77777777" w:rsidR="00EF3DFB" w:rsidRDefault="00D27C17">
            <w:pPr>
              <w:pStyle w:val="TableParagraph"/>
              <w:spacing w:before="34"/>
              <w:ind w:right="102"/>
              <w:jc w:val="right"/>
              <w:rPr>
                <w:sz w:val="20"/>
              </w:rPr>
            </w:pPr>
            <w:r>
              <w:rPr>
                <w:sz w:val="20"/>
              </w:rPr>
              <w:t>107</w:t>
            </w:r>
          </w:p>
        </w:tc>
        <w:tc>
          <w:tcPr>
            <w:tcW w:w="1275" w:type="dxa"/>
            <w:tcBorders>
              <w:bottom w:val="single" w:sz="8" w:space="0" w:color="000000"/>
            </w:tcBorders>
            <w:shd w:val="clear" w:color="auto" w:fill="CCEDFF"/>
          </w:tcPr>
          <w:p w14:paraId="7326C069" w14:textId="77777777" w:rsidR="00EF3DFB" w:rsidRDefault="00D27C17">
            <w:pPr>
              <w:pStyle w:val="TableParagraph"/>
              <w:spacing w:before="34"/>
              <w:ind w:right="102"/>
              <w:jc w:val="right"/>
              <w:rPr>
                <w:sz w:val="20"/>
              </w:rPr>
            </w:pPr>
            <w:r>
              <w:rPr>
                <w:sz w:val="20"/>
              </w:rPr>
              <w:t>11</w:t>
            </w:r>
          </w:p>
        </w:tc>
        <w:tc>
          <w:tcPr>
            <w:tcW w:w="1275" w:type="dxa"/>
            <w:tcBorders>
              <w:bottom w:val="single" w:sz="8" w:space="0" w:color="000000"/>
            </w:tcBorders>
            <w:shd w:val="clear" w:color="auto" w:fill="CCEDFF"/>
          </w:tcPr>
          <w:p w14:paraId="7326C06A" w14:textId="77777777" w:rsidR="00EF3DFB" w:rsidRDefault="00D27C17">
            <w:pPr>
              <w:pStyle w:val="TableParagraph"/>
              <w:spacing w:before="34"/>
              <w:ind w:right="102"/>
              <w:jc w:val="right"/>
              <w:rPr>
                <w:sz w:val="20"/>
              </w:rPr>
            </w:pPr>
            <w:r>
              <w:rPr>
                <w:sz w:val="20"/>
              </w:rPr>
              <w:t>33</w:t>
            </w:r>
          </w:p>
        </w:tc>
        <w:tc>
          <w:tcPr>
            <w:tcW w:w="1275" w:type="dxa"/>
            <w:tcBorders>
              <w:bottom w:val="single" w:sz="8" w:space="0" w:color="000000"/>
            </w:tcBorders>
            <w:shd w:val="clear" w:color="auto" w:fill="CCEDFF"/>
          </w:tcPr>
          <w:p w14:paraId="7326C06B" w14:textId="77777777" w:rsidR="00EF3DFB" w:rsidRDefault="00D27C17">
            <w:pPr>
              <w:pStyle w:val="TableParagraph"/>
              <w:spacing w:before="34"/>
              <w:ind w:right="102"/>
              <w:jc w:val="right"/>
              <w:rPr>
                <w:sz w:val="20"/>
              </w:rPr>
            </w:pPr>
            <w:r>
              <w:rPr>
                <w:sz w:val="20"/>
              </w:rPr>
              <w:t>63</w:t>
            </w:r>
          </w:p>
        </w:tc>
        <w:tc>
          <w:tcPr>
            <w:tcW w:w="1252" w:type="dxa"/>
            <w:tcBorders>
              <w:bottom w:val="single" w:sz="8" w:space="0" w:color="000000"/>
            </w:tcBorders>
            <w:shd w:val="clear" w:color="auto" w:fill="CCEDFF"/>
          </w:tcPr>
          <w:p w14:paraId="7326C06C" w14:textId="77777777" w:rsidR="00EF3DFB" w:rsidRDefault="00D27C17">
            <w:pPr>
              <w:pStyle w:val="TableParagraph"/>
              <w:spacing w:before="34"/>
              <w:ind w:right="79"/>
              <w:jc w:val="right"/>
              <w:rPr>
                <w:sz w:val="20"/>
              </w:rPr>
            </w:pPr>
            <w:r>
              <w:rPr>
                <w:sz w:val="20"/>
              </w:rPr>
              <w:t>—</w:t>
            </w:r>
          </w:p>
        </w:tc>
      </w:tr>
      <w:tr w:rsidR="00EF3DFB" w14:paraId="7326C074" w14:textId="77777777">
        <w:trPr>
          <w:trHeight w:val="315"/>
        </w:trPr>
        <w:tc>
          <w:tcPr>
            <w:tcW w:w="4320" w:type="dxa"/>
          </w:tcPr>
          <w:p w14:paraId="7326C06E" w14:textId="77777777" w:rsidR="00EF3DFB" w:rsidRDefault="00D27C17">
            <w:pPr>
              <w:pStyle w:val="TableParagraph"/>
              <w:spacing w:before="24"/>
              <w:ind w:left="52"/>
              <w:rPr>
                <w:sz w:val="20"/>
              </w:rPr>
            </w:pPr>
            <w:r>
              <w:rPr>
                <w:sz w:val="20"/>
              </w:rPr>
              <w:t>Total (6)</w:t>
            </w:r>
          </w:p>
        </w:tc>
        <w:tc>
          <w:tcPr>
            <w:tcW w:w="1223" w:type="dxa"/>
            <w:tcBorders>
              <w:top w:val="single" w:sz="8" w:space="0" w:color="000000"/>
              <w:bottom w:val="single" w:sz="8" w:space="0" w:color="000000"/>
            </w:tcBorders>
          </w:tcPr>
          <w:p w14:paraId="7326C06F" w14:textId="77777777" w:rsidR="00EF3DFB" w:rsidRDefault="00D27C17">
            <w:pPr>
              <w:pStyle w:val="TableParagraph"/>
              <w:tabs>
                <w:tab w:val="left" w:pos="615"/>
              </w:tabs>
              <w:spacing w:before="24"/>
              <w:ind w:right="102"/>
              <w:jc w:val="right"/>
              <w:rPr>
                <w:sz w:val="20"/>
              </w:rPr>
            </w:pPr>
            <w:r>
              <w:rPr>
                <w:sz w:val="20"/>
                <w:u w:val="single"/>
              </w:rPr>
              <w:t>$</w:t>
            </w:r>
            <w:r>
              <w:rPr>
                <w:sz w:val="20"/>
                <w:u w:val="single"/>
              </w:rPr>
              <w:tab/>
              <w:t>9,012</w:t>
            </w:r>
          </w:p>
        </w:tc>
        <w:tc>
          <w:tcPr>
            <w:tcW w:w="1275" w:type="dxa"/>
            <w:tcBorders>
              <w:top w:val="single" w:sz="8" w:space="0" w:color="000000"/>
              <w:bottom w:val="single" w:sz="8" w:space="0" w:color="000000"/>
            </w:tcBorders>
          </w:tcPr>
          <w:p w14:paraId="7326C070" w14:textId="77777777" w:rsidR="00EF3DFB" w:rsidRDefault="00D27C17">
            <w:pPr>
              <w:pStyle w:val="TableParagraph"/>
              <w:tabs>
                <w:tab w:val="left" w:pos="615"/>
              </w:tabs>
              <w:spacing w:before="24"/>
              <w:ind w:right="102"/>
              <w:jc w:val="right"/>
              <w:rPr>
                <w:sz w:val="20"/>
              </w:rPr>
            </w:pPr>
            <w:r>
              <w:rPr>
                <w:sz w:val="20"/>
                <w:u w:val="single"/>
              </w:rPr>
              <w:t>$</w:t>
            </w:r>
            <w:r>
              <w:rPr>
                <w:sz w:val="20"/>
                <w:u w:val="single"/>
              </w:rPr>
              <w:tab/>
              <w:t>1,153</w:t>
            </w:r>
          </w:p>
        </w:tc>
        <w:tc>
          <w:tcPr>
            <w:tcW w:w="1275" w:type="dxa"/>
            <w:tcBorders>
              <w:top w:val="single" w:sz="8" w:space="0" w:color="000000"/>
              <w:bottom w:val="single" w:sz="8" w:space="0" w:color="000000"/>
            </w:tcBorders>
          </w:tcPr>
          <w:p w14:paraId="7326C071" w14:textId="77777777" w:rsidR="00EF3DFB" w:rsidRDefault="00D27C17">
            <w:pPr>
              <w:pStyle w:val="TableParagraph"/>
              <w:tabs>
                <w:tab w:val="left" w:pos="615"/>
              </w:tabs>
              <w:spacing w:before="24"/>
              <w:ind w:right="102"/>
              <w:jc w:val="right"/>
              <w:rPr>
                <w:sz w:val="20"/>
              </w:rPr>
            </w:pPr>
            <w:r>
              <w:rPr>
                <w:sz w:val="20"/>
                <w:u w:val="single"/>
              </w:rPr>
              <w:t>$</w:t>
            </w:r>
            <w:r>
              <w:rPr>
                <w:sz w:val="20"/>
                <w:u w:val="single"/>
              </w:rPr>
              <w:tab/>
              <w:t>2,166</w:t>
            </w:r>
          </w:p>
        </w:tc>
        <w:tc>
          <w:tcPr>
            <w:tcW w:w="1275" w:type="dxa"/>
            <w:tcBorders>
              <w:top w:val="single" w:sz="8" w:space="0" w:color="000000"/>
              <w:bottom w:val="single" w:sz="8" w:space="0" w:color="000000"/>
            </w:tcBorders>
          </w:tcPr>
          <w:p w14:paraId="7326C072" w14:textId="77777777" w:rsidR="00EF3DFB" w:rsidRDefault="00D27C17">
            <w:pPr>
              <w:pStyle w:val="TableParagraph"/>
              <w:tabs>
                <w:tab w:val="left" w:pos="615"/>
              </w:tabs>
              <w:spacing w:before="24"/>
              <w:ind w:right="102"/>
              <w:jc w:val="right"/>
              <w:rPr>
                <w:sz w:val="20"/>
              </w:rPr>
            </w:pPr>
            <w:r>
              <w:rPr>
                <w:sz w:val="20"/>
                <w:u w:val="single"/>
              </w:rPr>
              <w:t>$</w:t>
            </w:r>
            <w:r>
              <w:rPr>
                <w:sz w:val="20"/>
                <w:u w:val="single"/>
              </w:rPr>
              <w:tab/>
              <w:t>1,326</w:t>
            </w:r>
          </w:p>
        </w:tc>
        <w:tc>
          <w:tcPr>
            <w:tcW w:w="1252" w:type="dxa"/>
            <w:tcBorders>
              <w:top w:val="single" w:sz="8" w:space="0" w:color="000000"/>
              <w:bottom w:val="single" w:sz="8" w:space="0" w:color="000000"/>
            </w:tcBorders>
          </w:tcPr>
          <w:p w14:paraId="7326C073" w14:textId="77777777" w:rsidR="00EF3DFB" w:rsidRDefault="00D27C17">
            <w:pPr>
              <w:pStyle w:val="TableParagraph"/>
              <w:tabs>
                <w:tab w:val="left" w:pos="615"/>
              </w:tabs>
              <w:spacing w:before="24"/>
              <w:ind w:right="79"/>
              <w:jc w:val="right"/>
              <w:rPr>
                <w:sz w:val="20"/>
              </w:rPr>
            </w:pPr>
            <w:r>
              <w:rPr>
                <w:sz w:val="20"/>
                <w:u w:val="single"/>
              </w:rPr>
              <w:t>$</w:t>
            </w:r>
            <w:r>
              <w:rPr>
                <w:sz w:val="20"/>
                <w:u w:val="single"/>
              </w:rPr>
              <w:tab/>
              <w:t>4,367</w:t>
            </w:r>
          </w:p>
        </w:tc>
      </w:tr>
    </w:tbl>
    <w:p w14:paraId="7326C075" w14:textId="77777777" w:rsidR="00EF3DFB" w:rsidRDefault="00EF3DFB">
      <w:pPr>
        <w:pStyle w:val="BodyText"/>
        <w:spacing w:before="10"/>
        <w:rPr>
          <w:b/>
        </w:rPr>
      </w:pPr>
    </w:p>
    <w:p w14:paraId="7326C076" w14:textId="77777777" w:rsidR="00EF3DFB" w:rsidRDefault="00D27C17">
      <w:pPr>
        <w:pStyle w:val="ListParagraph"/>
        <w:numPr>
          <w:ilvl w:val="1"/>
          <w:numId w:val="27"/>
        </w:numPr>
        <w:tabs>
          <w:tab w:val="left" w:pos="910"/>
        </w:tabs>
        <w:spacing w:line="249" w:lineRule="auto"/>
        <w:ind w:right="167"/>
        <w:jc w:val="both"/>
        <w:rPr>
          <w:sz w:val="16"/>
        </w:rPr>
      </w:pPr>
      <w:r>
        <w:rPr>
          <w:sz w:val="16"/>
        </w:rPr>
        <w:t xml:space="preserve">Amounts represent contractual obligations based on the earliest date that the obligation may become due, excluding interest, based on borrowings outstanding at December 31, 2020. For further information relating to these obligations, see </w:t>
      </w:r>
      <w:r>
        <w:rPr>
          <w:i/>
          <w:sz w:val="16"/>
        </w:rPr>
        <w:t xml:space="preserve">Footnote 9 of the </w:t>
      </w:r>
      <w:r>
        <w:rPr>
          <w:i/>
          <w:sz w:val="16"/>
        </w:rPr>
        <w:t>Notes to Consolidated Financial Statements</w:t>
      </w:r>
      <w:r>
        <w:rPr>
          <w:sz w:val="16"/>
        </w:rPr>
        <w:t>.</w:t>
      </w:r>
    </w:p>
    <w:p w14:paraId="7326C077" w14:textId="77777777" w:rsidR="00EF3DFB" w:rsidRDefault="00D27C17">
      <w:pPr>
        <w:pStyle w:val="ListParagraph"/>
        <w:numPr>
          <w:ilvl w:val="1"/>
          <w:numId w:val="27"/>
        </w:numPr>
        <w:tabs>
          <w:tab w:val="left" w:pos="910"/>
        </w:tabs>
        <w:spacing w:before="2" w:line="249" w:lineRule="auto"/>
        <w:ind w:right="169"/>
        <w:jc w:val="both"/>
        <w:rPr>
          <w:sz w:val="16"/>
        </w:rPr>
      </w:pPr>
      <w:r>
        <w:rPr>
          <w:sz w:val="16"/>
        </w:rPr>
        <w:t xml:space="preserve">Amounts represent estimated interest payable on borrowings outstanding at December 31, 2020, excluding the impact of fixed to floating rate interest rate swaps. Interest on floating-rate debt was estimated using </w:t>
      </w:r>
      <w:r>
        <w:rPr>
          <w:sz w:val="16"/>
        </w:rPr>
        <w:t xml:space="preserve">the rate in effect at December 31, 2020. For further information, see </w:t>
      </w:r>
      <w:r>
        <w:rPr>
          <w:i/>
          <w:sz w:val="16"/>
        </w:rPr>
        <w:t>Footnote 9 of the Notes to Consolidated Financial</w:t>
      </w:r>
      <w:r>
        <w:rPr>
          <w:i/>
          <w:spacing w:val="-1"/>
          <w:sz w:val="16"/>
        </w:rPr>
        <w:t xml:space="preserve"> </w:t>
      </w:r>
      <w:r>
        <w:rPr>
          <w:i/>
          <w:sz w:val="16"/>
        </w:rPr>
        <w:t>Statements</w:t>
      </w:r>
      <w:r>
        <w:rPr>
          <w:sz w:val="16"/>
        </w:rPr>
        <w:t>.</w:t>
      </w:r>
    </w:p>
    <w:p w14:paraId="7326C078" w14:textId="77777777" w:rsidR="00EF3DFB" w:rsidRDefault="00D27C17">
      <w:pPr>
        <w:pStyle w:val="ListParagraph"/>
        <w:numPr>
          <w:ilvl w:val="1"/>
          <w:numId w:val="27"/>
        </w:numPr>
        <w:tabs>
          <w:tab w:val="left" w:pos="910"/>
        </w:tabs>
        <w:spacing w:before="2" w:line="249" w:lineRule="auto"/>
        <w:ind w:right="167"/>
        <w:jc w:val="both"/>
        <w:rPr>
          <w:sz w:val="16"/>
        </w:rPr>
      </w:pPr>
      <w:r>
        <w:rPr>
          <w:sz w:val="16"/>
        </w:rPr>
        <w:t xml:space="preserve">Amounts represent lease liabilities on operating and financing leases at December 31, 2020. See </w:t>
      </w:r>
      <w:r>
        <w:rPr>
          <w:i/>
          <w:sz w:val="16"/>
        </w:rPr>
        <w:t xml:space="preserve">Footnote 13 of the Notes to </w:t>
      </w:r>
      <w:r>
        <w:rPr>
          <w:i/>
          <w:sz w:val="16"/>
        </w:rPr>
        <w:t>Consolidated Financial Statements</w:t>
      </w:r>
      <w:r>
        <w:rPr>
          <w:sz w:val="16"/>
        </w:rPr>
        <w:t>.</w:t>
      </w:r>
    </w:p>
    <w:p w14:paraId="7326C079" w14:textId="77777777" w:rsidR="00EF3DFB" w:rsidRDefault="00D27C17">
      <w:pPr>
        <w:pStyle w:val="ListParagraph"/>
        <w:numPr>
          <w:ilvl w:val="1"/>
          <w:numId w:val="27"/>
        </w:numPr>
        <w:tabs>
          <w:tab w:val="left" w:pos="910"/>
        </w:tabs>
        <w:spacing w:before="1" w:line="249" w:lineRule="auto"/>
        <w:ind w:right="163"/>
        <w:jc w:val="both"/>
        <w:rPr>
          <w:sz w:val="16"/>
        </w:rPr>
      </w:pPr>
      <w:r>
        <w:rPr>
          <w:sz w:val="16"/>
        </w:rPr>
        <w:t>Primarily consists of purchase commitments with suppliers entered into at December 31, 2020, for the purchase of materials, packaging and other components and services. These purchase commitment amounts represent only tho</w:t>
      </w:r>
      <w:r>
        <w:rPr>
          <w:sz w:val="16"/>
        </w:rPr>
        <w:t>se items which are based on agreements that are legally enforceable and that specify all significant terms including minimum quantity, price and term and do not represent total anticipated</w:t>
      </w:r>
      <w:r>
        <w:rPr>
          <w:spacing w:val="-3"/>
          <w:sz w:val="16"/>
        </w:rPr>
        <w:t xml:space="preserve"> </w:t>
      </w:r>
      <w:r>
        <w:rPr>
          <w:sz w:val="16"/>
        </w:rPr>
        <w:t>purchases.</w:t>
      </w:r>
    </w:p>
    <w:p w14:paraId="7326C07A" w14:textId="77777777" w:rsidR="00EF3DFB" w:rsidRDefault="00D27C17">
      <w:pPr>
        <w:pStyle w:val="ListParagraph"/>
        <w:numPr>
          <w:ilvl w:val="1"/>
          <w:numId w:val="27"/>
        </w:numPr>
        <w:tabs>
          <w:tab w:val="left" w:pos="910"/>
        </w:tabs>
        <w:spacing w:before="2" w:line="249" w:lineRule="auto"/>
        <w:ind w:right="164"/>
        <w:jc w:val="both"/>
        <w:rPr>
          <w:sz w:val="16"/>
        </w:rPr>
      </w:pPr>
      <w:r>
        <w:rPr>
          <w:sz w:val="16"/>
        </w:rPr>
        <w:t xml:space="preserve">Represents the future cash payments related to 2017 Tax </w:t>
      </w:r>
      <w:r>
        <w:rPr>
          <w:sz w:val="16"/>
        </w:rPr>
        <w:t>Reform, for the one-time provisional transition tax on the Company’s previously untaxed foreign earnings.</w:t>
      </w:r>
    </w:p>
    <w:p w14:paraId="7326C07B" w14:textId="77777777" w:rsidR="00EF3DFB" w:rsidRDefault="00D27C17">
      <w:pPr>
        <w:pStyle w:val="ListParagraph"/>
        <w:numPr>
          <w:ilvl w:val="1"/>
          <w:numId w:val="27"/>
        </w:numPr>
        <w:tabs>
          <w:tab w:val="left" w:pos="910"/>
        </w:tabs>
        <w:spacing w:before="2" w:line="249" w:lineRule="auto"/>
        <w:ind w:right="168"/>
        <w:jc w:val="both"/>
        <w:rPr>
          <w:sz w:val="16"/>
        </w:rPr>
      </w:pPr>
      <w:r>
        <w:rPr>
          <w:sz w:val="16"/>
        </w:rPr>
        <w:t>Total does not include contractual obligations reported on the December 31, 2020 balance sheet as current liabilities, except for current portion of long- term debt, short-term debt and accrued</w:t>
      </w:r>
      <w:r>
        <w:rPr>
          <w:spacing w:val="-1"/>
          <w:sz w:val="16"/>
        </w:rPr>
        <w:t xml:space="preserve"> </w:t>
      </w:r>
      <w:r>
        <w:rPr>
          <w:sz w:val="16"/>
        </w:rPr>
        <w:t>interest.</w:t>
      </w:r>
    </w:p>
    <w:p w14:paraId="7326C07C" w14:textId="77777777" w:rsidR="00EF3DFB" w:rsidRDefault="00EF3DFB">
      <w:pPr>
        <w:pStyle w:val="BodyText"/>
        <w:spacing w:before="1"/>
      </w:pPr>
    </w:p>
    <w:p w14:paraId="7326C07D" w14:textId="77777777" w:rsidR="00EF3DFB" w:rsidRDefault="00D27C17">
      <w:pPr>
        <w:pStyle w:val="BodyText"/>
        <w:spacing w:line="249" w:lineRule="auto"/>
        <w:ind w:left="190" w:right="168"/>
        <w:jc w:val="both"/>
      </w:pPr>
      <w:r>
        <w:t xml:space="preserve">The Company also has liabilities for uncertain tax </w:t>
      </w:r>
      <w:r>
        <w:t>positions and unrecognized tax benefits. The Company is under audit from time- to-time by the IRS and other taxing authorities, and it is possible that the amount of the liability for uncertain tax positions and unrecognized tax benefits could change in th</w:t>
      </w:r>
      <w:r>
        <w:t>e coming year. While it is possible that one or more of these examinations may be resolved in the next year, the Company is not able to reasonably estimate the timing or the amount by which the liability will be settled over time; therefore, the $452 milli</w:t>
      </w:r>
      <w:r>
        <w:t xml:space="preserve">on in unrecognized tax benefits at December 31, 2020, is excluded from the preceding table. See </w:t>
      </w:r>
      <w:r>
        <w:rPr>
          <w:i/>
        </w:rPr>
        <w:t xml:space="preserve">Footnote 12 of the Notes to Consolidated Financial Statements </w:t>
      </w:r>
      <w:r>
        <w:t>for additional information.</w:t>
      </w:r>
    </w:p>
    <w:p w14:paraId="7326C07E"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C07F" w14:textId="77777777" w:rsidR="00EF3DFB" w:rsidRDefault="00D27C17">
      <w:pPr>
        <w:pStyle w:val="BodyText"/>
        <w:spacing w:before="72" w:line="249" w:lineRule="auto"/>
        <w:ind w:left="190" w:right="169"/>
        <w:jc w:val="both"/>
      </w:pPr>
      <w:r>
        <w:lastRenderedPageBreak/>
        <w:t xml:space="preserve">Additionally, the Company has obligations with respect to </w:t>
      </w:r>
      <w:r>
        <w:t>its pension and postretirement benefit plans, which are excluded from the preceding table. The timing and amounts of the funding requirements are uncertain because they are dependent on interest rates and actual returns on plan assets, among other factors.</w:t>
      </w:r>
      <w:r>
        <w:t xml:space="preserve"> See </w:t>
      </w:r>
      <w:r>
        <w:rPr>
          <w:i/>
        </w:rPr>
        <w:t xml:space="preserve">Footnote 11 of the Notes to Consolidated Financial Statements </w:t>
      </w:r>
      <w:r>
        <w:t>for further information.</w:t>
      </w:r>
    </w:p>
    <w:p w14:paraId="7326C080" w14:textId="77777777" w:rsidR="00EF3DFB" w:rsidRDefault="00EF3DFB">
      <w:pPr>
        <w:pStyle w:val="BodyText"/>
        <w:spacing w:before="1"/>
        <w:rPr>
          <w:sz w:val="21"/>
        </w:rPr>
      </w:pPr>
    </w:p>
    <w:p w14:paraId="7326C081" w14:textId="77777777" w:rsidR="00EF3DFB" w:rsidRDefault="00D27C17">
      <w:pPr>
        <w:spacing w:line="249" w:lineRule="auto"/>
        <w:ind w:left="190" w:right="168"/>
        <w:jc w:val="both"/>
        <w:rPr>
          <w:sz w:val="20"/>
        </w:rPr>
      </w:pPr>
      <w:r>
        <w:rPr>
          <w:sz w:val="20"/>
        </w:rPr>
        <w:t xml:space="preserve">At December 31, 2020, the Company had approximately $51 million in standby letters of credit primarily related to the Company’s self-insurance programs, including </w:t>
      </w:r>
      <w:r>
        <w:rPr>
          <w:sz w:val="20"/>
        </w:rPr>
        <w:t xml:space="preserve">workers’ compensation, product liability and medical. See </w:t>
      </w:r>
      <w:r>
        <w:rPr>
          <w:i/>
          <w:sz w:val="20"/>
        </w:rPr>
        <w:t xml:space="preserve">Footnote 18 of the Notes to Consolidated Financial Statements </w:t>
      </w:r>
      <w:r>
        <w:rPr>
          <w:sz w:val="20"/>
        </w:rPr>
        <w:t>for further information.</w:t>
      </w:r>
    </w:p>
    <w:p w14:paraId="7326C082" w14:textId="77777777" w:rsidR="00EF3DFB" w:rsidRDefault="00EF3DFB">
      <w:pPr>
        <w:pStyle w:val="BodyText"/>
        <w:spacing w:before="1"/>
        <w:rPr>
          <w:sz w:val="21"/>
        </w:rPr>
      </w:pPr>
    </w:p>
    <w:p w14:paraId="7326C083" w14:textId="77777777" w:rsidR="00EF3DFB" w:rsidRDefault="00D27C17">
      <w:pPr>
        <w:pStyle w:val="BodyText"/>
        <w:spacing w:line="249" w:lineRule="auto"/>
        <w:ind w:left="190" w:right="169"/>
        <w:jc w:val="both"/>
      </w:pPr>
      <w:r>
        <w:t>At December 31, 2020, the Company did not have any significant off-balance sheet arrangements, as defined in I</w:t>
      </w:r>
      <w:r>
        <w:t>tem 303(a)(4) (ii) of Regulation</w:t>
      </w:r>
      <w:r>
        <w:rPr>
          <w:spacing w:val="-1"/>
        </w:rPr>
        <w:t xml:space="preserve"> </w:t>
      </w:r>
      <w:r>
        <w:t>S-K.</w:t>
      </w:r>
    </w:p>
    <w:p w14:paraId="7326C084" w14:textId="77777777" w:rsidR="00EF3DFB" w:rsidRDefault="00EF3DFB">
      <w:pPr>
        <w:pStyle w:val="BodyText"/>
        <w:spacing w:before="9"/>
      </w:pPr>
    </w:p>
    <w:p w14:paraId="7326C085" w14:textId="77777777" w:rsidR="00EF3DFB" w:rsidRDefault="00D27C17">
      <w:pPr>
        <w:pStyle w:val="Heading2"/>
      </w:pPr>
      <w:bookmarkStart w:id="34" w:name="Critical_Accounting_Estimates"/>
      <w:bookmarkEnd w:id="34"/>
      <w:r>
        <w:rPr>
          <w:u w:val="single"/>
        </w:rPr>
        <w:t>Critical Accounting Estimates</w:t>
      </w:r>
    </w:p>
    <w:p w14:paraId="7326C086" w14:textId="77777777" w:rsidR="00EF3DFB" w:rsidRDefault="00EF3DFB">
      <w:pPr>
        <w:pStyle w:val="BodyText"/>
        <w:rPr>
          <w:b/>
          <w:sz w:val="14"/>
        </w:rPr>
      </w:pPr>
    </w:p>
    <w:p w14:paraId="7326C087" w14:textId="77777777" w:rsidR="00EF3DFB" w:rsidRDefault="00D27C17">
      <w:pPr>
        <w:pStyle w:val="BodyText"/>
        <w:spacing w:before="92" w:line="249" w:lineRule="auto"/>
        <w:ind w:left="190" w:right="168"/>
        <w:jc w:val="both"/>
      </w:pPr>
      <w:r>
        <w:t xml:space="preserve">The Company’s significant accounting policies are more fully described in Footnote 1 of the Notes to Consolidated Financial Statements. As disclosed in that footnote, the preparation of </w:t>
      </w:r>
      <w:r>
        <w:t>financial statements in conformity with generally accepted accounting principles requires management to make estimates and assumptions about future events that affect the amounts reported in the financial statements and accompanying footnotes. Future event</w:t>
      </w:r>
      <w:r>
        <w:t>s and their effects cannot be determined with absolute certainty. Therefore, the determination of estimates requires the exercise of judgment. Actual results will differ from those estimates, and such differences may be material to the Consolidated Financi</w:t>
      </w:r>
      <w:r>
        <w:t>al Statements. The following sections describe the Company’s critical accounting policies.</w:t>
      </w:r>
    </w:p>
    <w:p w14:paraId="7326C088" w14:textId="77777777" w:rsidR="00EF3DFB" w:rsidRDefault="00EF3DFB">
      <w:pPr>
        <w:pStyle w:val="BodyText"/>
        <w:spacing w:before="4"/>
        <w:rPr>
          <w:sz w:val="21"/>
        </w:rPr>
      </w:pPr>
    </w:p>
    <w:p w14:paraId="7326C089" w14:textId="77777777" w:rsidR="00EF3DFB" w:rsidRDefault="00D27C17">
      <w:pPr>
        <w:spacing w:before="1"/>
        <w:ind w:left="190"/>
        <w:jc w:val="both"/>
        <w:rPr>
          <w:i/>
          <w:sz w:val="20"/>
        </w:rPr>
      </w:pPr>
      <w:r>
        <w:rPr>
          <w:i/>
          <w:sz w:val="20"/>
        </w:rPr>
        <w:t>Revenue Recognition</w:t>
      </w:r>
    </w:p>
    <w:p w14:paraId="7326C08A" w14:textId="77777777" w:rsidR="00EF3DFB" w:rsidRDefault="00EF3DFB">
      <w:pPr>
        <w:pStyle w:val="BodyText"/>
        <w:spacing w:before="8"/>
        <w:rPr>
          <w:i/>
          <w:sz w:val="21"/>
        </w:rPr>
      </w:pPr>
    </w:p>
    <w:p w14:paraId="7326C08B" w14:textId="77777777" w:rsidR="00EF3DFB" w:rsidRDefault="00D27C17">
      <w:pPr>
        <w:pStyle w:val="BodyText"/>
        <w:spacing w:line="249" w:lineRule="auto"/>
        <w:ind w:left="190" w:right="170"/>
        <w:jc w:val="both"/>
      </w:pPr>
      <w:r>
        <w:t>The Company recognizes revenue when performance obligations under the terms of a contract with the customer are satisfied and are recognized at a point in time, which generally occurs either on shipment or on delivery based on contractual terms, which is a</w:t>
      </w:r>
      <w:r>
        <w:t>lso when control is transferred. The Company’s primary performance obligation is the distribution and sales of its consumer and commercial products to its customers.</w:t>
      </w:r>
    </w:p>
    <w:p w14:paraId="7326C08C" w14:textId="77777777" w:rsidR="00EF3DFB" w:rsidRDefault="00EF3DFB">
      <w:pPr>
        <w:pStyle w:val="BodyText"/>
        <w:spacing w:before="1"/>
        <w:rPr>
          <w:sz w:val="21"/>
        </w:rPr>
      </w:pPr>
    </w:p>
    <w:p w14:paraId="7326C08D" w14:textId="77777777" w:rsidR="00EF3DFB" w:rsidRDefault="00D27C17">
      <w:pPr>
        <w:pStyle w:val="BodyText"/>
        <w:spacing w:before="1" w:line="249" w:lineRule="auto"/>
        <w:ind w:left="190" w:right="168"/>
        <w:jc w:val="both"/>
      </w:pPr>
      <w:r>
        <w:t>Revenue is measured as the amount of consideration for which it expects to be entitled in</w:t>
      </w:r>
      <w:r>
        <w:t xml:space="preserve"> exchange for transferring goods or providing services. Certain customers may receive cash and/or non-cash incentives such as cash discounts, returns, credits or reimbursements related to defective products, customer discounts (such as volume or trade disc</w:t>
      </w:r>
      <w:r>
        <w:t>ounts), cooperative advertising and other customer-related programs, which are accounted for as variable consideration. In some cases, the Company must apply judgment, including contractual rates and historical payment trends, when estimating variable cons</w:t>
      </w:r>
      <w:r>
        <w:t>ideration.</w:t>
      </w:r>
    </w:p>
    <w:p w14:paraId="7326C08E" w14:textId="77777777" w:rsidR="00EF3DFB" w:rsidRDefault="00EF3DFB">
      <w:pPr>
        <w:pStyle w:val="BodyText"/>
        <w:spacing w:before="2"/>
        <w:rPr>
          <w:sz w:val="21"/>
        </w:rPr>
      </w:pPr>
    </w:p>
    <w:p w14:paraId="7326C08F" w14:textId="77777777" w:rsidR="00EF3DFB" w:rsidRDefault="00D27C17">
      <w:pPr>
        <w:pStyle w:val="BodyText"/>
        <w:spacing w:line="249" w:lineRule="auto"/>
        <w:ind w:left="190" w:right="168"/>
        <w:jc w:val="both"/>
      </w:pPr>
      <w:r>
        <w:t>In addition, the Company participates in various programs and arrangements with customers designed to increase the sale of products by these customers. Among the programs negotiated are arrangements under which allowances are earned by customer</w:t>
      </w:r>
      <w:r>
        <w:t>s for attaining agreed-upon sales levels or for participating in specific marketing programs. Coupon programs are also developed on a customer- and territory-specific basis with the intent of increasing sales by all customers.</w:t>
      </w:r>
    </w:p>
    <w:p w14:paraId="7326C090" w14:textId="77777777" w:rsidR="00EF3DFB" w:rsidRDefault="00EF3DFB">
      <w:pPr>
        <w:pStyle w:val="BodyText"/>
        <w:spacing w:before="2"/>
        <w:rPr>
          <w:sz w:val="21"/>
        </w:rPr>
      </w:pPr>
    </w:p>
    <w:p w14:paraId="7326C091" w14:textId="77777777" w:rsidR="00EF3DFB" w:rsidRDefault="00D27C17">
      <w:pPr>
        <w:pStyle w:val="BodyText"/>
        <w:spacing w:line="249" w:lineRule="auto"/>
        <w:ind w:left="190" w:right="168"/>
        <w:jc w:val="both"/>
      </w:pPr>
      <w:r>
        <w:t xml:space="preserve">Under customer programs and </w:t>
      </w:r>
      <w:r>
        <w:t>arrangements that require sales incentives to be paid in advance, the Company amortizes the amount paid over the period of benefit or contractual sales volume. When incentives are paid in arrears, the Company accrues the estimated amount to be paid based o</w:t>
      </w:r>
      <w:r>
        <w:t>n the program’s contractual terms, expected customer performance and/or estimated sales volume. These estimates are determined using historical customer experience and other factors, which sometimes require significant judgment. Due to the length of time n</w:t>
      </w:r>
      <w:r>
        <w:t>ecessary to obtain relevant data from customers, among other factors, actual amounts paid can differ from these estimates.</w:t>
      </w:r>
    </w:p>
    <w:p w14:paraId="7326C092" w14:textId="77777777" w:rsidR="00EF3DFB" w:rsidRDefault="00EF3DFB">
      <w:pPr>
        <w:pStyle w:val="BodyText"/>
        <w:spacing w:before="3"/>
        <w:rPr>
          <w:sz w:val="21"/>
        </w:rPr>
      </w:pPr>
    </w:p>
    <w:p w14:paraId="7326C093" w14:textId="77777777" w:rsidR="00EF3DFB" w:rsidRDefault="00D27C17">
      <w:pPr>
        <w:pStyle w:val="BodyText"/>
        <w:spacing w:before="1" w:line="249" w:lineRule="auto"/>
        <w:ind w:left="190" w:right="169"/>
        <w:jc w:val="both"/>
      </w:pPr>
      <w:r>
        <w:t>Sales taxes and other similar taxes are excluded from revenue. The Company has elected to account for shipping and handling activiti</w:t>
      </w:r>
      <w:r>
        <w:t>es as a fulfillment cost. The Company also elected not to disclose the value of unsatisfied performance obligations for</w:t>
      </w:r>
    </w:p>
    <w:p w14:paraId="7326C094" w14:textId="77777777" w:rsidR="00EF3DFB" w:rsidRDefault="00D27C17">
      <w:pPr>
        <w:pStyle w:val="ListParagraph"/>
        <w:numPr>
          <w:ilvl w:val="0"/>
          <w:numId w:val="26"/>
        </w:numPr>
        <w:tabs>
          <w:tab w:val="left" w:pos="436"/>
        </w:tabs>
        <w:spacing w:before="1" w:line="249" w:lineRule="auto"/>
        <w:ind w:right="172" w:firstLine="0"/>
        <w:jc w:val="both"/>
        <w:rPr>
          <w:sz w:val="20"/>
        </w:rPr>
      </w:pPr>
      <w:r>
        <w:rPr>
          <w:sz w:val="20"/>
        </w:rPr>
        <w:t>contracts with an original expected length of one year or less and (ii) contracts for which revenue is recognized at the amount to which</w:t>
      </w:r>
      <w:r>
        <w:rPr>
          <w:sz w:val="20"/>
        </w:rPr>
        <w:t xml:space="preserve"> the Company has the right to invoice for services</w:t>
      </w:r>
      <w:r>
        <w:rPr>
          <w:spacing w:val="-8"/>
          <w:sz w:val="20"/>
        </w:rPr>
        <w:t xml:space="preserve"> </w:t>
      </w:r>
      <w:r>
        <w:rPr>
          <w:sz w:val="20"/>
        </w:rPr>
        <w:t>performed.</w:t>
      </w:r>
    </w:p>
    <w:p w14:paraId="7326C095" w14:textId="77777777" w:rsidR="00EF3DFB" w:rsidRDefault="00EF3DFB">
      <w:pPr>
        <w:pStyle w:val="BodyText"/>
        <w:rPr>
          <w:sz w:val="21"/>
        </w:rPr>
      </w:pPr>
    </w:p>
    <w:p w14:paraId="7326C096" w14:textId="77777777" w:rsidR="00EF3DFB" w:rsidRDefault="00D27C17">
      <w:pPr>
        <w:spacing w:before="1"/>
        <w:ind w:left="190"/>
        <w:jc w:val="both"/>
        <w:rPr>
          <w:i/>
          <w:sz w:val="20"/>
        </w:rPr>
      </w:pPr>
      <w:r>
        <w:rPr>
          <w:i/>
          <w:sz w:val="20"/>
        </w:rPr>
        <w:t>Goodwill and Indefinite-Lived Intangibles</w:t>
      </w:r>
    </w:p>
    <w:p w14:paraId="7326C097" w14:textId="77777777" w:rsidR="00EF3DFB" w:rsidRDefault="00EF3DFB">
      <w:pPr>
        <w:pStyle w:val="BodyText"/>
        <w:spacing w:before="8"/>
        <w:rPr>
          <w:i/>
          <w:sz w:val="21"/>
        </w:rPr>
      </w:pPr>
    </w:p>
    <w:p w14:paraId="7326C098" w14:textId="77777777" w:rsidR="00EF3DFB" w:rsidRDefault="00D27C17">
      <w:pPr>
        <w:pStyle w:val="BodyText"/>
        <w:spacing w:line="249" w:lineRule="auto"/>
        <w:ind w:left="190" w:right="169"/>
        <w:jc w:val="both"/>
      </w:pPr>
      <w:r>
        <w:t>Goodwill and indefinite-lived intangibles are tested and reviewed for impairment annually during the fourth quarter (on December 1), or more frequently if facts and circumstances warrant. On December 1, 2020, the carrying values for total goodwill and inde</w:t>
      </w:r>
      <w:r>
        <w:t>finite-lived intangible assets were $3.5 billion and $2.3 billion, respectively.</w:t>
      </w:r>
    </w:p>
    <w:p w14:paraId="7326C099" w14:textId="77777777" w:rsidR="00EF3DFB" w:rsidRDefault="00EF3DFB">
      <w:pPr>
        <w:spacing w:line="249" w:lineRule="auto"/>
        <w:jc w:val="both"/>
        <w:sectPr w:rsidR="00EF3DFB">
          <w:pgSz w:w="12240" w:h="15840"/>
          <w:pgMar w:top="840" w:right="640" w:bottom="480" w:left="620" w:header="0" w:footer="291" w:gutter="0"/>
          <w:cols w:space="720"/>
        </w:sectPr>
      </w:pPr>
    </w:p>
    <w:p w14:paraId="7326C09A" w14:textId="77777777" w:rsidR="00EF3DFB" w:rsidRDefault="00D27C17">
      <w:pPr>
        <w:spacing w:before="72"/>
        <w:ind w:left="190"/>
        <w:rPr>
          <w:i/>
          <w:sz w:val="20"/>
        </w:rPr>
      </w:pPr>
      <w:r>
        <w:rPr>
          <w:i/>
          <w:sz w:val="20"/>
          <w:u w:val="single"/>
        </w:rPr>
        <w:lastRenderedPageBreak/>
        <w:t>Goodwill</w:t>
      </w:r>
    </w:p>
    <w:p w14:paraId="7326C09B" w14:textId="77777777" w:rsidR="00EF3DFB" w:rsidRDefault="00EF3DFB">
      <w:pPr>
        <w:pStyle w:val="BodyText"/>
        <w:spacing w:before="8"/>
        <w:rPr>
          <w:i/>
          <w:sz w:val="13"/>
        </w:rPr>
      </w:pPr>
    </w:p>
    <w:p w14:paraId="7326C09C" w14:textId="77777777" w:rsidR="00EF3DFB" w:rsidRDefault="00D27C17">
      <w:pPr>
        <w:pStyle w:val="BodyText"/>
        <w:spacing w:before="92" w:line="249" w:lineRule="auto"/>
        <w:ind w:left="190" w:right="169"/>
        <w:jc w:val="both"/>
      </w:pPr>
      <w:r>
        <w:t xml:space="preserve">Goodwill is tested for impairment at a reporting unit level, and all of the Company’s goodwill is assigned to its reporting units. Reporting units are </w:t>
      </w:r>
      <w:r>
        <w:t>determined based upon the Company’s organizational structure in place at the date of the goodwill impairment testing and generally one level below the operating segment level. The Company’s operations are comprised of eight reporting units, within its five</w:t>
      </w:r>
      <w:r>
        <w:t xml:space="preserve"> primary operating segments.</w:t>
      </w:r>
    </w:p>
    <w:p w14:paraId="7326C09D" w14:textId="77777777" w:rsidR="00EF3DFB" w:rsidRDefault="00EF3DFB">
      <w:pPr>
        <w:pStyle w:val="BodyText"/>
        <w:spacing w:before="2"/>
        <w:rPr>
          <w:sz w:val="21"/>
        </w:rPr>
      </w:pPr>
    </w:p>
    <w:p w14:paraId="7326C09E" w14:textId="77777777" w:rsidR="00EF3DFB" w:rsidRDefault="00D27C17">
      <w:pPr>
        <w:pStyle w:val="BodyText"/>
        <w:spacing w:line="249" w:lineRule="auto"/>
        <w:ind w:left="190" w:right="169"/>
        <w:jc w:val="both"/>
      </w:pPr>
      <w:r>
        <w:t xml:space="preserve">During the first quarter of 2020, the Company concluded that an impairment triggering event had occurred for all of its reporting units as the Company has experienced significant COVID-19 related disruption to its business in </w:t>
      </w:r>
      <w:r>
        <w:t>three primary areas: supply chain, as certain manufacturing and distribution facilities were temporarily closed in line with government guidelines; the temporary closure of secondary customer retail stores as well as the Company's Yankee Candle retail stor</w:t>
      </w:r>
      <w:r>
        <w:t xml:space="preserve">es in North America; and changes in consumer demand patterns to certain focused categories. The Company used a quantitative approach, which involves comparing the fair value of each of the reporting units to the carrying value of those reporting units. If </w:t>
      </w:r>
      <w:r>
        <w:t>the carrying value of a reporting unit exceeds its fair value, an impairment loss would be calculated as the differences between these amounts, limited to the amount of reporting unit goodwill allocated to the reporting</w:t>
      </w:r>
      <w:r>
        <w:rPr>
          <w:spacing w:val="-5"/>
        </w:rPr>
        <w:t xml:space="preserve"> </w:t>
      </w:r>
      <w:r>
        <w:t>unit.</w:t>
      </w:r>
    </w:p>
    <w:p w14:paraId="7326C09F" w14:textId="77777777" w:rsidR="00EF3DFB" w:rsidRDefault="00EF3DFB">
      <w:pPr>
        <w:pStyle w:val="BodyText"/>
        <w:spacing w:before="5"/>
        <w:rPr>
          <w:sz w:val="21"/>
        </w:rPr>
      </w:pPr>
    </w:p>
    <w:p w14:paraId="7326C0A0" w14:textId="77777777" w:rsidR="00EF3DFB" w:rsidRDefault="00D27C17">
      <w:pPr>
        <w:pStyle w:val="BodyText"/>
        <w:spacing w:line="249" w:lineRule="auto"/>
        <w:ind w:left="190" w:right="167"/>
        <w:jc w:val="both"/>
      </w:pPr>
      <w:r>
        <w:t>The quantitative goodwill imp</w:t>
      </w:r>
      <w:r>
        <w:t>airment testing requires significant use of judgment and assumptions, such as the identification of reporting units; the assignment of assets and liabilities to reporting units; and the estimation of future cash flows, business growth rates, terminal value</w:t>
      </w:r>
      <w:r>
        <w:t>s, discount rates and total enterprise value. The income approach used is the discounted cash flow methodology and is based on five-year cash flow projections. The cash flows projected are analyzed on a “debt-free” basis (before cash payments to equity and</w:t>
      </w:r>
      <w:r>
        <w:t xml:space="preserve"> interest-bearing debt investors) in order to develop an enterprise value from operations for the reporting unit. A provision is made, based on these projections, for the value of the reporting unit at the end of the forecast period, or terminal value. The</w:t>
      </w:r>
      <w:r>
        <w:t xml:space="preserve"> present value of the finite-period cash flows and the terminal value are determined using a selected discount rate. The Company estimated the fair values of its reporting units based on discounted cash flow methodology reflecting its latest projections wh</w:t>
      </w:r>
      <w:r>
        <w:t>ich included, among other things, the impact of tariffs on Chinese imports, the current expectations as to the impact of COVID-19 on its operations, as well as other inflation at the time the Company performed its impairment testing.</w:t>
      </w:r>
    </w:p>
    <w:p w14:paraId="7326C0A1" w14:textId="77777777" w:rsidR="00EF3DFB" w:rsidRDefault="00EF3DFB">
      <w:pPr>
        <w:pStyle w:val="BodyText"/>
        <w:spacing w:before="7"/>
        <w:rPr>
          <w:sz w:val="21"/>
        </w:rPr>
      </w:pPr>
    </w:p>
    <w:p w14:paraId="7326C0A2" w14:textId="77777777" w:rsidR="00EF3DFB" w:rsidRDefault="00D27C17">
      <w:pPr>
        <w:pStyle w:val="BodyText"/>
        <w:ind w:left="190" w:right="168"/>
        <w:jc w:val="both"/>
      </w:pPr>
      <w:r>
        <w:t>As a result of the im</w:t>
      </w:r>
      <w:r>
        <w:t>pairment testing performed in connection with the COVID-19 global pandemic triggering event, the Company determined that its goodwill associated with its Appliances and Cookware segment was impaired. During first quarter of 2020, the Company recorded a non</w:t>
      </w:r>
      <w:r>
        <w:t>-cash charge of $212 million to reflect the impairment of its goodwill as its carrying value exceeded its fair value. There was no goodwill impairment recorded in conjunction with the Company’s annual impairment testing in the fourth quarter, and, as of De</w:t>
      </w:r>
      <w:r>
        <w:t>cember 31, 2020, there were no reporting units with fair values within 10% of the associated carrying values. Additionally, a hypothetical 10% reduction in forecasted earnings before interest, taxes and amortization used in the discounted cash flows to est</w:t>
      </w:r>
      <w:r>
        <w:t>imate the fair value of each reporting unit would not have resulted in a goodwill impairment charge.</w:t>
      </w:r>
    </w:p>
    <w:p w14:paraId="7326C0A3" w14:textId="77777777" w:rsidR="00EF3DFB" w:rsidRDefault="00EF3DFB">
      <w:pPr>
        <w:pStyle w:val="BodyText"/>
        <w:spacing w:before="10"/>
      </w:pPr>
    </w:p>
    <w:p w14:paraId="7326C0A4" w14:textId="77777777" w:rsidR="00EF3DFB" w:rsidRDefault="00D27C17">
      <w:pPr>
        <w:ind w:left="190"/>
        <w:jc w:val="both"/>
        <w:rPr>
          <w:sz w:val="20"/>
        </w:rPr>
      </w:pPr>
      <w:r>
        <w:rPr>
          <w:sz w:val="20"/>
        </w:rPr>
        <w:t xml:space="preserve">See </w:t>
      </w:r>
      <w:r>
        <w:rPr>
          <w:i/>
          <w:sz w:val="20"/>
        </w:rPr>
        <w:t xml:space="preserve">Footnotes 1 and 7 of the Notes to Consolidated Financial Statements </w:t>
      </w:r>
      <w:r>
        <w:rPr>
          <w:sz w:val="20"/>
        </w:rPr>
        <w:t>for further information.</w:t>
      </w:r>
    </w:p>
    <w:p w14:paraId="7326C0A5" w14:textId="77777777" w:rsidR="00EF3DFB" w:rsidRDefault="00EF3DFB">
      <w:pPr>
        <w:pStyle w:val="BodyText"/>
        <w:spacing w:before="8"/>
        <w:rPr>
          <w:sz w:val="21"/>
        </w:rPr>
      </w:pPr>
    </w:p>
    <w:p w14:paraId="7326C0A6" w14:textId="77777777" w:rsidR="00EF3DFB" w:rsidRDefault="00D27C17">
      <w:pPr>
        <w:spacing w:before="1"/>
        <w:ind w:left="190"/>
        <w:jc w:val="both"/>
        <w:rPr>
          <w:i/>
          <w:sz w:val="20"/>
        </w:rPr>
      </w:pPr>
      <w:r>
        <w:rPr>
          <w:i/>
          <w:sz w:val="20"/>
          <w:u w:val="single"/>
        </w:rPr>
        <w:t>Indefinite-lived intangibles</w:t>
      </w:r>
    </w:p>
    <w:p w14:paraId="7326C0A7" w14:textId="77777777" w:rsidR="00EF3DFB" w:rsidRDefault="00EF3DFB">
      <w:pPr>
        <w:pStyle w:val="BodyText"/>
        <w:spacing w:before="8"/>
        <w:rPr>
          <w:i/>
          <w:sz w:val="13"/>
        </w:rPr>
      </w:pPr>
    </w:p>
    <w:p w14:paraId="7326C0A8" w14:textId="77777777" w:rsidR="00EF3DFB" w:rsidRDefault="00D27C17">
      <w:pPr>
        <w:pStyle w:val="BodyText"/>
        <w:spacing w:before="92" w:line="249" w:lineRule="auto"/>
        <w:ind w:left="190" w:right="168"/>
        <w:jc w:val="both"/>
      </w:pPr>
      <w:r>
        <w:t>The testing of indefinite-lived intangibles (primarily trademarks and tradenames) under established guidelines for impairment also requires significant use of judgment and assumptions (such as cash flow projections, royalty rates, terminal values and disco</w:t>
      </w:r>
      <w:r>
        <w:t>unt rates). An indefinite-lived intangible asset is impaired by the amount its carrying value exceeds its estimated fair value. For impairment testing purposes, the fair value of indefinite-lived intangibles is determined using either the relief from royal</w:t>
      </w:r>
      <w:r>
        <w:t>ty method or the excess earnings method. The relief from royalty method estimates the value of a tradename by discounting the hypothetical avoided royalty payments to their present value over the economic life of the asset. The excess earnings method estim</w:t>
      </w:r>
      <w:r>
        <w:t>ates the value of the intangible asset by quantifying the residual (or excess) cash flows generated by the asset and discounts those cash flows to the present. The excess earnings methodology requires the application of contributory asset charges. Contribu</w:t>
      </w:r>
      <w:r>
        <w:t>tory asset charges typically include assumed payments for the use of working capital, tangible assets and other intangible assets. Changes in forecasted operations and other assumptions could materially affect the estimated fair values. Changes in business</w:t>
      </w:r>
      <w:r>
        <w:t xml:space="preserve"> conditions could potentially require adjustments to these asset</w:t>
      </w:r>
      <w:r>
        <w:rPr>
          <w:spacing w:val="-5"/>
        </w:rPr>
        <w:t xml:space="preserve"> </w:t>
      </w:r>
      <w:r>
        <w:t>valuations.</w:t>
      </w:r>
    </w:p>
    <w:p w14:paraId="7326C0A9" w14:textId="77777777" w:rsidR="00EF3DFB" w:rsidRDefault="00EF3DFB">
      <w:pPr>
        <w:pStyle w:val="BodyText"/>
        <w:spacing w:before="7"/>
        <w:rPr>
          <w:sz w:val="21"/>
        </w:rPr>
      </w:pPr>
    </w:p>
    <w:p w14:paraId="7326C0AA" w14:textId="77777777" w:rsidR="00EF3DFB" w:rsidRDefault="00D27C17">
      <w:pPr>
        <w:pStyle w:val="BodyText"/>
        <w:spacing w:line="249" w:lineRule="auto"/>
        <w:ind w:left="190" w:right="168"/>
        <w:jc w:val="both"/>
      </w:pPr>
      <w:r>
        <w:t>As a result of the impairment testing performed in connection with the COVID-19 pandemic triggering event during the first quarter of 2020, the Company determined that certain of</w:t>
      </w:r>
      <w:r>
        <w:t xml:space="preserve"> its indefinite-lived intangible assets in the Appliances and Cookware, Commercial Solutions, Home Solutions, Learning and Development and Outdoor and Recreation segments were impaired. During the first quarter of 2020, the Company recorded impairment char</w:t>
      </w:r>
      <w:r>
        <w:t>ges of $1.3 billion to reflect impairment of these indefinite-lived tradenames because their carrying values exceeded their fair</w:t>
      </w:r>
      <w:r>
        <w:rPr>
          <w:spacing w:val="-6"/>
        </w:rPr>
        <w:t xml:space="preserve"> </w:t>
      </w:r>
      <w:r>
        <w:t>values.</w:t>
      </w:r>
    </w:p>
    <w:p w14:paraId="7326C0AB" w14:textId="77777777" w:rsidR="00EF3DFB" w:rsidRDefault="00EF3DFB">
      <w:pPr>
        <w:pStyle w:val="BodyText"/>
        <w:spacing w:before="3"/>
        <w:rPr>
          <w:sz w:val="21"/>
        </w:rPr>
      </w:pPr>
    </w:p>
    <w:p w14:paraId="7326C0AC" w14:textId="77777777" w:rsidR="00EF3DFB" w:rsidRDefault="00D27C17">
      <w:pPr>
        <w:pStyle w:val="BodyText"/>
        <w:spacing w:line="249" w:lineRule="auto"/>
        <w:ind w:left="190" w:right="167"/>
        <w:jc w:val="both"/>
      </w:pPr>
      <w:r>
        <w:t>During the third quarter of 2020, the Company concluded that a triggering event had occurred for an indefinite-lived i</w:t>
      </w:r>
      <w:r>
        <w:t xml:space="preserve">ntangible asset in the Learning and Development segment as a result of a product line divestiture. Pursuant to the authoritative literature, the Company performed an impairment test and determined that the indefinite-lived intangible asset was impaired as </w:t>
      </w:r>
      <w:r>
        <w:t>its carrying value</w:t>
      </w:r>
    </w:p>
    <w:p w14:paraId="7326C0AD" w14:textId="77777777" w:rsidR="00EF3DFB" w:rsidRDefault="00EF3DFB">
      <w:pPr>
        <w:spacing w:line="249" w:lineRule="auto"/>
        <w:jc w:val="both"/>
        <w:sectPr w:rsidR="00EF3DFB">
          <w:pgSz w:w="12240" w:h="15840"/>
          <w:pgMar w:top="600" w:right="640" w:bottom="480" w:left="620" w:header="0" w:footer="291" w:gutter="0"/>
          <w:cols w:space="720"/>
        </w:sectPr>
      </w:pPr>
    </w:p>
    <w:p w14:paraId="7326C0AE" w14:textId="77777777" w:rsidR="00EF3DFB" w:rsidRDefault="00D27C17">
      <w:pPr>
        <w:spacing w:before="72" w:line="249" w:lineRule="auto"/>
        <w:ind w:left="190" w:right="168"/>
        <w:jc w:val="both"/>
        <w:rPr>
          <w:sz w:val="20"/>
        </w:rPr>
      </w:pPr>
      <w:r>
        <w:rPr>
          <w:sz w:val="20"/>
        </w:rPr>
        <w:lastRenderedPageBreak/>
        <w:t xml:space="preserve">exceeded its fair value. During the third quarter of 2020, the Company recorded a non-cash charge of $2 million to reflect the impairment of this indefinite-lived intangible asset. See </w:t>
      </w:r>
      <w:r>
        <w:rPr>
          <w:i/>
          <w:sz w:val="20"/>
        </w:rPr>
        <w:t>Footnotes 1 and 7 of the Notes to Cons</w:t>
      </w:r>
      <w:r>
        <w:rPr>
          <w:i/>
          <w:sz w:val="20"/>
        </w:rPr>
        <w:t xml:space="preserve">olidated Financial Statements </w:t>
      </w:r>
      <w:r>
        <w:rPr>
          <w:sz w:val="20"/>
        </w:rPr>
        <w:t>for further information.</w:t>
      </w:r>
    </w:p>
    <w:p w14:paraId="7326C0AF" w14:textId="77777777" w:rsidR="00EF3DFB" w:rsidRDefault="00EF3DFB">
      <w:pPr>
        <w:pStyle w:val="BodyText"/>
        <w:rPr>
          <w:sz w:val="21"/>
        </w:rPr>
      </w:pPr>
    </w:p>
    <w:p w14:paraId="7326C0B0" w14:textId="77777777" w:rsidR="00EF3DFB" w:rsidRDefault="00D27C17">
      <w:pPr>
        <w:pStyle w:val="BodyText"/>
        <w:spacing w:before="1" w:line="249" w:lineRule="auto"/>
        <w:ind w:left="190" w:right="169"/>
        <w:jc w:val="both"/>
      </w:pPr>
      <w:r>
        <w:t>During the fourth quarter of 2020, in conjunction with its annual impairment testing, the Company recorded a non-cash impairment charge of $20 million associated with a tradename in the Learning and D</w:t>
      </w:r>
      <w:r>
        <w:t>evelopment segment, as its carrying value exceeded its fair value. The impairment reflected a downward revision of forecasted results due to the impact of the delayed and limited re-opening of schools and offices as a result of the COVID-19 global pandemic</w:t>
      </w:r>
      <w:r>
        <w:t>, as well as the continued deterioration in sales for slime-related adhesive products. An increase of 100 basis points in the discount rate used in the discounted cash flows to estimate fair values of this tradename would have resulted in an increase to th</w:t>
      </w:r>
      <w:r>
        <w:t>e impairment charge of approximately $14 million. The remaining carrying value of this tradename is approximately $135</w:t>
      </w:r>
      <w:r>
        <w:rPr>
          <w:spacing w:val="-6"/>
        </w:rPr>
        <w:t xml:space="preserve"> </w:t>
      </w:r>
      <w:r>
        <w:t>million.</w:t>
      </w:r>
    </w:p>
    <w:p w14:paraId="7326C0B1" w14:textId="77777777" w:rsidR="00EF3DFB" w:rsidRDefault="00EF3DFB">
      <w:pPr>
        <w:pStyle w:val="BodyText"/>
        <w:spacing w:before="4"/>
        <w:rPr>
          <w:sz w:val="21"/>
        </w:rPr>
      </w:pPr>
    </w:p>
    <w:p w14:paraId="7326C0B2" w14:textId="77777777" w:rsidR="00EF3DFB" w:rsidRDefault="00D27C17">
      <w:pPr>
        <w:pStyle w:val="BodyText"/>
        <w:spacing w:line="249" w:lineRule="auto"/>
        <w:ind w:left="190" w:right="169"/>
        <w:jc w:val="both"/>
      </w:pPr>
      <w:r>
        <w:t xml:space="preserve">The remaining tradenames within the Company's Learning and Development segment with no impairment during the fourth quarter of </w:t>
      </w:r>
      <w:r>
        <w:t>2020 impairment test had carrying values of $387 million, with $310 million of those with fair values in excess of 10% of carrying values, respectively. An increase of 100 basis points in the discount rate used in the discounted cash flows to estimate fair</w:t>
      </w:r>
      <w:r>
        <w:t xml:space="preserve"> values of the remaining Learning and Development tradenames would have resulted in an impairment charge of approximately $5 million.</w:t>
      </w:r>
    </w:p>
    <w:p w14:paraId="7326C0B3" w14:textId="77777777" w:rsidR="00EF3DFB" w:rsidRDefault="00EF3DFB">
      <w:pPr>
        <w:pStyle w:val="BodyText"/>
        <w:spacing w:before="2"/>
        <w:rPr>
          <w:sz w:val="21"/>
        </w:rPr>
      </w:pPr>
    </w:p>
    <w:p w14:paraId="7326C0B4" w14:textId="77777777" w:rsidR="00EF3DFB" w:rsidRDefault="00D27C17">
      <w:pPr>
        <w:pStyle w:val="BodyText"/>
        <w:spacing w:line="249" w:lineRule="auto"/>
        <w:ind w:left="190" w:right="169"/>
        <w:jc w:val="both"/>
      </w:pPr>
      <w:r>
        <w:t>There were no impairments of the Company’s tradenames within the Appliances and Cookware and Outdoor and Recreation segments during the fourth quarter of 2020 impairment test. The remaining carrying value of tradenames within these segments were approximat</w:t>
      </w:r>
      <w:r>
        <w:t>ely $58 million and $119 million, respectively, with $54 million and $113 million of those tradenames with fair values in excess of 10% of the carrying values, respectively. An increase of 100 basis points in the discount rate used in the discounted cash f</w:t>
      </w:r>
      <w:r>
        <w:t>lows to estimate fair values of the Appliances and Cookware tradenames would not have resulted in an impairment charge. An increase of 100 basis points in the discount rate used in the discounted cash flows to estimate fair values of the Outdoor and Recrea</w:t>
      </w:r>
      <w:r>
        <w:t>tion tradenames would have resulted in an impairment charge of approximately $1</w:t>
      </w:r>
      <w:r>
        <w:rPr>
          <w:spacing w:val="-14"/>
        </w:rPr>
        <w:t xml:space="preserve"> </w:t>
      </w:r>
      <w:r>
        <w:t>million.</w:t>
      </w:r>
    </w:p>
    <w:p w14:paraId="7326C0B5" w14:textId="77777777" w:rsidR="00EF3DFB" w:rsidRDefault="00EF3DFB">
      <w:pPr>
        <w:pStyle w:val="BodyText"/>
        <w:spacing w:before="5"/>
        <w:rPr>
          <w:sz w:val="21"/>
        </w:rPr>
      </w:pPr>
    </w:p>
    <w:p w14:paraId="7326C0B6" w14:textId="77777777" w:rsidR="00EF3DFB" w:rsidRDefault="00D27C17">
      <w:pPr>
        <w:pStyle w:val="BodyText"/>
        <w:spacing w:line="249" w:lineRule="auto"/>
        <w:ind w:left="190" w:right="168"/>
        <w:jc w:val="both"/>
      </w:pPr>
      <w:r>
        <w:t>There were no impairments of the Company’s tradenames within the Commercial Solutions and Home Solutions segments during the</w:t>
      </w:r>
      <w:r>
        <w:rPr>
          <w:spacing w:val="-3"/>
        </w:rPr>
        <w:t xml:space="preserve"> </w:t>
      </w:r>
      <w:r>
        <w:t>fourth</w:t>
      </w:r>
      <w:r>
        <w:rPr>
          <w:spacing w:val="-3"/>
        </w:rPr>
        <w:t xml:space="preserve"> </w:t>
      </w:r>
      <w:r>
        <w:t>quarter</w:t>
      </w:r>
      <w:r>
        <w:rPr>
          <w:spacing w:val="-3"/>
        </w:rPr>
        <w:t xml:space="preserve"> </w:t>
      </w:r>
      <w:r>
        <w:t>of</w:t>
      </w:r>
      <w:r>
        <w:rPr>
          <w:spacing w:val="-3"/>
        </w:rPr>
        <w:t xml:space="preserve"> </w:t>
      </w:r>
      <w:r>
        <w:t>2020</w:t>
      </w:r>
      <w:r>
        <w:rPr>
          <w:spacing w:val="-3"/>
        </w:rPr>
        <w:t xml:space="preserve"> </w:t>
      </w:r>
      <w:r>
        <w:t>impairment</w:t>
      </w:r>
      <w:r>
        <w:rPr>
          <w:spacing w:val="-3"/>
        </w:rPr>
        <w:t xml:space="preserve"> </w:t>
      </w:r>
      <w:r>
        <w:t>test.</w:t>
      </w:r>
      <w:r>
        <w:rPr>
          <w:spacing w:val="-3"/>
        </w:rPr>
        <w:t xml:space="preserve"> </w:t>
      </w:r>
      <w:r>
        <w:t>The</w:t>
      </w:r>
      <w:r>
        <w:rPr>
          <w:spacing w:val="-3"/>
        </w:rPr>
        <w:t xml:space="preserve"> </w:t>
      </w:r>
      <w:r>
        <w:t>remaining</w:t>
      </w:r>
      <w:r>
        <w:rPr>
          <w:spacing w:val="-3"/>
        </w:rPr>
        <w:t xml:space="preserve"> </w:t>
      </w:r>
      <w:r>
        <w:t>carrying</w:t>
      </w:r>
      <w:r>
        <w:rPr>
          <w:spacing w:val="-3"/>
        </w:rPr>
        <w:t xml:space="preserve"> </w:t>
      </w:r>
      <w:r>
        <w:t>value</w:t>
      </w:r>
      <w:r>
        <w:rPr>
          <w:spacing w:val="-3"/>
        </w:rPr>
        <w:t xml:space="preserve"> </w:t>
      </w:r>
      <w:r>
        <w:t>of</w:t>
      </w:r>
      <w:r>
        <w:rPr>
          <w:spacing w:val="-3"/>
        </w:rPr>
        <w:t xml:space="preserve"> </w:t>
      </w:r>
      <w:r>
        <w:t>tradenames</w:t>
      </w:r>
      <w:r>
        <w:rPr>
          <w:spacing w:val="-3"/>
        </w:rPr>
        <w:t xml:space="preserve"> </w:t>
      </w:r>
      <w:r>
        <w:t>within</w:t>
      </w:r>
      <w:r>
        <w:rPr>
          <w:spacing w:val="-3"/>
        </w:rPr>
        <w:t xml:space="preserve"> </w:t>
      </w:r>
      <w:r>
        <w:t>these</w:t>
      </w:r>
      <w:r>
        <w:rPr>
          <w:spacing w:val="-3"/>
        </w:rPr>
        <w:t xml:space="preserve"> </w:t>
      </w:r>
      <w:r>
        <w:t>segments</w:t>
      </w:r>
      <w:r>
        <w:rPr>
          <w:spacing w:val="-3"/>
        </w:rPr>
        <w:t xml:space="preserve"> </w:t>
      </w:r>
      <w:r>
        <w:t>were</w:t>
      </w:r>
      <w:r>
        <w:rPr>
          <w:spacing w:val="-3"/>
        </w:rPr>
        <w:t xml:space="preserve"> </w:t>
      </w:r>
      <w:r>
        <w:t>approximately</w:t>
      </w:r>
      <w:r>
        <w:rPr>
          <w:spacing w:val="-3"/>
        </w:rPr>
        <w:t xml:space="preserve"> </w:t>
      </w:r>
      <w:r>
        <w:t>$</w:t>
      </w:r>
    </w:p>
    <w:p w14:paraId="7326C0B7" w14:textId="77777777" w:rsidR="00EF3DFB" w:rsidRDefault="00D27C17">
      <w:pPr>
        <w:pStyle w:val="BodyText"/>
        <w:spacing w:before="1" w:line="249" w:lineRule="auto"/>
        <w:ind w:left="190" w:right="168"/>
        <w:jc w:val="both"/>
      </w:pPr>
      <w:r>
        <w:t xml:space="preserve">$576 </w:t>
      </w:r>
      <w:r>
        <w:t xml:space="preserve">million and $1.0 billion, respectively, and all tradenames have fair values in excess of 10% of the carrying values. An increase of 100 basis points in the discount rate used in the discounted cash flows to estimate fair values of the Commercial Solutions </w:t>
      </w:r>
      <w:r>
        <w:t>tradenames would have resulted in an impairment charge of approximately $6 million. An increase of 100 basis points in the discount rate used in the discounted cash flows to estimate fair values of the Home Solutions tradenames would not have resulted in a</w:t>
      </w:r>
      <w:r>
        <w:t>n impairment charge.</w:t>
      </w:r>
    </w:p>
    <w:p w14:paraId="7326C0B8" w14:textId="77777777" w:rsidR="00EF3DFB" w:rsidRDefault="00EF3DFB">
      <w:pPr>
        <w:pStyle w:val="BodyText"/>
        <w:spacing w:before="4"/>
      </w:pPr>
    </w:p>
    <w:p w14:paraId="7326C0B9" w14:textId="77777777" w:rsidR="00EF3DFB" w:rsidRDefault="00D27C17">
      <w:pPr>
        <w:pStyle w:val="BodyText"/>
        <w:spacing w:line="249" w:lineRule="auto"/>
        <w:ind w:left="190" w:right="168"/>
        <w:jc w:val="both"/>
      </w:pPr>
      <w:r>
        <w:t>The Company believes the circumstances and global disruption caused by COVID-19 may continue to affect its businesses, future operating results, cash flows and financial condition and that the scope and duration of the pandemic is hig</w:t>
      </w:r>
      <w:r>
        <w:t>hly uncertain. In addition, some of the other inherent estimates and assumptions used in determining fair value of the reporting units are outside the control of management, including interest rates, cost of capital, tax rates, industry growth, credit rati</w:t>
      </w:r>
      <w:r>
        <w:t>ngs, foreign exchange rates, labor inflation and tariffs. Given the uncertainty of these factors, as well as the inherent difficulty in predicting the severity and duration of the COVID-19 global pandemic and associated recovery and the uncertainties regar</w:t>
      </w:r>
      <w:r>
        <w:t>ding the potential financial impact on the Company's business and the overall economy, there can be no assurance that the Company's estimates and assumptions made for purposes of the goodwill and indefinite-lived intangible asset impairment testing perform</w:t>
      </w:r>
      <w:r>
        <w:t>ed during the fourth quarter of 2020 will prove to be accurate predictions of the</w:t>
      </w:r>
      <w:r>
        <w:rPr>
          <w:spacing w:val="-6"/>
        </w:rPr>
        <w:t xml:space="preserve"> </w:t>
      </w:r>
      <w:r>
        <w:t>future.</w:t>
      </w:r>
    </w:p>
    <w:p w14:paraId="7326C0BA" w14:textId="77777777" w:rsidR="00EF3DFB" w:rsidRDefault="00EF3DFB">
      <w:pPr>
        <w:pStyle w:val="BodyText"/>
        <w:spacing w:before="6"/>
        <w:rPr>
          <w:sz w:val="21"/>
        </w:rPr>
      </w:pPr>
    </w:p>
    <w:p w14:paraId="7326C0BB" w14:textId="77777777" w:rsidR="00EF3DFB" w:rsidRDefault="00D27C17">
      <w:pPr>
        <w:pStyle w:val="BodyText"/>
        <w:spacing w:line="249" w:lineRule="auto"/>
        <w:ind w:left="190" w:right="168"/>
        <w:jc w:val="both"/>
      </w:pPr>
      <w:r>
        <w:t>The Company believes it has made reasonable estimates and assumptions to calculate the fair values of the reporting units and other indefinite-lived intangible asset</w:t>
      </w:r>
      <w:r>
        <w:t>s which were based on facts and circumstances known at this time. It is, however, possible that new events may occur or actual events may result in forecasted cash flows, revenue and earnings that differ from those that formed the basis of the Company’s es</w:t>
      </w:r>
      <w:r>
        <w:t xml:space="preserve">timates and assumptions. Actual results could be materially different from the Company’s estimates and assumptions used to calculate fair value for each of the Company’s reporting units if the global pandemic caused by COVID-19 continues to persist for an </w:t>
      </w:r>
      <w:r>
        <w:t>extended period of time. If such a scenario were to occur, the Company may be required to recognize material impairments to goodwill and/or indefinite-lived intangible assets. The Company will continue to monitor its reporting units for any triggering even</w:t>
      </w:r>
      <w:r>
        <w:t xml:space="preserve">ts or other signs of impairment. The Company may be required to perform additional impairment testing based on further deterioration of the global economic environment, continued disruptions to the Company’s business, further declines in operating results </w:t>
      </w:r>
      <w:r>
        <w:t>of the Company’s reporting units and/or tradenames, further sustained deterioration of the Company’s market capitalization, and other factors, which could result in impairment charges in the future. Although management cannot predict when improvements in m</w:t>
      </w:r>
      <w:r>
        <w:t>acroeconomic conditions will occur, if consumer confidence and consumer spending decline significantly in the future or if commercial and industrial economic activity experiences a sustained deterioration from current levels, it is reasonably likely the Co</w:t>
      </w:r>
      <w:r>
        <w:t>mpany will be required to record impairment charges in the</w:t>
      </w:r>
      <w:r>
        <w:rPr>
          <w:spacing w:val="-19"/>
        </w:rPr>
        <w:t xml:space="preserve"> </w:t>
      </w:r>
      <w:r>
        <w:t>future.</w:t>
      </w:r>
    </w:p>
    <w:p w14:paraId="7326C0BC" w14:textId="77777777" w:rsidR="00EF3DFB" w:rsidRDefault="00EF3DFB">
      <w:pPr>
        <w:spacing w:line="249" w:lineRule="auto"/>
        <w:jc w:val="both"/>
        <w:sectPr w:rsidR="00EF3DFB">
          <w:pgSz w:w="12240" w:h="15840"/>
          <w:pgMar w:top="600" w:right="640" w:bottom="480" w:left="620" w:header="0" w:footer="291" w:gutter="0"/>
          <w:cols w:space="720"/>
        </w:sectPr>
      </w:pPr>
    </w:p>
    <w:p w14:paraId="7326C0BD" w14:textId="77777777" w:rsidR="00EF3DFB" w:rsidRDefault="00D27C17">
      <w:pPr>
        <w:pStyle w:val="BodyText"/>
        <w:spacing w:before="72" w:line="249" w:lineRule="auto"/>
        <w:ind w:left="190" w:right="168"/>
        <w:jc w:val="both"/>
      </w:pPr>
      <w:r>
        <w:lastRenderedPageBreak/>
        <w:t>At</w:t>
      </w:r>
      <w:r>
        <w:rPr>
          <w:spacing w:val="-3"/>
        </w:rPr>
        <w:t xml:space="preserve"> </w:t>
      </w:r>
      <w:r>
        <w:t>December</w:t>
      </w:r>
      <w:r>
        <w:rPr>
          <w:spacing w:val="-3"/>
        </w:rPr>
        <w:t xml:space="preserve"> </w:t>
      </w:r>
      <w:r>
        <w:t>31,</w:t>
      </w:r>
      <w:r>
        <w:rPr>
          <w:spacing w:val="-3"/>
        </w:rPr>
        <w:t xml:space="preserve"> </w:t>
      </w:r>
      <w:r>
        <w:t>2020,</w:t>
      </w:r>
      <w:r>
        <w:rPr>
          <w:spacing w:val="-3"/>
        </w:rPr>
        <w:t xml:space="preserve"> </w:t>
      </w:r>
      <w:r>
        <w:t>there</w:t>
      </w:r>
      <w:r>
        <w:rPr>
          <w:spacing w:val="-3"/>
        </w:rPr>
        <w:t xml:space="preserve"> </w:t>
      </w:r>
      <w:r>
        <w:t>were</w:t>
      </w:r>
      <w:r>
        <w:rPr>
          <w:spacing w:val="-3"/>
        </w:rPr>
        <w:t xml:space="preserve"> </w:t>
      </w:r>
      <w:r>
        <w:t>four</w:t>
      </w:r>
      <w:r>
        <w:rPr>
          <w:spacing w:val="-3"/>
        </w:rPr>
        <w:t xml:space="preserve"> </w:t>
      </w:r>
      <w:r>
        <w:t>indefinite-lived</w:t>
      </w:r>
      <w:r>
        <w:rPr>
          <w:spacing w:val="-3"/>
        </w:rPr>
        <w:t xml:space="preserve"> </w:t>
      </w:r>
      <w:r>
        <w:t>tradenames</w:t>
      </w:r>
      <w:r>
        <w:rPr>
          <w:spacing w:val="-3"/>
        </w:rPr>
        <w:t xml:space="preserve"> </w:t>
      </w:r>
      <w:r>
        <w:t>with</w:t>
      </w:r>
      <w:r>
        <w:rPr>
          <w:spacing w:val="-3"/>
        </w:rPr>
        <w:t xml:space="preserve"> </w:t>
      </w:r>
      <w:r>
        <w:t>fair</w:t>
      </w:r>
      <w:r>
        <w:rPr>
          <w:spacing w:val="-3"/>
        </w:rPr>
        <w:t xml:space="preserve"> </w:t>
      </w:r>
      <w:r>
        <w:t>values</w:t>
      </w:r>
      <w:r>
        <w:rPr>
          <w:spacing w:val="-3"/>
        </w:rPr>
        <w:t xml:space="preserve"> </w:t>
      </w:r>
      <w:r>
        <w:t>less</w:t>
      </w:r>
      <w:r>
        <w:rPr>
          <w:spacing w:val="-3"/>
        </w:rPr>
        <w:t xml:space="preserve"> </w:t>
      </w:r>
      <w:r>
        <w:t>than</w:t>
      </w:r>
      <w:r>
        <w:rPr>
          <w:spacing w:val="-3"/>
        </w:rPr>
        <w:t xml:space="preserve"> </w:t>
      </w:r>
      <w:r>
        <w:t>10%</w:t>
      </w:r>
      <w:r>
        <w:rPr>
          <w:spacing w:val="-3"/>
        </w:rPr>
        <w:t xml:space="preserve"> </w:t>
      </w:r>
      <w:r>
        <w:t>of</w:t>
      </w:r>
      <w:r>
        <w:rPr>
          <w:spacing w:val="-3"/>
        </w:rPr>
        <w:t xml:space="preserve"> </w:t>
      </w:r>
      <w:r>
        <w:t>their</w:t>
      </w:r>
      <w:r>
        <w:rPr>
          <w:spacing w:val="-3"/>
        </w:rPr>
        <w:t xml:space="preserve"> </w:t>
      </w:r>
      <w:r>
        <w:t>associated</w:t>
      </w:r>
      <w:r>
        <w:rPr>
          <w:spacing w:val="-3"/>
        </w:rPr>
        <w:t xml:space="preserve"> </w:t>
      </w:r>
      <w:r>
        <w:t>carrying</w:t>
      </w:r>
      <w:r>
        <w:rPr>
          <w:spacing w:val="-3"/>
        </w:rPr>
        <w:t xml:space="preserve"> </w:t>
      </w:r>
      <w:r>
        <w:t>values within the Appliances and Cookware, Learning and Development, and Outdoor and Recreation segments. A hypothetical 10% reduction in the forecasted debt-free cash flows used in the excess earnings method to determine the fair value of certain indefini</w:t>
      </w:r>
      <w:r>
        <w:t>te- lived intangibles of the Company would not have resulted an impairment. A hypothetical 10% reduction in forecasted revenue used in the relief from royalty method to determine the fair value of certain indefinite-lived intangibles would have resulted in</w:t>
      </w:r>
      <w:r>
        <w:t xml:space="preserve"> incremental impairment charges in the Company's Learning and Development and Outdoor and Recreation segments of $35 million and $1 million, respectively. See </w:t>
      </w:r>
      <w:r>
        <w:rPr>
          <w:i/>
        </w:rPr>
        <w:t xml:space="preserve">Footnote 7 of the Notes to Consolidated Financial Statements </w:t>
      </w:r>
      <w:r>
        <w:t>for further</w:t>
      </w:r>
      <w:r>
        <w:rPr>
          <w:spacing w:val="-27"/>
        </w:rPr>
        <w:t xml:space="preserve"> </w:t>
      </w:r>
      <w:r>
        <w:t>information.</w:t>
      </w:r>
    </w:p>
    <w:p w14:paraId="7326C0BE" w14:textId="77777777" w:rsidR="00EF3DFB" w:rsidRDefault="00EF3DFB">
      <w:pPr>
        <w:pStyle w:val="BodyText"/>
        <w:spacing w:before="4"/>
        <w:rPr>
          <w:sz w:val="21"/>
        </w:rPr>
      </w:pPr>
    </w:p>
    <w:p w14:paraId="7326C0BF" w14:textId="77777777" w:rsidR="00EF3DFB" w:rsidRDefault="00D27C17">
      <w:pPr>
        <w:ind w:left="190"/>
        <w:jc w:val="both"/>
        <w:rPr>
          <w:i/>
          <w:sz w:val="20"/>
        </w:rPr>
      </w:pPr>
      <w:r>
        <w:rPr>
          <w:i/>
          <w:sz w:val="20"/>
        </w:rPr>
        <w:t>Other Long</w:t>
      </w:r>
      <w:r>
        <w:rPr>
          <w:i/>
          <w:sz w:val="20"/>
        </w:rPr>
        <w:t>-Lived Assets</w:t>
      </w:r>
    </w:p>
    <w:p w14:paraId="7326C0C0" w14:textId="77777777" w:rsidR="00EF3DFB" w:rsidRDefault="00EF3DFB">
      <w:pPr>
        <w:pStyle w:val="BodyText"/>
        <w:spacing w:before="8"/>
        <w:rPr>
          <w:i/>
          <w:sz w:val="21"/>
        </w:rPr>
      </w:pPr>
    </w:p>
    <w:p w14:paraId="7326C0C1" w14:textId="77777777" w:rsidR="00EF3DFB" w:rsidRDefault="00D27C17">
      <w:pPr>
        <w:pStyle w:val="BodyText"/>
        <w:spacing w:line="249" w:lineRule="auto"/>
        <w:ind w:left="190" w:right="167"/>
        <w:jc w:val="both"/>
      </w:pPr>
      <w:r>
        <w:t>The Company continuously evaluates whether impairment indicators related to its property, plant and equipment, operating leases and other long-lived assets are present. These impairment indicators may include a significant decrease in the ma</w:t>
      </w:r>
      <w:r>
        <w:t>rket price of a long-lived</w:t>
      </w:r>
      <w:r>
        <w:rPr>
          <w:spacing w:val="-3"/>
        </w:rPr>
        <w:t xml:space="preserve"> </w:t>
      </w:r>
      <w:r>
        <w:t>asset</w:t>
      </w:r>
      <w:r>
        <w:rPr>
          <w:spacing w:val="-3"/>
        </w:rPr>
        <w:t xml:space="preserve"> </w:t>
      </w:r>
      <w:r>
        <w:t>or</w:t>
      </w:r>
      <w:r>
        <w:rPr>
          <w:spacing w:val="-3"/>
        </w:rPr>
        <w:t xml:space="preserve"> </w:t>
      </w:r>
      <w:r>
        <w:t>asset</w:t>
      </w:r>
      <w:r>
        <w:rPr>
          <w:spacing w:val="-3"/>
        </w:rPr>
        <w:t xml:space="preserve"> </w:t>
      </w:r>
      <w:r>
        <w:t>group,</w:t>
      </w:r>
      <w:r>
        <w:rPr>
          <w:spacing w:val="-3"/>
        </w:rPr>
        <w:t xml:space="preserve"> </w:t>
      </w:r>
      <w:r>
        <w:t>early</w:t>
      </w:r>
      <w:r>
        <w:rPr>
          <w:spacing w:val="-3"/>
        </w:rPr>
        <w:t xml:space="preserve"> </w:t>
      </w:r>
      <w:r>
        <w:t>termination</w:t>
      </w:r>
      <w:r>
        <w:rPr>
          <w:spacing w:val="-3"/>
        </w:rPr>
        <w:t xml:space="preserve"> </w:t>
      </w:r>
      <w:r>
        <w:t>of</w:t>
      </w:r>
      <w:r>
        <w:rPr>
          <w:spacing w:val="-3"/>
        </w:rPr>
        <w:t xml:space="preserve"> </w:t>
      </w:r>
      <w:r>
        <w:t>an</w:t>
      </w:r>
      <w:r>
        <w:rPr>
          <w:spacing w:val="-3"/>
        </w:rPr>
        <w:t xml:space="preserve"> </w:t>
      </w:r>
      <w:r>
        <w:t>operating</w:t>
      </w:r>
      <w:r>
        <w:rPr>
          <w:spacing w:val="-3"/>
        </w:rPr>
        <w:t xml:space="preserve"> </w:t>
      </w:r>
      <w:r>
        <w:t>lease,</w:t>
      </w:r>
      <w:r>
        <w:rPr>
          <w:spacing w:val="-3"/>
        </w:rPr>
        <w:t xml:space="preserve"> </w:t>
      </w:r>
      <w:r>
        <w:t>a</w:t>
      </w:r>
      <w:r>
        <w:rPr>
          <w:spacing w:val="-3"/>
        </w:rPr>
        <w:t xml:space="preserve"> </w:t>
      </w:r>
      <w:r>
        <w:t>significant</w:t>
      </w:r>
      <w:r>
        <w:rPr>
          <w:spacing w:val="-3"/>
        </w:rPr>
        <w:t xml:space="preserve"> </w:t>
      </w:r>
      <w:r>
        <w:t>adverse</w:t>
      </w:r>
      <w:r>
        <w:rPr>
          <w:spacing w:val="-3"/>
        </w:rPr>
        <w:t xml:space="preserve"> </w:t>
      </w:r>
      <w:r>
        <w:t>change</w:t>
      </w:r>
      <w:r>
        <w:rPr>
          <w:spacing w:val="-3"/>
        </w:rPr>
        <w:t xml:space="preserve"> </w:t>
      </w:r>
      <w:r>
        <w:t>in</w:t>
      </w:r>
      <w:r>
        <w:rPr>
          <w:spacing w:val="-3"/>
        </w:rPr>
        <w:t xml:space="preserve"> </w:t>
      </w:r>
      <w:r>
        <w:t>the</w:t>
      </w:r>
      <w:r>
        <w:rPr>
          <w:spacing w:val="-3"/>
        </w:rPr>
        <w:t xml:space="preserve"> </w:t>
      </w:r>
      <w:r>
        <w:t>extent</w:t>
      </w:r>
      <w:r>
        <w:rPr>
          <w:spacing w:val="-3"/>
        </w:rPr>
        <w:t xml:space="preserve"> </w:t>
      </w:r>
      <w:r>
        <w:t>or</w:t>
      </w:r>
      <w:r>
        <w:rPr>
          <w:spacing w:val="-3"/>
        </w:rPr>
        <w:t xml:space="preserve"> </w:t>
      </w:r>
      <w:r>
        <w:t>manner</w:t>
      </w:r>
      <w:r>
        <w:rPr>
          <w:spacing w:val="-3"/>
        </w:rPr>
        <w:t xml:space="preserve"> </w:t>
      </w:r>
      <w:r>
        <w:t>in</w:t>
      </w:r>
      <w:r>
        <w:rPr>
          <w:spacing w:val="-3"/>
        </w:rPr>
        <w:t xml:space="preserve"> </w:t>
      </w:r>
      <w:r>
        <w:t>which a long-lived asset or asset group is being used or in its physical condition, or a current-period operat</w:t>
      </w:r>
      <w:r>
        <w:t xml:space="preserve">ing or cash flow loss combined with a history of operating or cash flow losses or a forecast that demonstrates continuing losses associated with the use of a long- lived asset or asset group. If impairment indicators are present, the Company estimates the </w:t>
      </w:r>
      <w:r>
        <w:t>future cash flows for the asset or group of assets. The sum of the undiscounted future cash flows attributable to the asset or group of assets is compared to their carrying amount. The cash flows are estimated utilizing various assumptions regarding future</w:t>
      </w:r>
      <w:r>
        <w:t xml:space="preserve"> sales and expenses, working capital and proceeds from asset disposals on a basis consistent with the Company’s forecasts. If the carrying amount exceeds the sum of the undiscounted future cash flows, the Company discounts the future cash flows using a dis</w:t>
      </w:r>
      <w:r>
        <w:t xml:space="preserve">count rate required for a similar investment of like risk and records an impairment charge as the difference between the fair value and the carrying value of the asset group. The Company performs its testing of the asset group at the reporting unit level, </w:t>
      </w:r>
      <w:r>
        <w:t>as this is the lowest level for which identifiable cash flows are available, with the exception of the Yankee Candle business, where testing is performed at the retail store level. See Footnotes 6, 7, and 13 of the Notes to Consolidated Financial Statement</w:t>
      </w:r>
      <w:r>
        <w:t>s for further</w:t>
      </w:r>
      <w:r>
        <w:rPr>
          <w:spacing w:val="-13"/>
        </w:rPr>
        <w:t xml:space="preserve"> </w:t>
      </w:r>
      <w:r>
        <w:t>information.</w:t>
      </w:r>
    </w:p>
    <w:p w14:paraId="7326C0C2" w14:textId="77777777" w:rsidR="00EF3DFB" w:rsidRDefault="00EF3DFB">
      <w:pPr>
        <w:pStyle w:val="BodyText"/>
        <w:spacing w:before="10"/>
        <w:rPr>
          <w:sz w:val="21"/>
        </w:rPr>
      </w:pPr>
    </w:p>
    <w:p w14:paraId="7326C0C3" w14:textId="77777777" w:rsidR="00EF3DFB" w:rsidRDefault="00D27C17">
      <w:pPr>
        <w:spacing w:before="1"/>
        <w:ind w:left="190"/>
        <w:jc w:val="both"/>
        <w:rPr>
          <w:i/>
          <w:sz w:val="20"/>
        </w:rPr>
      </w:pPr>
      <w:r>
        <w:rPr>
          <w:i/>
          <w:sz w:val="20"/>
        </w:rPr>
        <w:t>Income Taxes</w:t>
      </w:r>
    </w:p>
    <w:p w14:paraId="7326C0C4" w14:textId="77777777" w:rsidR="00EF3DFB" w:rsidRDefault="00EF3DFB">
      <w:pPr>
        <w:pStyle w:val="BodyText"/>
        <w:spacing w:before="8"/>
        <w:rPr>
          <w:i/>
          <w:sz w:val="21"/>
        </w:rPr>
      </w:pPr>
    </w:p>
    <w:p w14:paraId="7326C0C5" w14:textId="77777777" w:rsidR="00EF3DFB" w:rsidRDefault="00D27C17">
      <w:pPr>
        <w:pStyle w:val="BodyText"/>
        <w:spacing w:line="249" w:lineRule="auto"/>
        <w:ind w:left="190" w:right="168"/>
        <w:jc w:val="both"/>
      </w:pPr>
      <w:r>
        <w:t>The Company accounts for deferred income taxes using the asset and liability approach. Under this approach, deferred income taxes are recognized based on the tax effects of temporary differences between the financial statement and tax bases of assets and l</w:t>
      </w:r>
      <w:r>
        <w:t>iabilities, as measured by current enacted tax rates. Valuation allowances are recorded to reduce the deferred tax assets to an amount that will more likely than not be</w:t>
      </w:r>
      <w:r>
        <w:rPr>
          <w:spacing w:val="-8"/>
        </w:rPr>
        <w:t xml:space="preserve"> </w:t>
      </w:r>
      <w:r>
        <w:t>realized.</w:t>
      </w:r>
    </w:p>
    <w:p w14:paraId="7326C0C6" w14:textId="77777777" w:rsidR="00EF3DFB" w:rsidRDefault="00EF3DFB">
      <w:pPr>
        <w:pStyle w:val="BodyText"/>
        <w:spacing w:before="2"/>
        <w:rPr>
          <w:sz w:val="21"/>
        </w:rPr>
      </w:pPr>
    </w:p>
    <w:p w14:paraId="7326C0C7" w14:textId="77777777" w:rsidR="00EF3DFB" w:rsidRDefault="00D27C17">
      <w:pPr>
        <w:pStyle w:val="BodyText"/>
        <w:spacing w:line="249" w:lineRule="auto"/>
        <w:ind w:left="190" w:right="169"/>
        <w:jc w:val="both"/>
      </w:pPr>
      <w:r>
        <w:t>The Company’s income tax provisions are based on calculations and assumption</w:t>
      </w:r>
      <w:r>
        <w:t>s that are subject to examination by various worldwide tax authorities. Although the Company believes that the positions taken on previously filed tax returns are reasonable, it has established tax, interest and penalty reserves in recognition that various</w:t>
      </w:r>
      <w:r>
        <w:t xml:space="preserve"> taxing authorities may challenge the positions taken, which could result in additional liabilities for taxes, interest and penalties. The Company regularly reviews its deferred tax assets for recoverability considering historical profitability, projected </w:t>
      </w:r>
      <w:r>
        <w:t>future taxable income, the expected timing of the reversals of existing temporary differences and tax planning strategies.</w:t>
      </w:r>
    </w:p>
    <w:p w14:paraId="7326C0C8" w14:textId="77777777" w:rsidR="00EF3DFB" w:rsidRDefault="00EF3DFB">
      <w:pPr>
        <w:pStyle w:val="BodyText"/>
        <w:spacing w:before="3"/>
        <w:rPr>
          <w:sz w:val="21"/>
        </w:rPr>
      </w:pPr>
    </w:p>
    <w:p w14:paraId="7326C0C9" w14:textId="77777777" w:rsidR="00EF3DFB" w:rsidRDefault="00D27C17">
      <w:pPr>
        <w:pStyle w:val="BodyText"/>
        <w:spacing w:line="249" w:lineRule="auto"/>
        <w:ind w:left="190" w:right="168"/>
        <w:jc w:val="both"/>
      </w:pPr>
      <w:r>
        <w:t xml:space="preserve">For uncertain tax positions, the Company applies the provisions of relevant authoritative guidance, which requires application of a </w:t>
      </w:r>
      <w:r>
        <w:t>“more likely than not” threshold to the recognition and derecognition of tax positions. The Company’s ongoing assessments of the more likely than not outcomes of tax authority examinations and related tax positions require significant judgment and can incr</w:t>
      </w:r>
      <w:r>
        <w:t>ease or decrease the Company’s effective tax rate, as well as impact operating results.</w:t>
      </w:r>
    </w:p>
    <w:p w14:paraId="7326C0CA" w14:textId="77777777" w:rsidR="00EF3DFB" w:rsidRDefault="00EF3DFB">
      <w:pPr>
        <w:pStyle w:val="BodyText"/>
        <w:spacing w:before="2"/>
        <w:rPr>
          <w:sz w:val="21"/>
        </w:rPr>
      </w:pPr>
    </w:p>
    <w:p w14:paraId="7326C0CB" w14:textId="77777777" w:rsidR="00EF3DFB" w:rsidRDefault="00D27C17">
      <w:pPr>
        <w:pStyle w:val="BodyText"/>
        <w:spacing w:line="249" w:lineRule="auto"/>
        <w:ind w:left="190" w:right="168"/>
        <w:jc w:val="both"/>
      </w:pPr>
      <w:r>
        <w:t>The Company’s provision for income taxes is subject to volatility and could be favorably or adversely affected by earnings being higher or lower in countries that have</w:t>
      </w:r>
      <w:r>
        <w:t xml:space="preserve"> lower tax rates and higher or lower in countries that have higher tax rates; by changes in the valuation of deferred tax assets and liabilities; by expiration of or lapses in tax-related legislation; by expiration of or lapses in tax incentives; by tax ef</w:t>
      </w:r>
      <w:r>
        <w:t>fects of nondeductible compensation; by changes in accounting principles; by liquidity needs driving repatriations of non-U.S. cash to the U.S.; or by changes in tax laws and regulations, including possible U.S. changes to the taxation of earnings of forei</w:t>
      </w:r>
      <w:r>
        <w:t>gn subsidiaries, the deductibility of expenses attributable to foreign income, or the foreign tax credit rules.</w:t>
      </w:r>
    </w:p>
    <w:p w14:paraId="7326C0CC" w14:textId="77777777" w:rsidR="00EF3DFB" w:rsidRDefault="00EF3DFB">
      <w:pPr>
        <w:pStyle w:val="BodyText"/>
        <w:spacing w:before="3"/>
        <w:rPr>
          <w:sz w:val="21"/>
        </w:rPr>
      </w:pPr>
    </w:p>
    <w:p w14:paraId="7326C0CD" w14:textId="77777777" w:rsidR="00EF3DFB" w:rsidRDefault="00D27C17">
      <w:pPr>
        <w:pStyle w:val="BodyText"/>
        <w:spacing w:line="249" w:lineRule="auto"/>
        <w:ind w:left="190" w:right="169"/>
        <w:jc w:val="both"/>
      </w:pPr>
      <w:r>
        <w:t>The Company’s effective tax rate differs from the statutory rate, primarily due to the tax impact of state taxes, foreign tax rates, tax credit</w:t>
      </w:r>
      <w:r>
        <w:t>s, the domestic manufacturing deduction, tax audit settlements and valuation allowance adjustments. Significant judgment is required in evaluating uncertain tax positions, determining valuation allowances recorded against deferred tax assets, and ultimatel</w:t>
      </w:r>
      <w:r>
        <w:t>y, the income tax provision.</w:t>
      </w:r>
    </w:p>
    <w:p w14:paraId="7326C0CE" w14:textId="77777777" w:rsidR="00EF3DFB" w:rsidRDefault="00EF3DFB">
      <w:pPr>
        <w:pStyle w:val="BodyText"/>
        <w:spacing w:before="2"/>
        <w:rPr>
          <w:sz w:val="21"/>
        </w:rPr>
      </w:pPr>
    </w:p>
    <w:p w14:paraId="7326C0CF" w14:textId="77777777" w:rsidR="00EF3DFB" w:rsidRDefault="00D27C17">
      <w:pPr>
        <w:pStyle w:val="BodyText"/>
        <w:spacing w:line="249" w:lineRule="auto"/>
        <w:ind w:left="190" w:right="168"/>
        <w:jc w:val="both"/>
      </w:pPr>
      <w:r>
        <w:t>It is difficult to predict when resolution of income tax matters will occur and when recognition of certain income tax assets and liabilities is appropriate, and the Company’s income tax expense in the future may continue to d</w:t>
      </w:r>
      <w:r>
        <w:t>iffer from the statutory rate because of the effects of similar items. For example, if items are favorably resolved or management determines a deferred tax asset is realizable that was previously reserved, the Company will recognize period tax benefits. Co</w:t>
      </w:r>
      <w:r>
        <w:t>nversely, to the extent tax matters are</w:t>
      </w:r>
    </w:p>
    <w:p w14:paraId="7326C0D0" w14:textId="77777777" w:rsidR="00EF3DFB" w:rsidRDefault="00EF3DFB">
      <w:pPr>
        <w:spacing w:line="249" w:lineRule="auto"/>
        <w:jc w:val="both"/>
        <w:sectPr w:rsidR="00EF3DFB">
          <w:pgSz w:w="12240" w:h="15840"/>
          <w:pgMar w:top="600" w:right="640" w:bottom="480" w:left="620" w:header="0" w:footer="291" w:gutter="0"/>
          <w:cols w:space="720"/>
        </w:sectPr>
      </w:pPr>
    </w:p>
    <w:p w14:paraId="7326C0D1" w14:textId="77777777" w:rsidR="00EF3DFB" w:rsidRDefault="00D27C17">
      <w:pPr>
        <w:pStyle w:val="BodyText"/>
        <w:spacing w:before="72" w:line="249" w:lineRule="auto"/>
        <w:ind w:left="190" w:right="169"/>
        <w:jc w:val="both"/>
      </w:pPr>
      <w:r>
        <w:lastRenderedPageBreak/>
        <w:t>unfavorably resolved or management determines a valuation allowance is necessary for a tax asset that was not previously reserved, the Company will recognize incremental period tax expense. These matter</w:t>
      </w:r>
      <w:r>
        <w:t xml:space="preserve">s are expected to contribute to the tax rate differing from the statutory rate and continued volatility in the Company’s effective tax rate. See </w:t>
      </w:r>
      <w:r>
        <w:rPr>
          <w:i/>
        </w:rPr>
        <w:t xml:space="preserve">Footnote 12 of the Notes to Consolidated Financial Statements </w:t>
      </w:r>
      <w:r>
        <w:t>for further information.</w:t>
      </w:r>
    </w:p>
    <w:p w14:paraId="7326C0D2" w14:textId="77777777" w:rsidR="00EF3DFB" w:rsidRDefault="00EF3DFB">
      <w:pPr>
        <w:pStyle w:val="BodyText"/>
        <w:spacing w:before="1"/>
        <w:rPr>
          <w:sz w:val="21"/>
        </w:rPr>
      </w:pPr>
    </w:p>
    <w:p w14:paraId="7326C0D3" w14:textId="77777777" w:rsidR="00EF3DFB" w:rsidRDefault="00D27C17">
      <w:pPr>
        <w:spacing w:before="1"/>
        <w:ind w:left="190"/>
        <w:jc w:val="both"/>
        <w:rPr>
          <w:i/>
          <w:sz w:val="20"/>
        </w:rPr>
      </w:pPr>
      <w:r>
        <w:rPr>
          <w:i/>
          <w:sz w:val="20"/>
        </w:rPr>
        <w:t>Pensions and Postretirement Benefits</w:t>
      </w:r>
    </w:p>
    <w:p w14:paraId="7326C0D4" w14:textId="77777777" w:rsidR="00EF3DFB" w:rsidRDefault="00EF3DFB">
      <w:pPr>
        <w:pStyle w:val="BodyText"/>
        <w:spacing w:before="8"/>
        <w:rPr>
          <w:i/>
          <w:sz w:val="21"/>
        </w:rPr>
      </w:pPr>
    </w:p>
    <w:p w14:paraId="7326C0D5" w14:textId="77777777" w:rsidR="00EF3DFB" w:rsidRDefault="00D27C17">
      <w:pPr>
        <w:pStyle w:val="BodyText"/>
        <w:spacing w:line="249" w:lineRule="auto"/>
        <w:ind w:left="190" w:right="168"/>
        <w:jc w:val="both"/>
      </w:pPr>
      <w:r>
        <w:t>The Company records annual amounts relating to its pension and postretirement plans based on calculations, which include various actuarial assumptions, including discount rates, assumed rates of return, compensation in</w:t>
      </w:r>
      <w:r>
        <w:t>creases, turnover rates and health care cost trend rates. The Company reviews its actuarial assumptions on an annual basis and makes modifications to the assumptions based on current rates and trends when it is deemed appropriate to do so. The effect of mo</w:t>
      </w:r>
      <w:r>
        <w:t xml:space="preserve">difications is generally deferred and amortized over future periods. The Company believes that the assumptions utilized in recording its obligations under its plans are reasonable based on its experience, market conditions and the input from its actuaries </w:t>
      </w:r>
      <w:r>
        <w:t>and investment advisors. The pension and postretirement obligations are measured at December 31, 2020 and</w:t>
      </w:r>
      <w:r>
        <w:rPr>
          <w:spacing w:val="-5"/>
        </w:rPr>
        <w:t xml:space="preserve"> </w:t>
      </w:r>
      <w:r>
        <w:t>2019.</w:t>
      </w:r>
    </w:p>
    <w:p w14:paraId="7326C0D6" w14:textId="77777777" w:rsidR="00EF3DFB" w:rsidRDefault="00EF3DFB">
      <w:pPr>
        <w:pStyle w:val="BodyText"/>
        <w:spacing w:before="4"/>
        <w:rPr>
          <w:sz w:val="21"/>
        </w:rPr>
      </w:pPr>
    </w:p>
    <w:p w14:paraId="7326C0D7" w14:textId="77777777" w:rsidR="00EF3DFB" w:rsidRDefault="00D27C17">
      <w:pPr>
        <w:pStyle w:val="BodyText"/>
        <w:spacing w:line="249" w:lineRule="auto"/>
        <w:ind w:left="190" w:right="168"/>
        <w:jc w:val="both"/>
      </w:pPr>
      <w:r>
        <w:t>The Company employs a total return investment approach for its pension and postretirement benefit plans whereby a mix of equities and fixed inc</w:t>
      </w:r>
      <w:r>
        <w:t>ome investments are used to maximize the long-term return of pension plan assets. The intent of this strategy is to minimize plan expenses by outperforming plan liabilities over the long run. Risk tolerance is established through careful consideration of p</w:t>
      </w:r>
      <w:r>
        <w:t>lan liabilities, plan funded status, and corporate financial condition. The investment portfolios contain a diversified blend of equity and fixed-income investments. Furthermore, equity investments are diversified across geography and market capitalization</w:t>
      </w:r>
      <w:r>
        <w:t xml:space="preserve"> through investments in U.S. large-capitalization stocks, U.S. small-capitalization stocks and international securities. Investment risk is measured and monitored on an ongoing basis through annual liability measurements, periodic asset/ liability studies </w:t>
      </w:r>
      <w:r>
        <w:t>and quarterly investment portfolio</w:t>
      </w:r>
      <w:r>
        <w:rPr>
          <w:spacing w:val="-4"/>
        </w:rPr>
        <w:t xml:space="preserve"> </w:t>
      </w:r>
      <w:r>
        <w:t>reviews.</w:t>
      </w:r>
    </w:p>
    <w:p w14:paraId="7326C0D8" w14:textId="77777777" w:rsidR="00EF3DFB" w:rsidRDefault="00EF3DFB">
      <w:pPr>
        <w:pStyle w:val="BodyText"/>
        <w:spacing w:before="5"/>
        <w:rPr>
          <w:sz w:val="21"/>
        </w:rPr>
      </w:pPr>
    </w:p>
    <w:p w14:paraId="7326C0D9" w14:textId="77777777" w:rsidR="00EF3DFB" w:rsidRDefault="00D27C17">
      <w:pPr>
        <w:pStyle w:val="BodyText"/>
        <w:spacing w:line="249" w:lineRule="auto"/>
        <w:ind w:left="190" w:right="168"/>
        <w:jc w:val="both"/>
      </w:pPr>
      <w:r>
        <w:t>The</w:t>
      </w:r>
      <w:r>
        <w:rPr>
          <w:spacing w:val="-4"/>
        </w:rPr>
        <w:t xml:space="preserve"> </w:t>
      </w:r>
      <w:r>
        <w:t>expected</w:t>
      </w:r>
      <w:r>
        <w:rPr>
          <w:spacing w:val="-3"/>
        </w:rPr>
        <w:t xml:space="preserve"> </w:t>
      </w:r>
      <w:r>
        <w:t>long-term</w:t>
      </w:r>
      <w:r>
        <w:rPr>
          <w:spacing w:val="-4"/>
        </w:rPr>
        <w:t xml:space="preserve"> </w:t>
      </w:r>
      <w:r>
        <w:t>rate</w:t>
      </w:r>
      <w:r>
        <w:rPr>
          <w:spacing w:val="-4"/>
        </w:rPr>
        <w:t xml:space="preserve"> </w:t>
      </w:r>
      <w:r>
        <w:t>of</w:t>
      </w:r>
      <w:r>
        <w:rPr>
          <w:spacing w:val="-3"/>
        </w:rPr>
        <w:t xml:space="preserve"> </w:t>
      </w:r>
      <w:r>
        <w:t>return</w:t>
      </w:r>
      <w:r>
        <w:rPr>
          <w:spacing w:val="-3"/>
        </w:rPr>
        <w:t xml:space="preserve"> </w:t>
      </w:r>
      <w:r>
        <w:t>for</w:t>
      </w:r>
      <w:r>
        <w:rPr>
          <w:spacing w:val="-3"/>
        </w:rPr>
        <w:t xml:space="preserve"> </w:t>
      </w:r>
      <w:r>
        <w:t>plan</w:t>
      </w:r>
      <w:r>
        <w:rPr>
          <w:spacing w:val="-3"/>
        </w:rPr>
        <w:t xml:space="preserve"> </w:t>
      </w:r>
      <w:r>
        <w:t>assets</w:t>
      </w:r>
      <w:r>
        <w:rPr>
          <w:spacing w:val="-4"/>
        </w:rPr>
        <w:t xml:space="preserve"> </w:t>
      </w:r>
      <w:r>
        <w:t>is</w:t>
      </w:r>
      <w:r>
        <w:rPr>
          <w:spacing w:val="-4"/>
        </w:rPr>
        <w:t xml:space="preserve"> </w:t>
      </w:r>
      <w:r>
        <w:t>based</w:t>
      </w:r>
      <w:r>
        <w:rPr>
          <w:spacing w:val="-3"/>
        </w:rPr>
        <w:t xml:space="preserve"> </w:t>
      </w:r>
      <w:r>
        <w:t>upon</w:t>
      </w:r>
      <w:r>
        <w:rPr>
          <w:spacing w:val="-3"/>
        </w:rPr>
        <w:t xml:space="preserve"> </w:t>
      </w:r>
      <w:r>
        <w:t>many</w:t>
      </w:r>
      <w:r>
        <w:rPr>
          <w:spacing w:val="-3"/>
        </w:rPr>
        <w:t xml:space="preserve"> </w:t>
      </w:r>
      <w:r>
        <w:t>factors</w:t>
      </w:r>
      <w:r>
        <w:rPr>
          <w:spacing w:val="-4"/>
        </w:rPr>
        <w:t xml:space="preserve"> </w:t>
      </w:r>
      <w:r>
        <w:t>including</w:t>
      </w:r>
      <w:r>
        <w:rPr>
          <w:spacing w:val="-3"/>
        </w:rPr>
        <w:t xml:space="preserve"> </w:t>
      </w:r>
      <w:r>
        <w:t>expected</w:t>
      </w:r>
      <w:r>
        <w:rPr>
          <w:spacing w:val="-3"/>
        </w:rPr>
        <w:t xml:space="preserve"> </w:t>
      </w:r>
      <w:r>
        <w:t>asset</w:t>
      </w:r>
      <w:r>
        <w:rPr>
          <w:spacing w:val="-4"/>
        </w:rPr>
        <w:t xml:space="preserve"> </w:t>
      </w:r>
      <w:r>
        <w:t>allocations,</w:t>
      </w:r>
      <w:r>
        <w:rPr>
          <w:spacing w:val="-3"/>
        </w:rPr>
        <w:t xml:space="preserve"> </w:t>
      </w:r>
      <w:r>
        <w:t>historical</w:t>
      </w:r>
      <w:r>
        <w:rPr>
          <w:spacing w:val="-4"/>
        </w:rPr>
        <w:t xml:space="preserve"> </w:t>
      </w:r>
      <w:r>
        <w:t>asset returns, current and expected future market conditions, risk and active management premiums. The target asset allocations for the Company’s domestic pension plans may vary by plan, in part due to plan demographics, funded status and liability duratio</w:t>
      </w:r>
      <w:r>
        <w:t>n. In general, the Company’s target asset allocations are as follows: global equities approximately 20% to 40%; fixed income approximately 50% to 70%; and cash, alternative investments and other, approximately zero to 20% at December 31, 2020. Actual asset</w:t>
      </w:r>
      <w:r>
        <w:t xml:space="preserve"> allocations may vary from the targeted allocations for various reasons, including market conditions and the timing of transactions. The Company maintains numerous international defined benefit pension plans. The asset allocations for the international inv</w:t>
      </w:r>
      <w:r>
        <w:t>estment may vary by plan and jurisdiction and are primarily based upon the plan structure and plan participant profile. At December 31, 2020, the domestic plan assets were allocated as follows: Equities: approximately 24% and Other Investments (alternative</w:t>
      </w:r>
      <w:r>
        <w:t xml:space="preserve"> investments, fixed-income securities, cash and other): approximately 76%. Actual asset allocations may vary from the targeted allocations for various reasons, including market conditions and the timing of</w:t>
      </w:r>
      <w:r>
        <w:rPr>
          <w:spacing w:val="-22"/>
        </w:rPr>
        <w:t xml:space="preserve"> </w:t>
      </w:r>
      <w:r>
        <w:t>transactions.</w:t>
      </w:r>
    </w:p>
    <w:p w14:paraId="7326C0DA" w14:textId="77777777" w:rsidR="00EF3DFB" w:rsidRDefault="00EF3DFB">
      <w:pPr>
        <w:pStyle w:val="BodyText"/>
        <w:spacing w:before="8"/>
        <w:rPr>
          <w:sz w:val="21"/>
        </w:rPr>
      </w:pPr>
    </w:p>
    <w:p w14:paraId="7326C0DB" w14:textId="77777777" w:rsidR="00EF3DFB" w:rsidRDefault="00D27C17">
      <w:pPr>
        <w:pStyle w:val="BodyText"/>
        <w:spacing w:line="249" w:lineRule="auto"/>
        <w:ind w:left="190" w:right="168"/>
        <w:jc w:val="both"/>
      </w:pPr>
      <w:r>
        <w:t>For</w:t>
      </w:r>
      <w:r>
        <w:rPr>
          <w:spacing w:val="-3"/>
        </w:rPr>
        <w:t xml:space="preserve"> </w:t>
      </w:r>
      <w:r>
        <w:t>2020,</w:t>
      </w:r>
      <w:r>
        <w:rPr>
          <w:spacing w:val="-3"/>
        </w:rPr>
        <w:t xml:space="preserve"> </w:t>
      </w:r>
      <w:r>
        <w:t>2019</w:t>
      </w:r>
      <w:r>
        <w:rPr>
          <w:spacing w:val="-3"/>
        </w:rPr>
        <w:t xml:space="preserve"> </w:t>
      </w:r>
      <w:r>
        <w:t>and</w:t>
      </w:r>
      <w:r>
        <w:rPr>
          <w:spacing w:val="-3"/>
        </w:rPr>
        <w:t xml:space="preserve"> </w:t>
      </w:r>
      <w:r>
        <w:t>2018,</w:t>
      </w:r>
      <w:r>
        <w:rPr>
          <w:spacing w:val="-3"/>
        </w:rPr>
        <w:t xml:space="preserve"> </w:t>
      </w:r>
      <w:r>
        <w:t>the</w:t>
      </w:r>
      <w:r>
        <w:rPr>
          <w:spacing w:val="-3"/>
        </w:rPr>
        <w:t xml:space="preserve"> </w:t>
      </w:r>
      <w:r>
        <w:t>actual</w:t>
      </w:r>
      <w:r>
        <w:rPr>
          <w:spacing w:val="-3"/>
        </w:rPr>
        <w:t xml:space="preserve"> </w:t>
      </w:r>
      <w:r>
        <w:t>return</w:t>
      </w:r>
      <w:r>
        <w:rPr>
          <w:spacing w:val="-3"/>
        </w:rPr>
        <w:t xml:space="preserve"> </w:t>
      </w:r>
      <w:r>
        <w:t>(loss)</w:t>
      </w:r>
      <w:r>
        <w:rPr>
          <w:spacing w:val="-3"/>
        </w:rPr>
        <w:t xml:space="preserve"> </w:t>
      </w:r>
      <w:r>
        <w:t>on</w:t>
      </w:r>
      <w:r>
        <w:rPr>
          <w:spacing w:val="-3"/>
        </w:rPr>
        <w:t xml:space="preserve"> </w:t>
      </w:r>
      <w:r>
        <w:t>plan</w:t>
      </w:r>
      <w:r>
        <w:rPr>
          <w:spacing w:val="-3"/>
        </w:rPr>
        <w:t xml:space="preserve"> </w:t>
      </w:r>
      <w:r>
        <w:t>assets</w:t>
      </w:r>
      <w:r>
        <w:rPr>
          <w:spacing w:val="-3"/>
        </w:rPr>
        <w:t xml:space="preserve"> </w:t>
      </w:r>
      <w:r>
        <w:t>for</w:t>
      </w:r>
      <w:r>
        <w:rPr>
          <w:spacing w:val="-3"/>
        </w:rPr>
        <w:t xml:space="preserve"> </w:t>
      </w:r>
      <w:r>
        <w:t>the</w:t>
      </w:r>
      <w:r>
        <w:rPr>
          <w:spacing w:val="-3"/>
        </w:rPr>
        <w:t xml:space="preserve"> </w:t>
      </w:r>
      <w:r>
        <w:t>Company’s</w:t>
      </w:r>
      <w:r>
        <w:rPr>
          <w:spacing w:val="-3"/>
        </w:rPr>
        <w:t xml:space="preserve"> </w:t>
      </w:r>
      <w:r>
        <w:t>U.S.</w:t>
      </w:r>
      <w:r>
        <w:rPr>
          <w:spacing w:val="-3"/>
        </w:rPr>
        <w:t xml:space="preserve"> </w:t>
      </w:r>
      <w:r>
        <w:t>pension</w:t>
      </w:r>
      <w:r>
        <w:rPr>
          <w:spacing w:val="-3"/>
        </w:rPr>
        <w:t xml:space="preserve"> </w:t>
      </w:r>
      <w:r>
        <w:t>plan</w:t>
      </w:r>
      <w:r>
        <w:rPr>
          <w:spacing w:val="-3"/>
        </w:rPr>
        <w:t xml:space="preserve"> </w:t>
      </w:r>
      <w:r>
        <w:t>assets</w:t>
      </w:r>
      <w:r>
        <w:rPr>
          <w:spacing w:val="-3"/>
        </w:rPr>
        <w:t xml:space="preserve"> </w:t>
      </w:r>
      <w:r>
        <w:t>was</w:t>
      </w:r>
      <w:r>
        <w:rPr>
          <w:spacing w:val="-3"/>
        </w:rPr>
        <w:t xml:space="preserve"> </w:t>
      </w:r>
      <w:r>
        <w:t>approximately</w:t>
      </w:r>
      <w:r>
        <w:rPr>
          <w:spacing w:val="-3"/>
        </w:rPr>
        <w:t xml:space="preserve"> </w:t>
      </w:r>
      <w:r>
        <w:t>$178 million, $213 million and $(71) million, respectively, versus an expected return on plan assets of approximately $59 million, $59 million and $67 million, respectively. The actual amount of future contributions will depend, in part, on long-term actua</w:t>
      </w:r>
      <w:r>
        <w:t>l return on assets and future discount rates. Pension contributions for all the Company’s pension plans for 2021 are estimated to be approximately $22 million, as compared to the 2020 contributions of approximately $25</w:t>
      </w:r>
      <w:r>
        <w:rPr>
          <w:spacing w:val="-10"/>
        </w:rPr>
        <w:t xml:space="preserve"> </w:t>
      </w:r>
      <w:r>
        <w:t>million.</w:t>
      </w:r>
    </w:p>
    <w:p w14:paraId="7326C0DC" w14:textId="77777777" w:rsidR="00EF3DFB" w:rsidRDefault="00EF3DFB">
      <w:pPr>
        <w:pStyle w:val="BodyText"/>
        <w:spacing w:before="2"/>
        <w:rPr>
          <w:sz w:val="21"/>
        </w:rPr>
      </w:pPr>
    </w:p>
    <w:p w14:paraId="7326C0DD" w14:textId="77777777" w:rsidR="00EF3DFB" w:rsidRDefault="00D27C17">
      <w:pPr>
        <w:pStyle w:val="BodyText"/>
        <w:spacing w:line="249" w:lineRule="auto"/>
        <w:ind w:left="190" w:right="170"/>
        <w:jc w:val="both"/>
      </w:pPr>
      <w:r>
        <w:t>The weighted average expect</w:t>
      </w:r>
      <w:r>
        <w:t>ed return on plan assets assumption for 2020 was approximately 4.1% for the Company’s pension plans. The weighted average discount rate at the 2020 measurement date used to measure the pension and postretirement benefit obligations was approximately 1.9% a</w:t>
      </w:r>
      <w:r>
        <w:t>nd 1.8%, respectively. A 25 basis points decrease in the discount rate at the 2020 measurement date would increase the pension plans’ projected benefit obligation by approximately $64</w:t>
      </w:r>
      <w:r>
        <w:rPr>
          <w:spacing w:val="-19"/>
        </w:rPr>
        <w:t xml:space="preserve"> </w:t>
      </w:r>
      <w:r>
        <w:t>million.</w:t>
      </w:r>
    </w:p>
    <w:p w14:paraId="7326C0DE" w14:textId="77777777" w:rsidR="00EF3DFB" w:rsidRDefault="00EF3DFB">
      <w:pPr>
        <w:pStyle w:val="BodyText"/>
        <w:spacing w:before="2"/>
        <w:rPr>
          <w:sz w:val="21"/>
        </w:rPr>
      </w:pPr>
    </w:p>
    <w:p w14:paraId="7326C0DF" w14:textId="77777777" w:rsidR="00EF3DFB" w:rsidRDefault="00D27C17">
      <w:pPr>
        <w:pStyle w:val="BodyText"/>
        <w:spacing w:line="249" w:lineRule="auto"/>
        <w:ind w:left="190" w:right="169"/>
        <w:jc w:val="both"/>
      </w:pPr>
      <w:r>
        <w:t xml:space="preserve">The healthcare cost trend rates used in valuing the Company’s </w:t>
      </w:r>
      <w:r>
        <w:t>postretirement benefit obligation are established based upon actual healthcare cost trends and consultation with actuaries and benefit providers. At the 2020 measurement date, the current weighted average healthcare cost trend rate assumption was approxima</w:t>
      </w:r>
      <w:r>
        <w:t xml:space="preserve">tely 6.7%. The current healthcare cost trend rate is assumed to gradually decrease to an ultimate healthcare cost trend rate of 4.5%. See </w:t>
      </w:r>
      <w:r>
        <w:rPr>
          <w:i/>
        </w:rPr>
        <w:t xml:space="preserve">Footnote 11 of the Notes to Consolidated Financial Statements </w:t>
      </w:r>
      <w:r>
        <w:t>for further information.</w:t>
      </w:r>
    </w:p>
    <w:p w14:paraId="7326C0E0" w14:textId="77777777" w:rsidR="00EF3DFB" w:rsidRDefault="00EF3DFB">
      <w:pPr>
        <w:pStyle w:val="BodyText"/>
        <w:spacing w:before="11"/>
      </w:pPr>
    </w:p>
    <w:p w14:paraId="7326C0E1" w14:textId="77777777" w:rsidR="00EF3DFB" w:rsidRDefault="00D27C17">
      <w:pPr>
        <w:pStyle w:val="Heading2"/>
      </w:pPr>
      <w:bookmarkStart w:id="35" w:name="Recent_Accounting_Pronouncements"/>
      <w:bookmarkEnd w:id="35"/>
      <w:r>
        <w:rPr>
          <w:u w:val="single"/>
        </w:rPr>
        <w:t>Recent Accounting Pronouncemen</w:t>
      </w:r>
      <w:r>
        <w:rPr>
          <w:u w:val="single"/>
        </w:rPr>
        <w:t>ts</w:t>
      </w:r>
    </w:p>
    <w:p w14:paraId="7326C0E2" w14:textId="77777777" w:rsidR="00EF3DFB" w:rsidRDefault="00EF3DFB">
      <w:pPr>
        <w:pStyle w:val="BodyText"/>
        <w:spacing w:before="1"/>
        <w:rPr>
          <w:b/>
          <w:sz w:val="14"/>
        </w:rPr>
      </w:pPr>
    </w:p>
    <w:p w14:paraId="7326C0E3" w14:textId="77777777" w:rsidR="00EF3DFB" w:rsidRDefault="00D27C17">
      <w:pPr>
        <w:pStyle w:val="BodyText"/>
        <w:spacing w:before="91"/>
        <w:ind w:left="190"/>
      </w:pPr>
      <w:r>
        <w:t xml:space="preserve">A summary of recent accounting pronouncements is included in Footnote 1 </w:t>
      </w:r>
      <w:r>
        <w:rPr>
          <w:color w:val="202528"/>
        </w:rPr>
        <w:t>of the Notes to Consolidated Financial Statements.</w:t>
      </w:r>
    </w:p>
    <w:p w14:paraId="7326C0E4" w14:textId="77777777" w:rsidR="00EF3DFB" w:rsidRDefault="00EF3DFB">
      <w:pPr>
        <w:sectPr w:rsidR="00EF3DFB">
          <w:pgSz w:w="12240" w:h="15840"/>
          <w:pgMar w:top="600" w:right="640" w:bottom="480" w:left="620" w:header="0" w:footer="291" w:gutter="0"/>
          <w:cols w:space="720"/>
        </w:sectPr>
      </w:pPr>
    </w:p>
    <w:p w14:paraId="7326C0E5" w14:textId="77777777" w:rsidR="00EF3DFB" w:rsidRDefault="00D27C17">
      <w:pPr>
        <w:pStyle w:val="Heading2"/>
        <w:spacing w:before="68"/>
        <w:jc w:val="left"/>
      </w:pPr>
      <w:bookmarkStart w:id="36" w:name="International_Operations"/>
      <w:bookmarkEnd w:id="36"/>
      <w:r>
        <w:rPr>
          <w:u w:val="single"/>
        </w:rPr>
        <w:lastRenderedPageBreak/>
        <w:t>International Operations</w:t>
      </w:r>
    </w:p>
    <w:p w14:paraId="7326C0E6" w14:textId="77777777" w:rsidR="00EF3DFB" w:rsidRDefault="00EF3DFB">
      <w:pPr>
        <w:pStyle w:val="BodyText"/>
        <w:spacing w:before="1"/>
        <w:rPr>
          <w:b/>
          <w:sz w:val="14"/>
        </w:rPr>
      </w:pPr>
    </w:p>
    <w:p w14:paraId="7326C0E7" w14:textId="77777777" w:rsidR="00EF3DFB" w:rsidRDefault="00D27C17">
      <w:pPr>
        <w:spacing w:before="92" w:line="249" w:lineRule="auto"/>
        <w:ind w:left="190" w:right="169"/>
        <w:jc w:val="both"/>
        <w:rPr>
          <w:sz w:val="20"/>
        </w:rPr>
      </w:pPr>
      <w:r>
        <w:rPr>
          <w:sz w:val="20"/>
        </w:rPr>
        <w:t>For 2020, 2019 and 2018, the Company’s non-U.S. businesses accounted for approximately 33</w:t>
      </w:r>
      <w:r>
        <w:rPr>
          <w:sz w:val="20"/>
        </w:rPr>
        <w:t xml:space="preserve">% of net sales (see </w:t>
      </w:r>
      <w:r>
        <w:rPr>
          <w:i/>
          <w:sz w:val="20"/>
        </w:rPr>
        <w:t>Footnote 17 of the Notes to Consolidated Financial Statements</w:t>
      </w:r>
      <w:r>
        <w:rPr>
          <w:sz w:val="20"/>
        </w:rPr>
        <w:t>).</w:t>
      </w:r>
    </w:p>
    <w:p w14:paraId="7326C0E8" w14:textId="77777777" w:rsidR="00EF3DFB" w:rsidRDefault="00EF3DFB">
      <w:pPr>
        <w:pStyle w:val="BodyText"/>
        <w:spacing w:before="1"/>
        <w:rPr>
          <w:sz w:val="31"/>
        </w:rPr>
      </w:pPr>
    </w:p>
    <w:p w14:paraId="7326C0E9" w14:textId="77777777" w:rsidR="00EF3DFB" w:rsidRDefault="00D27C17">
      <w:pPr>
        <w:pStyle w:val="Heading2"/>
        <w:spacing w:before="1"/>
        <w:jc w:val="left"/>
      </w:pPr>
      <w:bookmarkStart w:id="37" w:name="Forward-Looking_Statements"/>
      <w:bookmarkEnd w:id="37"/>
      <w:r>
        <w:rPr>
          <w:u w:val="single"/>
        </w:rPr>
        <w:t>Forward-Looking Statements</w:t>
      </w:r>
    </w:p>
    <w:p w14:paraId="7326C0EA" w14:textId="77777777" w:rsidR="00EF3DFB" w:rsidRDefault="00D27C17">
      <w:pPr>
        <w:pStyle w:val="BodyText"/>
        <w:spacing w:before="133" w:line="249" w:lineRule="auto"/>
        <w:ind w:left="190" w:right="167"/>
        <w:jc w:val="both"/>
      </w:pPr>
      <w:r>
        <w:t>Forward-looking statements in this Report are made in reliance upon the safe harbor provisions of the Private Securities Litigation Reform Act of 1995. These statements generally can be identified by the use of words such as “intend,” “anticipate,” “believ</w:t>
      </w:r>
      <w:r>
        <w:t>e,” “estimate,” “project,” “target,” “plan,” “expect,” "setting up," "beginning to," “will,” “should,” “would,” "resume," "are confident that," "remain optimistic that" or similar statements. The Company cautions that forward-looking statements are not gua</w:t>
      </w:r>
      <w:r>
        <w:t>rantees because there are inherent difficulties in predicting future results. Actual results may differ materially from those expressed or implied in the forward-looking statements. Important factors that could cause actual results to differ materially fro</w:t>
      </w:r>
      <w:r>
        <w:t>m those suggested by the forward-looking statements include, but are not limited to:</w:t>
      </w:r>
    </w:p>
    <w:p w14:paraId="7326C0EB" w14:textId="77777777" w:rsidR="00EF3DFB" w:rsidRDefault="00D27C17">
      <w:pPr>
        <w:pStyle w:val="ListParagraph"/>
        <w:numPr>
          <w:ilvl w:val="1"/>
          <w:numId w:val="26"/>
        </w:numPr>
        <w:tabs>
          <w:tab w:val="left" w:pos="909"/>
          <w:tab w:val="left" w:pos="910"/>
        </w:tabs>
        <w:spacing w:before="66" w:line="249" w:lineRule="auto"/>
        <w:ind w:right="168"/>
        <w:rPr>
          <w:sz w:val="20"/>
        </w:rPr>
      </w:pPr>
      <w:r>
        <w:rPr>
          <w:sz w:val="20"/>
        </w:rPr>
        <w:t>the Company's ability to manage the demand, supply and operational challenges with the actual or perceived effects of the COVID-19</w:t>
      </w:r>
      <w:r>
        <w:rPr>
          <w:spacing w:val="-1"/>
          <w:sz w:val="20"/>
        </w:rPr>
        <w:t xml:space="preserve"> </w:t>
      </w:r>
      <w:r>
        <w:rPr>
          <w:sz w:val="20"/>
        </w:rPr>
        <w:t>pandemic;</w:t>
      </w:r>
    </w:p>
    <w:p w14:paraId="7326C0EC" w14:textId="77777777" w:rsidR="00EF3DFB" w:rsidRDefault="00D27C17">
      <w:pPr>
        <w:pStyle w:val="ListParagraph"/>
        <w:numPr>
          <w:ilvl w:val="1"/>
          <w:numId w:val="26"/>
        </w:numPr>
        <w:tabs>
          <w:tab w:val="left" w:pos="909"/>
          <w:tab w:val="left" w:pos="910"/>
        </w:tabs>
        <w:spacing w:before="61" w:line="249" w:lineRule="auto"/>
        <w:ind w:right="167"/>
        <w:rPr>
          <w:sz w:val="20"/>
        </w:rPr>
      </w:pPr>
      <w:r>
        <w:rPr>
          <w:sz w:val="20"/>
        </w:rPr>
        <w:t>the Company’s dependence on th</w:t>
      </w:r>
      <w:r>
        <w:rPr>
          <w:sz w:val="20"/>
        </w:rPr>
        <w:t>e strength of retail, commercial and industrial sectors of the economy in various parts of the</w:t>
      </w:r>
      <w:r>
        <w:rPr>
          <w:spacing w:val="-2"/>
          <w:sz w:val="20"/>
        </w:rPr>
        <w:t xml:space="preserve"> </w:t>
      </w:r>
      <w:r>
        <w:rPr>
          <w:sz w:val="20"/>
        </w:rPr>
        <w:t>world;</w:t>
      </w:r>
    </w:p>
    <w:p w14:paraId="7326C0ED" w14:textId="77777777" w:rsidR="00EF3DFB" w:rsidRDefault="00D27C17">
      <w:pPr>
        <w:pStyle w:val="ListParagraph"/>
        <w:numPr>
          <w:ilvl w:val="1"/>
          <w:numId w:val="26"/>
        </w:numPr>
        <w:tabs>
          <w:tab w:val="left" w:pos="909"/>
          <w:tab w:val="left" w:pos="910"/>
        </w:tabs>
        <w:spacing w:before="62"/>
        <w:rPr>
          <w:sz w:val="20"/>
        </w:rPr>
      </w:pPr>
      <w:r>
        <w:rPr>
          <w:sz w:val="20"/>
        </w:rPr>
        <w:t>competition with other manufacturers and distributors of consumer</w:t>
      </w:r>
      <w:r>
        <w:rPr>
          <w:spacing w:val="-5"/>
          <w:sz w:val="20"/>
        </w:rPr>
        <w:t xml:space="preserve"> </w:t>
      </w:r>
      <w:r>
        <w:rPr>
          <w:sz w:val="20"/>
        </w:rPr>
        <w:t>products;</w:t>
      </w:r>
    </w:p>
    <w:p w14:paraId="7326C0EE" w14:textId="77777777" w:rsidR="00EF3DFB" w:rsidRDefault="00D27C17">
      <w:pPr>
        <w:pStyle w:val="ListParagraph"/>
        <w:numPr>
          <w:ilvl w:val="1"/>
          <w:numId w:val="26"/>
        </w:numPr>
        <w:tabs>
          <w:tab w:val="left" w:pos="909"/>
          <w:tab w:val="left" w:pos="910"/>
        </w:tabs>
        <w:spacing w:before="70"/>
        <w:rPr>
          <w:sz w:val="20"/>
        </w:rPr>
      </w:pPr>
      <w:r>
        <w:rPr>
          <w:sz w:val="20"/>
        </w:rPr>
        <w:t>major retailers’ strong bargaining power and consolidation of the Company’s</w:t>
      </w:r>
      <w:r>
        <w:rPr>
          <w:spacing w:val="-8"/>
          <w:sz w:val="20"/>
        </w:rPr>
        <w:t xml:space="preserve"> </w:t>
      </w:r>
      <w:r>
        <w:rPr>
          <w:sz w:val="20"/>
        </w:rPr>
        <w:t>cu</w:t>
      </w:r>
      <w:r>
        <w:rPr>
          <w:sz w:val="20"/>
        </w:rPr>
        <w:t>stomers;</w:t>
      </w:r>
    </w:p>
    <w:p w14:paraId="7326C0EF" w14:textId="77777777" w:rsidR="00EF3DFB" w:rsidRDefault="00D27C17">
      <w:pPr>
        <w:pStyle w:val="ListParagraph"/>
        <w:numPr>
          <w:ilvl w:val="1"/>
          <w:numId w:val="26"/>
        </w:numPr>
        <w:tabs>
          <w:tab w:val="left" w:pos="909"/>
          <w:tab w:val="left" w:pos="910"/>
        </w:tabs>
        <w:spacing w:before="70"/>
        <w:rPr>
          <w:sz w:val="20"/>
        </w:rPr>
      </w:pPr>
      <w:r>
        <w:rPr>
          <w:sz w:val="20"/>
        </w:rPr>
        <w:t>the Company’s ability to improve productivity, reduce complexity and streamline</w:t>
      </w:r>
      <w:r>
        <w:rPr>
          <w:spacing w:val="-11"/>
          <w:sz w:val="20"/>
        </w:rPr>
        <w:t xml:space="preserve"> </w:t>
      </w:r>
      <w:r>
        <w:rPr>
          <w:sz w:val="20"/>
        </w:rPr>
        <w:t>operations;</w:t>
      </w:r>
    </w:p>
    <w:p w14:paraId="7326C0F0" w14:textId="77777777" w:rsidR="00EF3DFB" w:rsidRDefault="00D27C17">
      <w:pPr>
        <w:pStyle w:val="ListParagraph"/>
        <w:numPr>
          <w:ilvl w:val="1"/>
          <w:numId w:val="26"/>
        </w:numPr>
        <w:tabs>
          <w:tab w:val="left" w:pos="909"/>
          <w:tab w:val="left" w:pos="910"/>
        </w:tabs>
        <w:spacing w:before="70" w:line="249" w:lineRule="auto"/>
        <w:ind w:right="169"/>
        <w:rPr>
          <w:sz w:val="20"/>
        </w:rPr>
      </w:pPr>
      <w:r>
        <w:rPr>
          <w:sz w:val="20"/>
        </w:rPr>
        <w:t>the Company’s ability to develop innovative new products, to develop, maintain and strengthen end-user brands and to realize the benefits of increased adve</w:t>
      </w:r>
      <w:r>
        <w:rPr>
          <w:sz w:val="20"/>
        </w:rPr>
        <w:t>rtising and promotion</w:t>
      </w:r>
      <w:r>
        <w:rPr>
          <w:spacing w:val="-6"/>
          <w:sz w:val="20"/>
        </w:rPr>
        <w:t xml:space="preserve"> </w:t>
      </w:r>
      <w:r>
        <w:rPr>
          <w:sz w:val="20"/>
        </w:rPr>
        <w:t>spend;</w:t>
      </w:r>
    </w:p>
    <w:p w14:paraId="7326C0F1" w14:textId="77777777" w:rsidR="00EF3DFB" w:rsidRDefault="00D27C17">
      <w:pPr>
        <w:pStyle w:val="ListParagraph"/>
        <w:numPr>
          <w:ilvl w:val="1"/>
          <w:numId w:val="26"/>
        </w:numPr>
        <w:tabs>
          <w:tab w:val="left" w:pos="909"/>
          <w:tab w:val="left" w:pos="910"/>
        </w:tabs>
        <w:spacing w:before="62" w:line="249" w:lineRule="auto"/>
        <w:ind w:right="168"/>
        <w:rPr>
          <w:sz w:val="20"/>
        </w:rPr>
      </w:pPr>
      <w:r>
        <w:rPr>
          <w:sz w:val="20"/>
        </w:rPr>
        <w:t>the Company's ability to successfully remediate its material weakness in internal control over financial reporting and to maintain effective internal control over financial</w:t>
      </w:r>
      <w:r>
        <w:rPr>
          <w:spacing w:val="-6"/>
          <w:sz w:val="20"/>
        </w:rPr>
        <w:t xml:space="preserve"> </w:t>
      </w:r>
      <w:r>
        <w:rPr>
          <w:sz w:val="20"/>
        </w:rPr>
        <w:t>reporting;</w:t>
      </w:r>
    </w:p>
    <w:p w14:paraId="7326C0F2" w14:textId="77777777" w:rsidR="00EF3DFB" w:rsidRDefault="00D27C17">
      <w:pPr>
        <w:pStyle w:val="ListParagraph"/>
        <w:numPr>
          <w:ilvl w:val="1"/>
          <w:numId w:val="26"/>
        </w:numPr>
        <w:tabs>
          <w:tab w:val="left" w:pos="909"/>
          <w:tab w:val="left" w:pos="910"/>
        </w:tabs>
        <w:spacing w:before="61"/>
        <w:ind w:right="170"/>
        <w:rPr>
          <w:sz w:val="20"/>
        </w:rPr>
      </w:pPr>
      <w:r>
        <w:rPr>
          <w:sz w:val="20"/>
        </w:rPr>
        <w:t>risks related to the Company’s substantial indebtedness, potential incre</w:t>
      </w:r>
      <w:r>
        <w:rPr>
          <w:sz w:val="20"/>
        </w:rPr>
        <w:t>ases in interest rates or changes in the Company’s credit</w:t>
      </w:r>
      <w:r>
        <w:rPr>
          <w:spacing w:val="-2"/>
          <w:sz w:val="20"/>
        </w:rPr>
        <w:t xml:space="preserve"> </w:t>
      </w:r>
      <w:r>
        <w:rPr>
          <w:sz w:val="20"/>
        </w:rPr>
        <w:t>ratings;</w:t>
      </w:r>
    </w:p>
    <w:p w14:paraId="7326C0F3" w14:textId="77777777" w:rsidR="00EF3DFB" w:rsidRDefault="00D27C17">
      <w:pPr>
        <w:pStyle w:val="ListParagraph"/>
        <w:numPr>
          <w:ilvl w:val="1"/>
          <w:numId w:val="26"/>
        </w:numPr>
        <w:tabs>
          <w:tab w:val="left" w:pos="909"/>
          <w:tab w:val="left" w:pos="910"/>
        </w:tabs>
        <w:spacing w:before="60" w:line="249" w:lineRule="auto"/>
        <w:ind w:right="168"/>
        <w:rPr>
          <w:sz w:val="20"/>
        </w:rPr>
      </w:pPr>
      <w:r>
        <w:rPr>
          <w:sz w:val="20"/>
        </w:rPr>
        <w:t>future events that could adversely affect the value of the Company’s assets and/or stock price and require additional impairment</w:t>
      </w:r>
      <w:r>
        <w:rPr>
          <w:spacing w:val="-2"/>
          <w:sz w:val="20"/>
        </w:rPr>
        <w:t xml:space="preserve"> </w:t>
      </w:r>
      <w:r>
        <w:rPr>
          <w:sz w:val="20"/>
        </w:rPr>
        <w:t>charges;</w:t>
      </w:r>
    </w:p>
    <w:p w14:paraId="7326C0F4" w14:textId="77777777" w:rsidR="00EF3DFB" w:rsidRDefault="00D27C17">
      <w:pPr>
        <w:pStyle w:val="ListParagraph"/>
        <w:numPr>
          <w:ilvl w:val="1"/>
          <w:numId w:val="26"/>
        </w:numPr>
        <w:tabs>
          <w:tab w:val="left" w:pos="909"/>
          <w:tab w:val="left" w:pos="910"/>
        </w:tabs>
        <w:spacing w:before="62"/>
        <w:rPr>
          <w:sz w:val="20"/>
        </w:rPr>
      </w:pPr>
      <w:r>
        <w:rPr>
          <w:sz w:val="20"/>
        </w:rPr>
        <w:t>the impact of cost associated with acquisition and</w:t>
      </w:r>
      <w:r>
        <w:rPr>
          <w:spacing w:val="-6"/>
          <w:sz w:val="20"/>
        </w:rPr>
        <w:t xml:space="preserve"> </w:t>
      </w:r>
      <w:r>
        <w:rPr>
          <w:sz w:val="20"/>
        </w:rPr>
        <w:t>divestitures;</w:t>
      </w:r>
    </w:p>
    <w:p w14:paraId="7326C0F5" w14:textId="77777777" w:rsidR="00EF3DFB" w:rsidRDefault="00D27C17">
      <w:pPr>
        <w:pStyle w:val="ListParagraph"/>
        <w:numPr>
          <w:ilvl w:val="1"/>
          <w:numId w:val="26"/>
        </w:numPr>
        <w:tabs>
          <w:tab w:val="left" w:pos="909"/>
          <w:tab w:val="left" w:pos="910"/>
        </w:tabs>
        <w:spacing w:before="70"/>
        <w:rPr>
          <w:sz w:val="20"/>
        </w:rPr>
      </w:pPr>
      <w:r>
        <w:rPr>
          <w:sz w:val="20"/>
        </w:rPr>
        <w:t>our ability to effectively execute our turnaround</w:t>
      </w:r>
      <w:r>
        <w:rPr>
          <w:spacing w:val="-3"/>
          <w:sz w:val="20"/>
        </w:rPr>
        <w:t xml:space="preserve"> </w:t>
      </w:r>
      <w:r>
        <w:rPr>
          <w:sz w:val="20"/>
        </w:rPr>
        <w:t>pla</w:t>
      </w:r>
      <w:r>
        <w:rPr>
          <w:sz w:val="20"/>
        </w:rPr>
        <w:t>n;</w:t>
      </w:r>
    </w:p>
    <w:p w14:paraId="7326C0F6" w14:textId="77777777" w:rsidR="00EF3DFB" w:rsidRDefault="00D27C17">
      <w:pPr>
        <w:pStyle w:val="ListParagraph"/>
        <w:numPr>
          <w:ilvl w:val="1"/>
          <w:numId w:val="26"/>
        </w:numPr>
        <w:tabs>
          <w:tab w:val="left" w:pos="909"/>
          <w:tab w:val="left" w:pos="910"/>
        </w:tabs>
        <w:spacing w:before="70" w:line="249" w:lineRule="auto"/>
        <w:ind w:right="168"/>
        <w:rPr>
          <w:sz w:val="20"/>
        </w:rPr>
      </w:pPr>
      <w:r>
        <w:rPr>
          <w:sz w:val="20"/>
        </w:rPr>
        <w:t>changes in the prices of raw materials and sourced products and the Company's ability to obtain raw materials and sourced products in a timely</w:t>
      </w:r>
      <w:r>
        <w:rPr>
          <w:spacing w:val="-3"/>
          <w:sz w:val="20"/>
        </w:rPr>
        <w:t xml:space="preserve"> </w:t>
      </w:r>
      <w:r>
        <w:rPr>
          <w:sz w:val="20"/>
        </w:rPr>
        <w:t>manner;</w:t>
      </w:r>
    </w:p>
    <w:p w14:paraId="7326C0F7" w14:textId="77777777" w:rsidR="00EF3DFB" w:rsidRDefault="00D27C17">
      <w:pPr>
        <w:pStyle w:val="ListParagraph"/>
        <w:numPr>
          <w:ilvl w:val="1"/>
          <w:numId w:val="26"/>
        </w:numPr>
        <w:tabs>
          <w:tab w:val="left" w:pos="909"/>
          <w:tab w:val="left" w:pos="910"/>
        </w:tabs>
        <w:spacing w:before="62" w:line="249" w:lineRule="auto"/>
        <w:ind w:right="169"/>
        <w:rPr>
          <w:sz w:val="20"/>
        </w:rPr>
      </w:pPr>
      <w:r>
        <w:rPr>
          <w:sz w:val="20"/>
        </w:rPr>
        <w:t>the impact of governmental investigation, inspections, lawsuits, legislation requests or other actions</w:t>
      </w:r>
      <w:r>
        <w:rPr>
          <w:sz w:val="20"/>
        </w:rPr>
        <w:t xml:space="preserve"> or other activities by third</w:t>
      </w:r>
      <w:r>
        <w:rPr>
          <w:spacing w:val="-1"/>
          <w:sz w:val="20"/>
        </w:rPr>
        <w:t xml:space="preserve"> </w:t>
      </w:r>
      <w:r>
        <w:rPr>
          <w:sz w:val="20"/>
        </w:rPr>
        <w:t>parties;</w:t>
      </w:r>
    </w:p>
    <w:p w14:paraId="7326C0F8" w14:textId="77777777" w:rsidR="00EF3DFB" w:rsidRDefault="00D27C17">
      <w:pPr>
        <w:pStyle w:val="ListParagraph"/>
        <w:numPr>
          <w:ilvl w:val="1"/>
          <w:numId w:val="26"/>
        </w:numPr>
        <w:tabs>
          <w:tab w:val="left" w:pos="909"/>
          <w:tab w:val="left" w:pos="910"/>
        </w:tabs>
        <w:spacing w:before="61" w:line="249" w:lineRule="auto"/>
        <w:ind w:right="170"/>
        <w:rPr>
          <w:sz w:val="20"/>
        </w:rPr>
      </w:pPr>
      <w:r>
        <w:rPr>
          <w:sz w:val="20"/>
        </w:rPr>
        <w:t>the risks inherent to the Company’s foreign operations, including currency fluctuations, exchange controls and pricing restrictions;</w:t>
      </w:r>
    </w:p>
    <w:p w14:paraId="7326C0F9" w14:textId="77777777" w:rsidR="00EF3DFB" w:rsidRDefault="00D27C17">
      <w:pPr>
        <w:pStyle w:val="ListParagraph"/>
        <w:numPr>
          <w:ilvl w:val="1"/>
          <w:numId w:val="26"/>
        </w:numPr>
        <w:tabs>
          <w:tab w:val="left" w:pos="909"/>
          <w:tab w:val="left" w:pos="910"/>
        </w:tabs>
        <w:spacing w:before="62" w:line="249" w:lineRule="auto"/>
        <w:ind w:right="170"/>
        <w:rPr>
          <w:sz w:val="20"/>
        </w:rPr>
      </w:pPr>
      <w:r>
        <w:rPr>
          <w:sz w:val="20"/>
        </w:rPr>
        <w:t>a failure of one of the Company’s key information technology systems, networks, proc</w:t>
      </w:r>
      <w:r>
        <w:rPr>
          <w:sz w:val="20"/>
        </w:rPr>
        <w:t>esses or related controls or those of the Company’s services</w:t>
      </w:r>
      <w:r>
        <w:rPr>
          <w:spacing w:val="-4"/>
          <w:sz w:val="20"/>
        </w:rPr>
        <w:t xml:space="preserve"> </w:t>
      </w:r>
      <w:r>
        <w:rPr>
          <w:sz w:val="20"/>
        </w:rPr>
        <w:t>providers;</w:t>
      </w:r>
    </w:p>
    <w:p w14:paraId="7326C0FA" w14:textId="77777777" w:rsidR="00EF3DFB" w:rsidRDefault="00D27C17">
      <w:pPr>
        <w:pStyle w:val="ListParagraph"/>
        <w:numPr>
          <w:ilvl w:val="1"/>
          <w:numId w:val="26"/>
        </w:numPr>
        <w:tabs>
          <w:tab w:val="left" w:pos="909"/>
          <w:tab w:val="left" w:pos="910"/>
        </w:tabs>
        <w:spacing w:before="61" w:line="249" w:lineRule="auto"/>
        <w:ind w:right="168"/>
        <w:rPr>
          <w:sz w:val="20"/>
        </w:rPr>
      </w:pPr>
      <w:r>
        <w:rPr>
          <w:sz w:val="20"/>
        </w:rPr>
        <w:t>the impact of United States or foreign regulations on the Company’s operations, including the impact of tariffs and environmental remediation</w:t>
      </w:r>
      <w:r>
        <w:rPr>
          <w:spacing w:val="-2"/>
          <w:sz w:val="20"/>
        </w:rPr>
        <w:t xml:space="preserve"> </w:t>
      </w:r>
      <w:r>
        <w:rPr>
          <w:sz w:val="20"/>
        </w:rPr>
        <w:t>costs;</w:t>
      </w:r>
    </w:p>
    <w:p w14:paraId="7326C0FB" w14:textId="77777777" w:rsidR="00EF3DFB" w:rsidRDefault="00D27C17">
      <w:pPr>
        <w:pStyle w:val="ListParagraph"/>
        <w:numPr>
          <w:ilvl w:val="1"/>
          <w:numId w:val="26"/>
        </w:numPr>
        <w:tabs>
          <w:tab w:val="left" w:pos="909"/>
          <w:tab w:val="left" w:pos="910"/>
        </w:tabs>
        <w:spacing w:before="62"/>
        <w:rPr>
          <w:sz w:val="20"/>
        </w:rPr>
      </w:pPr>
      <w:r>
        <w:rPr>
          <w:sz w:val="20"/>
        </w:rPr>
        <w:t>the potential inability to attract,</w:t>
      </w:r>
      <w:r>
        <w:rPr>
          <w:sz w:val="20"/>
        </w:rPr>
        <w:t xml:space="preserve"> retain and motivate key</w:t>
      </w:r>
      <w:r>
        <w:rPr>
          <w:spacing w:val="-7"/>
          <w:sz w:val="20"/>
        </w:rPr>
        <w:t xml:space="preserve"> </w:t>
      </w:r>
      <w:r>
        <w:rPr>
          <w:sz w:val="20"/>
        </w:rPr>
        <w:t>employees;</w:t>
      </w:r>
    </w:p>
    <w:p w14:paraId="7326C0FC" w14:textId="77777777" w:rsidR="00EF3DFB" w:rsidRDefault="00D27C17">
      <w:pPr>
        <w:pStyle w:val="ListParagraph"/>
        <w:numPr>
          <w:ilvl w:val="1"/>
          <w:numId w:val="26"/>
        </w:numPr>
        <w:tabs>
          <w:tab w:val="left" w:pos="909"/>
          <w:tab w:val="left" w:pos="910"/>
        </w:tabs>
        <w:spacing w:before="70"/>
        <w:rPr>
          <w:sz w:val="20"/>
        </w:rPr>
      </w:pPr>
      <w:r>
        <w:rPr>
          <w:sz w:val="20"/>
        </w:rPr>
        <w:t>the resolution of tax contingencies resulting in additional tax</w:t>
      </w:r>
      <w:r>
        <w:rPr>
          <w:spacing w:val="-7"/>
          <w:sz w:val="20"/>
        </w:rPr>
        <w:t xml:space="preserve"> </w:t>
      </w:r>
      <w:r>
        <w:rPr>
          <w:sz w:val="20"/>
        </w:rPr>
        <w:t>liabilities;</w:t>
      </w:r>
    </w:p>
    <w:p w14:paraId="7326C0FD" w14:textId="77777777" w:rsidR="00EF3DFB" w:rsidRDefault="00D27C17">
      <w:pPr>
        <w:pStyle w:val="ListParagraph"/>
        <w:numPr>
          <w:ilvl w:val="1"/>
          <w:numId w:val="26"/>
        </w:numPr>
        <w:tabs>
          <w:tab w:val="left" w:pos="909"/>
          <w:tab w:val="left" w:pos="910"/>
        </w:tabs>
        <w:spacing w:before="70"/>
        <w:rPr>
          <w:sz w:val="20"/>
        </w:rPr>
      </w:pPr>
      <w:r>
        <w:rPr>
          <w:sz w:val="20"/>
        </w:rPr>
        <w:t>product liability, product recalls or related regulatory</w:t>
      </w:r>
      <w:r>
        <w:rPr>
          <w:spacing w:val="-5"/>
          <w:sz w:val="20"/>
        </w:rPr>
        <w:t xml:space="preserve"> </w:t>
      </w:r>
      <w:r>
        <w:rPr>
          <w:sz w:val="20"/>
        </w:rPr>
        <w:t>actions;</w:t>
      </w:r>
    </w:p>
    <w:p w14:paraId="7326C0FE" w14:textId="77777777" w:rsidR="00EF3DFB" w:rsidRDefault="00D27C17">
      <w:pPr>
        <w:pStyle w:val="ListParagraph"/>
        <w:numPr>
          <w:ilvl w:val="1"/>
          <w:numId w:val="26"/>
        </w:numPr>
        <w:tabs>
          <w:tab w:val="left" w:pos="909"/>
          <w:tab w:val="left" w:pos="910"/>
        </w:tabs>
        <w:spacing w:before="70"/>
        <w:rPr>
          <w:sz w:val="20"/>
        </w:rPr>
      </w:pPr>
      <w:r>
        <w:rPr>
          <w:sz w:val="20"/>
        </w:rPr>
        <w:t>the Company’s ability to protect its intellectual property rights;</w:t>
      </w:r>
      <w:r>
        <w:rPr>
          <w:spacing w:val="-9"/>
          <w:sz w:val="20"/>
        </w:rPr>
        <w:t xml:space="preserve"> </w:t>
      </w:r>
      <w:r>
        <w:rPr>
          <w:sz w:val="20"/>
        </w:rPr>
        <w:t>and</w:t>
      </w:r>
    </w:p>
    <w:p w14:paraId="7326C0FF" w14:textId="77777777" w:rsidR="00EF3DFB" w:rsidRDefault="00D27C17">
      <w:pPr>
        <w:pStyle w:val="ListParagraph"/>
        <w:numPr>
          <w:ilvl w:val="1"/>
          <w:numId w:val="26"/>
        </w:numPr>
        <w:tabs>
          <w:tab w:val="left" w:pos="909"/>
          <w:tab w:val="left" w:pos="910"/>
        </w:tabs>
        <w:spacing w:before="70"/>
        <w:rPr>
          <w:sz w:val="20"/>
        </w:rPr>
      </w:pPr>
      <w:r>
        <w:rPr>
          <w:sz w:val="20"/>
        </w:rPr>
        <w:t>significant increases in the funding obligations related to the Company’s pension</w:t>
      </w:r>
      <w:r>
        <w:rPr>
          <w:spacing w:val="-12"/>
          <w:sz w:val="20"/>
        </w:rPr>
        <w:t xml:space="preserve"> </w:t>
      </w:r>
      <w:r>
        <w:rPr>
          <w:sz w:val="20"/>
        </w:rPr>
        <w:t>plans.</w:t>
      </w:r>
    </w:p>
    <w:p w14:paraId="7326C100" w14:textId="77777777" w:rsidR="00EF3DFB" w:rsidRDefault="00EF3DFB">
      <w:pPr>
        <w:pStyle w:val="BodyText"/>
        <w:spacing w:before="9"/>
        <w:rPr>
          <w:sz w:val="21"/>
        </w:rPr>
      </w:pPr>
    </w:p>
    <w:p w14:paraId="7326C101" w14:textId="77777777" w:rsidR="00EF3DFB" w:rsidRDefault="00D27C17">
      <w:pPr>
        <w:pStyle w:val="BodyText"/>
        <w:spacing w:line="249" w:lineRule="auto"/>
        <w:ind w:left="190" w:right="167"/>
        <w:jc w:val="both"/>
      </w:pPr>
      <w:r>
        <w:t>The information contained in this Annual Report on Form 10-K is as of the date indicated. The Company assumes no obligation to update any forward-looking statements c</w:t>
      </w:r>
      <w:r>
        <w:t xml:space="preserve">ontained in this Annual Report on Form 10-K as a result of new information or future events or developments. In addition, there can be no assurance that the Company has correctly identified and assessed all of the factors affecting the Company or that the </w:t>
      </w:r>
      <w:r>
        <w:t>publicly available and other information the Company receives with respect to these factors is complete or</w:t>
      </w:r>
      <w:r>
        <w:rPr>
          <w:spacing w:val="-4"/>
        </w:rPr>
        <w:t xml:space="preserve"> </w:t>
      </w:r>
      <w:r>
        <w:t>correct.</w:t>
      </w:r>
    </w:p>
    <w:p w14:paraId="7326C102" w14:textId="77777777" w:rsidR="00EF3DFB" w:rsidRDefault="00EF3DFB">
      <w:pPr>
        <w:spacing w:line="249" w:lineRule="auto"/>
        <w:jc w:val="both"/>
        <w:sectPr w:rsidR="00EF3DFB">
          <w:pgSz w:w="12240" w:h="15840"/>
          <w:pgMar w:top="600" w:right="640" w:bottom="480" w:left="620" w:header="0" w:footer="291" w:gutter="0"/>
          <w:cols w:space="720"/>
        </w:sectPr>
      </w:pPr>
    </w:p>
    <w:p w14:paraId="7326C103" w14:textId="77777777" w:rsidR="00EF3DFB" w:rsidRDefault="00D27C17">
      <w:pPr>
        <w:pStyle w:val="Heading2"/>
        <w:spacing w:before="68"/>
        <w:jc w:val="left"/>
      </w:pPr>
      <w:bookmarkStart w:id="38" w:name="Item_7A._Quantitative_and_Qualitative_Di"/>
      <w:bookmarkStart w:id="39" w:name="_bookmark12"/>
      <w:bookmarkEnd w:id="38"/>
      <w:bookmarkEnd w:id="39"/>
      <w:r>
        <w:lastRenderedPageBreak/>
        <w:t>ITEM 7A. QUANTITATIVE AND QUALITATIVE DISCLOSURES ABOUT MARKET RISK</w:t>
      </w:r>
    </w:p>
    <w:p w14:paraId="7326C104" w14:textId="77777777" w:rsidR="00EF3DFB" w:rsidRDefault="00EF3DFB">
      <w:pPr>
        <w:pStyle w:val="BodyText"/>
        <w:spacing w:before="9"/>
        <w:rPr>
          <w:b/>
          <w:sz w:val="21"/>
        </w:rPr>
      </w:pPr>
    </w:p>
    <w:p w14:paraId="7326C105" w14:textId="77777777" w:rsidR="00EF3DFB" w:rsidRDefault="00D27C17">
      <w:pPr>
        <w:ind w:left="190"/>
        <w:rPr>
          <w:b/>
          <w:sz w:val="20"/>
        </w:rPr>
      </w:pPr>
      <w:r>
        <w:rPr>
          <w:b/>
          <w:sz w:val="20"/>
        </w:rPr>
        <w:t>Market Risk</w:t>
      </w:r>
    </w:p>
    <w:p w14:paraId="7326C106" w14:textId="77777777" w:rsidR="00EF3DFB" w:rsidRDefault="00EF3DFB">
      <w:pPr>
        <w:pStyle w:val="BodyText"/>
        <w:rPr>
          <w:b/>
          <w:sz w:val="22"/>
        </w:rPr>
      </w:pPr>
    </w:p>
    <w:p w14:paraId="7326C107" w14:textId="77777777" w:rsidR="00EF3DFB" w:rsidRDefault="00D27C17">
      <w:pPr>
        <w:pStyle w:val="BodyText"/>
        <w:spacing w:line="249" w:lineRule="auto"/>
        <w:ind w:left="190" w:right="168"/>
        <w:jc w:val="both"/>
      </w:pPr>
      <w:r>
        <w:t>In general, business enterprises can be exposed to market risks including fluctuations in interest rates, foreign currency exchange rates and certain commodity prices, and that can affect the cost of operating, investing and financing under those condition</w:t>
      </w:r>
      <w:r>
        <w:t>s. The Company believes it has moderate exposure to these risks. The Company assesses market risk based on changes in interest rates, foreign currency rates and commodity prices utilizing a sensitivity analysis that measures the potential loss in earnings,</w:t>
      </w:r>
      <w:r>
        <w:t xml:space="preserve"> fair values and cash flows based on hypothetical changes in rates and prices.</w:t>
      </w:r>
    </w:p>
    <w:p w14:paraId="7326C108" w14:textId="77777777" w:rsidR="00EF3DFB" w:rsidRDefault="00EF3DFB">
      <w:pPr>
        <w:pStyle w:val="BodyText"/>
        <w:spacing w:before="3"/>
        <w:rPr>
          <w:sz w:val="21"/>
        </w:rPr>
      </w:pPr>
    </w:p>
    <w:p w14:paraId="7326C109" w14:textId="77777777" w:rsidR="00EF3DFB" w:rsidRDefault="00D27C17">
      <w:pPr>
        <w:pStyle w:val="BodyText"/>
        <w:spacing w:line="249" w:lineRule="auto"/>
        <w:ind w:left="190" w:right="168"/>
        <w:jc w:val="both"/>
      </w:pPr>
      <w:r>
        <w:t>The Company is exposed to interest rate risk on its variable rate debt and price risk on its fixed rate debt. As such, the Company monitors the interest rate environment and us</w:t>
      </w:r>
      <w:r>
        <w:t>es interest rate swap agreements to manage its interest rate risk and price risk by balancing its exposure to fixed and variable interest rates while attempting to minimize interest costs. At December 31, 2020, approximately $100 million of the Company’s d</w:t>
      </w:r>
      <w:r>
        <w:t>ebt carries a variable rate of interest either by nature or through the use of interest rate swaps. The remainder of the debt (approximately $5.5 billion) carries a fixed rate of interest. Based upon the Company’s debt structure at December 31, 2020, a hyp</w:t>
      </w:r>
      <w:r>
        <w:t>othetical 1% increase in these interest rates would increase interest expense by approximately</w:t>
      </w:r>
    </w:p>
    <w:p w14:paraId="7326C10A" w14:textId="77777777" w:rsidR="00EF3DFB" w:rsidRDefault="00D27C17">
      <w:pPr>
        <w:pStyle w:val="BodyText"/>
        <w:spacing w:before="5"/>
        <w:ind w:left="190"/>
      </w:pPr>
      <w:r>
        <w:t>$1 million and decrease the fair value of debt by approximately $332 million.</w:t>
      </w:r>
    </w:p>
    <w:p w14:paraId="7326C10B" w14:textId="77777777" w:rsidR="00EF3DFB" w:rsidRDefault="00EF3DFB">
      <w:pPr>
        <w:pStyle w:val="BodyText"/>
        <w:spacing w:before="8"/>
        <w:rPr>
          <w:sz w:val="21"/>
        </w:rPr>
      </w:pPr>
    </w:p>
    <w:p w14:paraId="7326C10C" w14:textId="77777777" w:rsidR="00EF3DFB" w:rsidRDefault="00D27C17">
      <w:pPr>
        <w:pStyle w:val="BodyText"/>
        <w:spacing w:line="249" w:lineRule="auto"/>
        <w:ind w:left="190" w:right="168"/>
        <w:jc w:val="both"/>
      </w:pPr>
      <w:r>
        <w:t>While the Company transacts business predominantly in U.S. dollars and most of its</w:t>
      </w:r>
      <w:r>
        <w:t xml:space="preserve"> revenues are collected in U.S. dollars, a substantial portion of the Company’s operating costs are denominated in other currencies, such as the Brazilian Real, British Pound, Canadian dollar, European Euro, Japanese Yen and Mexican Peso. Changes in the re</w:t>
      </w:r>
      <w:r>
        <w:t>lation of these and other currencies to the U.S. dollar will affect Company’s sales and profitability and could result in exchange losses. For 2020, approximately 33% of the Company’s sales were denominated in foreign currencies, the most significant of wh</w:t>
      </w:r>
      <w:r>
        <w:t>ich were: European Euro, approximately 10%; Canadian dollar, approximately 4%; and British pounds, approximately 4%. The primary purpose of the Company’s foreign currency hedging activities is to mitigate the foreign exchange rate exposure on the cash flow</w:t>
      </w:r>
      <w:r>
        <w:t>s related to forecasted inventory purchases and sales. A hypothetical 10% change in foreign currency exchange rates would not have a material effect on foreign currency gains and losses related to the foreign currency derivatives or the net fair value of t</w:t>
      </w:r>
      <w:r>
        <w:t>he Company’s foreign currency derivatives.</w:t>
      </w:r>
    </w:p>
    <w:p w14:paraId="7326C10D" w14:textId="77777777" w:rsidR="00EF3DFB" w:rsidRDefault="00EF3DFB">
      <w:pPr>
        <w:pStyle w:val="BodyText"/>
        <w:spacing w:before="7"/>
        <w:rPr>
          <w:sz w:val="21"/>
        </w:rPr>
      </w:pPr>
    </w:p>
    <w:p w14:paraId="7326C10E" w14:textId="77777777" w:rsidR="00EF3DFB" w:rsidRDefault="00D27C17">
      <w:pPr>
        <w:pStyle w:val="BodyText"/>
        <w:spacing w:line="249" w:lineRule="auto"/>
        <w:ind w:left="190" w:right="168"/>
        <w:jc w:val="both"/>
      </w:pPr>
      <w:r>
        <w:t>The Company is exposed to the price risk that the rising cost of commodities has on certain of its raw materials. As such, the Company monitors the commodities markets and from time to time the Company enters int</w:t>
      </w:r>
      <w:r>
        <w:t xml:space="preserve">o commodity-based derivatives in order to mitigate the impact that the rising price of these commodities has on the cost of certain of the Company’s raw materials. A hypothetical 10% change in the commodity prices underlying the derivatives would not have </w:t>
      </w:r>
      <w:r>
        <w:t>a material effect on the related gains and losses included in the Company’s results of operations. In this sensitivity analysis, all other assumptions are constant and assumes that a change in one currency’s rate relative to the U.S. dollar would not impac</w:t>
      </w:r>
      <w:r>
        <w:t>t another currency’s rates relative to the U.S. dollar.</w:t>
      </w:r>
    </w:p>
    <w:p w14:paraId="7326C10F" w14:textId="77777777" w:rsidR="00EF3DFB" w:rsidRDefault="00EF3DFB">
      <w:pPr>
        <w:pStyle w:val="BodyText"/>
        <w:spacing w:before="4"/>
        <w:rPr>
          <w:sz w:val="21"/>
        </w:rPr>
      </w:pPr>
    </w:p>
    <w:p w14:paraId="7326C110" w14:textId="77777777" w:rsidR="00EF3DFB" w:rsidRDefault="00D27C17">
      <w:pPr>
        <w:pStyle w:val="BodyText"/>
        <w:spacing w:line="249" w:lineRule="auto"/>
        <w:ind w:left="190" w:right="168"/>
        <w:jc w:val="both"/>
      </w:pPr>
      <w:r>
        <w:t>The Company is exposed to credit loss in the event of non-performance by the counterparties to its derivative financial instruments, all of which are highly rated institutions; however, the Company d</w:t>
      </w:r>
      <w:r>
        <w:t>oes not anticipate non-performance by such counterparties.</w:t>
      </w:r>
    </w:p>
    <w:p w14:paraId="7326C111" w14:textId="77777777" w:rsidR="00EF3DFB" w:rsidRDefault="00EF3DFB">
      <w:pPr>
        <w:pStyle w:val="BodyText"/>
        <w:rPr>
          <w:sz w:val="21"/>
        </w:rPr>
      </w:pPr>
    </w:p>
    <w:p w14:paraId="7326C112" w14:textId="77777777" w:rsidR="00EF3DFB" w:rsidRDefault="00D27C17">
      <w:pPr>
        <w:pStyle w:val="BodyText"/>
        <w:ind w:left="190"/>
        <w:jc w:val="both"/>
      </w:pPr>
      <w:r>
        <w:t>The Company does not enter into derivative financial instruments for trading purposes.</w:t>
      </w:r>
    </w:p>
    <w:p w14:paraId="7326C113" w14:textId="77777777" w:rsidR="00EF3DFB" w:rsidRDefault="00EF3DFB">
      <w:pPr>
        <w:jc w:val="both"/>
        <w:sectPr w:rsidR="00EF3DFB">
          <w:pgSz w:w="12240" w:h="15840"/>
          <w:pgMar w:top="600" w:right="640" w:bottom="480" w:left="620" w:header="0" w:footer="291" w:gutter="0"/>
          <w:cols w:space="720"/>
        </w:sectPr>
      </w:pPr>
    </w:p>
    <w:p w14:paraId="7326C114" w14:textId="77777777" w:rsidR="00EF3DFB" w:rsidRDefault="00D27C17">
      <w:pPr>
        <w:pStyle w:val="Heading2"/>
        <w:spacing w:before="68"/>
      </w:pPr>
      <w:bookmarkStart w:id="40" w:name="Item_8._Financial_Statements_and_Supplem"/>
      <w:bookmarkStart w:id="41" w:name="_bookmark13"/>
      <w:bookmarkEnd w:id="40"/>
      <w:bookmarkEnd w:id="41"/>
      <w:r>
        <w:lastRenderedPageBreak/>
        <w:t>ITEM 8. FINANCIAL STATEMENTS AND SUPPLEMENTARY DATA</w:t>
      </w:r>
    </w:p>
    <w:p w14:paraId="7326C115" w14:textId="77777777" w:rsidR="00EF3DFB" w:rsidRDefault="00EF3DFB">
      <w:pPr>
        <w:pStyle w:val="BodyText"/>
        <w:rPr>
          <w:b/>
          <w:sz w:val="22"/>
        </w:rPr>
      </w:pPr>
    </w:p>
    <w:p w14:paraId="7326C116" w14:textId="77777777" w:rsidR="00EF3DFB" w:rsidRDefault="00EF3DFB">
      <w:pPr>
        <w:pStyle w:val="BodyText"/>
        <w:spacing w:before="1"/>
        <w:rPr>
          <w:b/>
          <w:sz w:val="31"/>
        </w:rPr>
      </w:pPr>
    </w:p>
    <w:p w14:paraId="7326C117" w14:textId="77777777" w:rsidR="00EF3DFB" w:rsidRDefault="00D27C17">
      <w:pPr>
        <w:ind w:left="2996"/>
        <w:rPr>
          <w:b/>
          <w:sz w:val="20"/>
        </w:rPr>
      </w:pPr>
      <w:bookmarkStart w:id="42" w:name="Report_of_Independent_Registered_Public_"/>
      <w:bookmarkEnd w:id="42"/>
      <w:r>
        <w:rPr>
          <w:b/>
          <w:sz w:val="20"/>
        </w:rPr>
        <w:t>Report of Independent Registered Public Accounting Firm</w:t>
      </w:r>
    </w:p>
    <w:p w14:paraId="7326C118" w14:textId="77777777" w:rsidR="00EF3DFB" w:rsidRDefault="00EF3DFB">
      <w:pPr>
        <w:pStyle w:val="BodyText"/>
        <w:spacing w:before="4"/>
        <w:rPr>
          <w:b/>
          <w:sz w:val="30"/>
        </w:rPr>
      </w:pPr>
    </w:p>
    <w:p w14:paraId="7326C119" w14:textId="77777777" w:rsidR="00EF3DFB" w:rsidRDefault="00D27C17">
      <w:pPr>
        <w:pStyle w:val="BodyText"/>
        <w:ind w:left="190"/>
        <w:jc w:val="both"/>
      </w:pPr>
      <w:r>
        <w:t>To the Board of Directors and Stockholders of Newell Brands Inc.</w:t>
      </w:r>
    </w:p>
    <w:p w14:paraId="7326C11A" w14:textId="77777777" w:rsidR="00EF3DFB" w:rsidRDefault="00EF3DFB">
      <w:pPr>
        <w:pStyle w:val="BodyText"/>
        <w:spacing w:before="5"/>
        <w:rPr>
          <w:sz w:val="21"/>
        </w:rPr>
      </w:pPr>
    </w:p>
    <w:p w14:paraId="7326C11B" w14:textId="77777777" w:rsidR="00EF3DFB" w:rsidRDefault="00D27C17">
      <w:pPr>
        <w:pStyle w:val="Heading3"/>
        <w:spacing w:before="1"/>
      </w:pPr>
      <w:r>
        <w:t>Opinions on the Financial Statements and Internal Control over Financial Report</w:t>
      </w:r>
      <w:r>
        <w:t>ing</w:t>
      </w:r>
    </w:p>
    <w:p w14:paraId="7326C11C" w14:textId="77777777" w:rsidR="00EF3DFB" w:rsidRDefault="00EF3DFB">
      <w:pPr>
        <w:pStyle w:val="BodyText"/>
        <w:rPr>
          <w:b/>
          <w:i/>
          <w:sz w:val="22"/>
        </w:rPr>
      </w:pPr>
    </w:p>
    <w:p w14:paraId="7326C11D" w14:textId="77777777" w:rsidR="00EF3DFB" w:rsidRDefault="00D27C17">
      <w:pPr>
        <w:pStyle w:val="BodyText"/>
        <w:spacing w:line="249" w:lineRule="auto"/>
        <w:ind w:left="190" w:right="169"/>
        <w:jc w:val="both"/>
      </w:pPr>
      <w:r>
        <w:t>We have audited the accompanying consolidated balance sheets of Newell Brands Inc. and its subsidiaries (the “Company”) as of December 31, 2020 and 2019, and the related consolidated statements of operations, of comprehensive income (loss), of stockho</w:t>
      </w:r>
      <w:r>
        <w:t>lders’ equity and of cash flows for each of the three years in the period ended December 31, 2020, including the related notes and schedule of valuation and qualifying accounts for each of the three years in the period ended December 31, 2020 appearing aft</w:t>
      </w:r>
      <w:r>
        <w:t xml:space="preserve">er the signature pages (collectively referred to as the “consolidated financial statements”). We also have audited the Company's internal control over financial reporting as of December 31, 2020, based on criteria established in </w:t>
      </w:r>
      <w:r>
        <w:rPr>
          <w:i/>
        </w:rPr>
        <w:t>Internal Control - Integrat</w:t>
      </w:r>
      <w:r>
        <w:rPr>
          <w:i/>
        </w:rPr>
        <w:t xml:space="preserve">ed Framework </w:t>
      </w:r>
      <w:r>
        <w:t>(2013) issued by the Committee of Sponsoring Organizations of the Treadway Commission</w:t>
      </w:r>
      <w:r>
        <w:rPr>
          <w:spacing w:val="-30"/>
        </w:rPr>
        <w:t xml:space="preserve"> </w:t>
      </w:r>
      <w:r>
        <w:t>(COSO).</w:t>
      </w:r>
    </w:p>
    <w:p w14:paraId="7326C11E" w14:textId="77777777" w:rsidR="00EF3DFB" w:rsidRDefault="00EF3DFB">
      <w:pPr>
        <w:pStyle w:val="BodyText"/>
        <w:spacing w:before="4"/>
        <w:rPr>
          <w:sz w:val="21"/>
        </w:rPr>
      </w:pPr>
    </w:p>
    <w:p w14:paraId="7326C11F" w14:textId="77777777" w:rsidR="00EF3DFB" w:rsidRDefault="00D27C17">
      <w:pPr>
        <w:pStyle w:val="BodyText"/>
        <w:spacing w:line="249" w:lineRule="auto"/>
        <w:ind w:left="190" w:right="168"/>
        <w:jc w:val="both"/>
      </w:pPr>
      <w:r>
        <w:t>In</w:t>
      </w:r>
      <w:r>
        <w:rPr>
          <w:spacing w:val="-3"/>
        </w:rPr>
        <w:t xml:space="preserve"> </w:t>
      </w:r>
      <w:r>
        <w:t>our</w:t>
      </w:r>
      <w:r>
        <w:rPr>
          <w:spacing w:val="-3"/>
        </w:rPr>
        <w:t xml:space="preserve"> </w:t>
      </w:r>
      <w:r>
        <w:t>opinion,</w:t>
      </w:r>
      <w:r>
        <w:rPr>
          <w:spacing w:val="-3"/>
        </w:rPr>
        <w:t xml:space="preserve"> </w:t>
      </w:r>
      <w:r>
        <w:t>the</w:t>
      </w:r>
      <w:r>
        <w:rPr>
          <w:spacing w:val="-4"/>
        </w:rPr>
        <w:t xml:space="preserve"> </w:t>
      </w:r>
      <w:r>
        <w:t>consolidated</w:t>
      </w:r>
      <w:r>
        <w:rPr>
          <w:spacing w:val="-3"/>
        </w:rPr>
        <w:t xml:space="preserve"> </w:t>
      </w:r>
      <w:r>
        <w:t>financial</w:t>
      </w:r>
      <w:r>
        <w:rPr>
          <w:spacing w:val="-4"/>
        </w:rPr>
        <w:t xml:space="preserve"> </w:t>
      </w:r>
      <w:r>
        <w:t>statements</w:t>
      </w:r>
      <w:r>
        <w:rPr>
          <w:spacing w:val="-4"/>
        </w:rPr>
        <w:t xml:space="preserve"> </w:t>
      </w:r>
      <w:r>
        <w:t>referred</w:t>
      </w:r>
      <w:r>
        <w:rPr>
          <w:spacing w:val="-3"/>
        </w:rPr>
        <w:t xml:space="preserve"> </w:t>
      </w:r>
      <w:r>
        <w:t>to</w:t>
      </w:r>
      <w:r>
        <w:rPr>
          <w:spacing w:val="-3"/>
        </w:rPr>
        <w:t xml:space="preserve"> </w:t>
      </w:r>
      <w:r>
        <w:t>above</w:t>
      </w:r>
      <w:r>
        <w:rPr>
          <w:spacing w:val="-4"/>
        </w:rPr>
        <w:t xml:space="preserve"> </w:t>
      </w:r>
      <w:r>
        <w:t>present</w:t>
      </w:r>
      <w:r>
        <w:rPr>
          <w:spacing w:val="-4"/>
        </w:rPr>
        <w:t xml:space="preserve"> </w:t>
      </w:r>
      <w:r>
        <w:t>fairly,</w:t>
      </w:r>
      <w:r>
        <w:rPr>
          <w:spacing w:val="-3"/>
        </w:rPr>
        <w:t xml:space="preserve"> </w:t>
      </w:r>
      <w:r>
        <w:t>in</w:t>
      </w:r>
      <w:r>
        <w:rPr>
          <w:spacing w:val="-3"/>
        </w:rPr>
        <w:t xml:space="preserve"> </w:t>
      </w:r>
      <w:r>
        <w:t>all</w:t>
      </w:r>
      <w:r>
        <w:rPr>
          <w:spacing w:val="-4"/>
        </w:rPr>
        <w:t xml:space="preserve"> </w:t>
      </w:r>
      <w:r>
        <w:t>material</w:t>
      </w:r>
      <w:r>
        <w:rPr>
          <w:spacing w:val="-4"/>
        </w:rPr>
        <w:t xml:space="preserve"> </w:t>
      </w:r>
      <w:r>
        <w:t>respects,</w:t>
      </w:r>
      <w:r>
        <w:rPr>
          <w:spacing w:val="-3"/>
        </w:rPr>
        <w:t xml:space="preserve"> </w:t>
      </w:r>
      <w:r>
        <w:t>the</w:t>
      </w:r>
      <w:r>
        <w:rPr>
          <w:spacing w:val="-4"/>
        </w:rPr>
        <w:t xml:space="preserve"> </w:t>
      </w:r>
      <w:r>
        <w:t>financial</w:t>
      </w:r>
      <w:r>
        <w:rPr>
          <w:spacing w:val="-4"/>
        </w:rPr>
        <w:t xml:space="preserve"> </w:t>
      </w:r>
      <w:r>
        <w:t>position</w:t>
      </w:r>
      <w:r>
        <w:rPr>
          <w:spacing w:val="-3"/>
        </w:rPr>
        <w:t xml:space="preserve"> </w:t>
      </w:r>
      <w:r>
        <w:t>of the Company as of December 31, 2020 and 2019, and the results of its operations and its cash flows for each of the three years in the period ended December 31, 2020 in conformity with accounting principles generally accepted in the United States of Amer</w:t>
      </w:r>
      <w:r>
        <w:t xml:space="preserve">ica. Also in our opinion, the Company did not maintain, in all material respects, effective internal control over financial reporting as of December 31, 2020, based on criteria established in </w:t>
      </w:r>
      <w:r>
        <w:rPr>
          <w:i/>
        </w:rPr>
        <w:t xml:space="preserve">Internal Control - Integrated Framework </w:t>
      </w:r>
      <w:r>
        <w:t>(2013) issued by the COS</w:t>
      </w:r>
      <w:r>
        <w:t>O because a material weakness in internal control over financial reporting existed as of that date related to not designing and maintaining effective controls over the accounting for certain aspects of income</w:t>
      </w:r>
      <w:r>
        <w:rPr>
          <w:spacing w:val="-8"/>
        </w:rPr>
        <w:t xml:space="preserve"> </w:t>
      </w:r>
      <w:r>
        <w:t>taxes.</w:t>
      </w:r>
    </w:p>
    <w:p w14:paraId="7326C120" w14:textId="77777777" w:rsidR="00EF3DFB" w:rsidRDefault="00EF3DFB">
      <w:pPr>
        <w:pStyle w:val="BodyText"/>
        <w:spacing w:before="4"/>
        <w:rPr>
          <w:sz w:val="21"/>
        </w:rPr>
      </w:pPr>
    </w:p>
    <w:p w14:paraId="7326C121" w14:textId="77777777" w:rsidR="00EF3DFB" w:rsidRDefault="00D27C17">
      <w:pPr>
        <w:pStyle w:val="BodyText"/>
        <w:spacing w:line="249" w:lineRule="auto"/>
        <w:ind w:left="190" w:right="167"/>
        <w:jc w:val="both"/>
      </w:pPr>
      <w:r>
        <w:t>A material weakness is a deficiency, or</w:t>
      </w:r>
      <w:r>
        <w:t xml:space="preserve"> a combination of deficiencies, in internal control over financial reporting, such that there is a reasonable possibility that a material misstatement of the annual or interim financial statements will not be prevented or detected on a timely basis. The ma</w:t>
      </w:r>
      <w:r>
        <w:t xml:space="preserve">terial weakness referred to above is described in Management's Annual Report on Internal Control Over Financial Reporting appearing under Item 9A. We considered this material weakness in determining the nature, timing, and extent of audit tests applied in </w:t>
      </w:r>
      <w:r>
        <w:t>our audit of the 2020 consolidated financial statements, and our opinion regarding the effectiveness of the Company’s internal control over financial reporting does not affect our opinion on those consolidated financial</w:t>
      </w:r>
      <w:r>
        <w:rPr>
          <w:spacing w:val="-31"/>
        </w:rPr>
        <w:t xml:space="preserve"> </w:t>
      </w:r>
      <w:r>
        <w:t>statements.</w:t>
      </w:r>
    </w:p>
    <w:p w14:paraId="7326C122" w14:textId="77777777" w:rsidR="00EF3DFB" w:rsidRDefault="00EF3DFB">
      <w:pPr>
        <w:pStyle w:val="BodyText"/>
        <w:spacing w:before="4"/>
        <w:rPr>
          <w:sz w:val="21"/>
        </w:rPr>
      </w:pPr>
    </w:p>
    <w:p w14:paraId="7326C123" w14:textId="77777777" w:rsidR="00EF3DFB" w:rsidRDefault="00D27C17">
      <w:pPr>
        <w:ind w:left="190"/>
        <w:jc w:val="both"/>
        <w:rPr>
          <w:i/>
          <w:sz w:val="20"/>
        </w:rPr>
      </w:pPr>
      <w:r>
        <w:rPr>
          <w:i/>
          <w:sz w:val="20"/>
        </w:rPr>
        <w:t>Change in Accounting Principle</w:t>
      </w:r>
    </w:p>
    <w:p w14:paraId="7326C124" w14:textId="77777777" w:rsidR="00EF3DFB" w:rsidRDefault="00EF3DFB">
      <w:pPr>
        <w:pStyle w:val="BodyText"/>
        <w:spacing w:before="8"/>
        <w:rPr>
          <w:i/>
          <w:sz w:val="21"/>
        </w:rPr>
      </w:pPr>
    </w:p>
    <w:p w14:paraId="7326C125" w14:textId="77777777" w:rsidR="00EF3DFB" w:rsidRDefault="00D27C17">
      <w:pPr>
        <w:pStyle w:val="BodyText"/>
        <w:spacing w:line="249" w:lineRule="auto"/>
        <w:ind w:left="190" w:right="173"/>
        <w:jc w:val="both"/>
      </w:pPr>
      <w:r>
        <w:t>As discussed in Note 1 to the consolidated financial statements, the Company changed the manner in which it accounts for leases in 2019.</w:t>
      </w:r>
    </w:p>
    <w:p w14:paraId="7326C126" w14:textId="77777777" w:rsidR="00EF3DFB" w:rsidRDefault="00EF3DFB">
      <w:pPr>
        <w:pStyle w:val="BodyText"/>
        <w:spacing w:before="9"/>
      </w:pPr>
    </w:p>
    <w:p w14:paraId="7326C127" w14:textId="77777777" w:rsidR="00EF3DFB" w:rsidRDefault="00D27C17">
      <w:pPr>
        <w:pStyle w:val="Heading3"/>
      </w:pPr>
      <w:r>
        <w:t>Basis for Opinions</w:t>
      </w:r>
    </w:p>
    <w:p w14:paraId="7326C128" w14:textId="77777777" w:rsidR="00EF3DFB" w:rsidRDefault="00EF3DFB">
      <w:pPr>
        <w:pStyle w:val="BodyText"/>
        <w:rPr>
          <w:b/>
          <w:i/>
          <w:sz w:val="22"/>
        </w:rPr>
      </w:pPr>
    </w:p>
    <w:p w14:paraId="7326C129" w14:textId="77777777" w:rsidR="00EF3DFB" w:rsidRDefault="00D27C17">
      <w:pPr>
        <w:pStyle w:val="BodyText"/>
        <w:spacing w:line="249" w:lineRule="auto"/>
        <w:ind w:left="190" w:right="168"/>
        <w:jc w:val="both"/>
      </w:pPr>
      <w:r>
        <w:t>The Company's management is responsible for these consolidated fin</w:t>
      </w:r>
      <w:r>
        <w:t>ancial statements, for maintaining effective internal control over financial reporting, and for its assessment of the effectiveness of internal control over financial reporting included in management's</w:t>
      </w:r>
      <w:r>
        <w:rPr>
          <w:spacing w:val="-5"/>
        </w:rPr>
        <w:t xml:space="preserve"> </w:t>
      </w:r>
      <w:r>
        <w:t>report</w:t>
      </w:r>
      <w:r>
        <w:rPr>
          <w:spacing w:val="-5"/>
        </w:rPr>
        <w:t xml:space="preserve"> </w:t>
      </w:r>
      <w:r>
        <w:t>referred</w:t>
      </w:r>
      <w:r>
        <w:rPr>
          <w:spacing w:val="-4"/>
        </w:rPr>
        <w:t xml:space="preserve"> </w:t>
      </w:r>
      <w:r>
        <w:t>to</w:t>
      </w:r>
      <w:r>
        <w:rPr>
          <w:spacing w:val="-4"/>
        </w:rPr>
        <w:t xml:space="preserve"> </w:t>
      </w:r>
      <w:r>
        <w:t>above.</w:t>
      </w:r>
      <w:r>
        <w:rPr>
          <w:spacing w:val="-4"/>
        </w:rPr>
        <w:t xml:space="preserve"> </w:t>
      </w:r>
      <w:r>
        <w:t>Our</w:t>
      </w:r>
      <w:r>
        <w:rPr>
          <w:spacing w:val="-4"/>
        </w:rPr>
        <w:t xml:space="preserve"> </w:t>
      </w:r>
      <w:r>
        <w:t>responsibility</w:t>
      </w:r>
      <w:r>
        <w:rPr>
          <w:spacing w:val="-4"/>
        </w:rPr>
        <w:t xml:space="preserve"> </w:t>
      </w:r>
      <w:r>
        <w:t>is</w:t>
      </w:r>
      <w:r>
        <w:rPr>
          <w:spacing w:val="-5"/>
        </w:rPr>
        <w:t xml:space="preserve"> </w:t>
      </w:r>
      <w:r>
        <w:t>to</w:t>
      </w:r>
      <w:r>
        <w:rPr>
          <w:spacing w:val="-4"/>
        </w:rPr>
        <w:t xml:space="preserve"> </w:t>
      </w:r>
      <w:r>
        <w:t>exp</w:t>
      </w:r>
      <w:r>
        <w:t>ress</w:t>
      </w:r>
      <w:r>
        <w:rPr>
          <w:spacing w:val="-5"/>
        </w:rPr>
        <w:t xml:space="preserve"> </w:t>
      </w:r>
      <w:r>
        <w:t>opinions</w:t>
      </w:r>
      <w:r>
        <w:rPr>
          <w:spacing w:val="-5"/>
        </w:rPr>
        <w:t xml:space="preserve"> </w:t>
      </w:r>
      <w:r>
        <w:t>on</w:t>
      </w:r>
      <w:r>
        <w:rPr>
          <w:spacing w:val="-4"/>
        </w:rPr>
        <w:t xml:space="preserve"> </w:t>
      </w:r>
      <w:r>
        <w:t>the</w:t>
      </w:r>
      <w:r>
        <w:rPr>
          <w:spacing w:val="-5"/>
        </w:rPr>
        <w:t xml:space="preserve"> </w:t>
      </w:r>
      <w:r>
        <w:t>Company’s</w:t>
      </w:r>
      <w:r>
        <w:rPr>
          <w:spacing w:val="-5"/>
        </w:rPr>
        <w:t xml:space="preserve"> </w:t>
      </w:r>
      <w:r>
        <w:t>consolidated</w:t>
      </w:r>
      <w:r>
        <w:rPr>
          <w:spacing w:val="-4"/>
        </w:rPr>
        <w:t xml:space="preserve"> </w:t>
      </w:r>
      <w:r>
        <w:t>financial</w:t>
      </w:r>
      <w:r>
        <w:rPr>
          <w:spacing w:val="-5"/>
        </w:rPr>
        <w:t xml:space="preserve"> </w:t>
      </w:r>
      <w:r>
        <w:t>statements and on the Company's internal control over financial reporting based on our audits. We are a public accounting firm registered with the Public Company Accounting Oversight Board (United State</w:t>
      </w:r>
      <w:r>
        <w:t>s) (PCAOB) and are required to be independent with respect to the Company in accordance with the U.S. federal securities laws and the applicable rules and regulations of the Securities and Exchange Commission and the</w:t>
      </w:r>
      <w:r>
        <w:rPr>
          <w:spacing w:val="-2"/>
        </w:rPr>
        <w:t xml:space="preserve"> </w:t>
      </w:r>
      <w:r>
        <w:t>PCAOB.</w:t>
      </w:r>
    </w:p>
    <w:p w14:paraId="7326C12A" w14:textId="77777777" w:rsidR="00EF3DFB" w:rsidRDefault="00EF3DFB">
      <w:pPr>
        <w:pStyle w:val="BodyText"/>
        <w:spacing w:before="4"/>
        <w:rPr>
          <w:sz w:val="21"/>
        </w:rPr>
      </w:pPr>
    </w:p>
    <w:p w14:paraId="7326C12B" w14:textId="77777777" w:rsidR="00EF3DFB" w:rsidRDefault="00D27C17">
      <w:pPr>
        <w:pStyle w:val="BodyText"/>
        <w:spacing w:line="249" w:lineRule="auto"/>
        <w:ind w:left="190" w:right="168"/>
        <w:jc w:val="both"/>
      </w:pPr>
      <w:r>
        <w:t>We conducted our audits in acco</w:t>
      </w:r>
      <w:r>
        <w:t>rdance with the standards of the PCAOB. Those standards require that we plan and perform the audits to obtain reasonable assurance about whether the consolidated financial statements are free of material misstatement, whether due to error or fraud, and whe</w:t>
      </w:r>
      <w:r>
        <w:t>ther effective internal control over financial reporting was maintained in all material respects.</w:t>
      </w:r>
    </w:p>
    <w:p w14:paraId="7326C12C" w14:textId="77777777" w:rsidR="00EF3DFB" w:rsidRDefault="00EF3DFB">
      <w:pPr>
        <w:pStyle w:val="BodyText"/>
        <w:spacing w:before="1"/>
        <w:rPr>
          <w:sz w:val="21"/>
        </w:rPr>
      </w:pPr>
    </w:p>
    <w:p w14:paraId="7326C12D" w14:textId="77777777" w:rsidR="00EF3DFB" w:rsidRDefault="00D27C17">
      <w:pPr>
        <w:pStyle w:val="BodyText"/>
        <w:spacing w:line="249" w:lineRule="auto"/>
        <w:ind w:left="190" w:right="168"/>
        <w:jc w:val="both"/>
      </w:pPr>
      <w:r>
        <w:t>Our audits of the consolidated financial statements included performing procedures to assess the risks of material misstatement of the consolidated financial</w:t>
      </w:r>
      <w:r>
        <w:t xml:space="preserve"> statements, whether due to error or fraud, and performing procedures that respond to those risks. Such procedures included examining, on a test basis, evidence regarding the amounts and disclosures in the consolidated financial statements. Our audits also</w:t>
      </w:r>
      <w:r>
        <w:t xml:space="preserve"> included evaluating the accounting principles used and significant estimates made by management, as well as evaluating the overall presentation of the consolidated financial statements. Our audit of internal control over financial reporting included obtai</w:t>
      </w:r>
      <w:r>
        <w:t>ning an understanding of internal control over financial reporting, assessing the risk that a material weakness</w:t>
      </w:r>
      <w:r>
        <w:rPr>
          <w:spacing w:val="-2"/>
        </w:rPr>
        <w:t xml:space="preserve"> </w:t>
      </w:r>
      <w:r>
        <w:t>exists,</w:t>
      </w:r>
      <w:r>
        <w:rPr>
          <w:spacing w:val="-2"/>
        </w:rPr>
        <w:t xml:space="preserve"> </w:t>
      </w:r>
      <w:r>
        <w:t>and</w:t>
      </w:r>
      <w:r>
        <w:rPr>
          <w:spacing w:val="-2"/>
        </w:rPr>
        <w:t xml:space="preserve"> </w:t>
      </w:r>
      <w:r>
        <w:t>testing</w:t>
      </w:r>
      <w:r>
        <w:rPr>
          <w:spacing w:val="-2"/>
        </w:rPr>
        <w:t xml:space="preserve"> </w:t>
      </w:r>
      <w:r>
        <w:t>and</w:t>
      </w:r>
      <w:r>
        <w:rPr>
          <w:spacing w:val="-2"/>
        </w:rPr>
        <w:t xml:space="preserve"> </w:t>
      </w:r>
      <w:r>
        <w:t>evaluating</w:t>
      </w:r>
      <w:r>
        <w:rPr>
          <w:spacing w:val="-2"/>
        </w:rPr>
        <w:t xml:space="preserve"> </w:t>
      </w:r>
      <w:r>
        <w:t>the</w:t>
      </w:r>
      <w:r>
        <w:rPr>
          <w:spacing w:val="-2"/>
        </w:rPr>
        <w:t xml:space="preserve"> </w:t>
      </w:r>
      <w:r>
        <w:t>design</w:t>
      </w:r>
      <w:r>
        <w:rPr>
          <w:spacing w:val="-2"/>
        </w:rPr>
        <w:t xml:space="preserve"> </w:t>
      </w:r>
      <w:r>
        <w:t>and</w:t>
      </w:r>
      <w:r>
        <w:rPr>
          <w:spacing w:val="-2"/>
        </w:rPr>
        <w:t xml:space="preserve"> </w:t>
      </w:r>
      <w:r>
        <w:t>operating</w:t>
      </w:r>
      <w:r>
        <w:rPr>
          <w:spacing w:val="-2"/>
        </w:rPr>
        <w:t xml:space="preserve"> </w:t>
      </w:r>
      <w:r>
        <w:t>effectiveness</w:t>
      </w:r>
      <w:r>
        <w:rPr>
          <w:spacing w:val="-2"/>
        </w:rPr>
        <w:t xml:space="preserve"> </w:t>
      </w:r>
      <w:r>
        <w:t>of</w:t>
      </w:r>
      <w:r>
        <w:rPr>
          <w:spacing w:val="-2"/>
        </w:rPr>
        <w:t xml:space="preserve"> </w:t>
      </w:r>
      <w:r>
        <w:t>internal</w:t>
      </w:r>
      <w:r>
        <w:rPr>
          <w:spacing w:val="-2"/>
        </w:rPr>
        <w:t xml:space="preserve"> </w:t>
      </w:r>
      <w:r>
        <w:t>control</w:t>
      </w:r>
      <w:r>
        <w:rPr>
          <w:spacing w:val="-2"/>
        </w:rPr>
        <w:t xml:space="preserve"> </w:t>
      </w:r>
      <w:r>
        <w:t>based</w:t>
      </w:r>
      <w:r>
        <w:rPr>
          <w:spacing w:val="-2"/>
        </w:rPr>
        <w:t xml:space="preserve"> </w:t>
      </w:r>
      <w:r>
        <w:t>on</w:t>
      </w:r>
      <w:r>
        <w:rPr>
          <w:spacing w:val="-2"/>
        </w:rPr>
        <w:t xml:space="preserve"> </w:t>
      </w:r>
      <w:r>
        <w:t>the</w:t>
      </w:r>
      <w:r>
        <w:rPr>
          <w:spacing w:val="-2"/>
        </w:rPr>
        <w:t xml:space="preserve"> </w:t>
      </w:r>
      <w:r>
        <w:t>assessed</w:t>
      </w:r>
      <w:r>
        <w:rPr>
          <w:spacing w:val="-2"/>
        </w:rPr>
        <w:t xml:space="preserve"> </w:t>
      </w:r>
      <w:r>
        <w:t>risk.</w:t>
      </w:r>
      <w:r>
        <w:rPr>
          <w:spacing w:val="-2"/>
        </w:rPr>
        <w:t xml:space="preserve"> </w:t>
      </w:r>
      <w:r>
        <w:t>Our</w:t>
      </w:r>
    </w:p>
    <w:p w14:paraId="7326C12E" w14:textId="77777777" w:rsidR="00EF3DFB" w:rsidRDefault="00EF3DFB">
      <w:pPr>
        <w:spacing w:line="249" w:lineRule="auto"/>
        <w:jc w:val="both"/>
        <w:sectPr w:rsidR="00EF3DFB">
          <w:footerReference w:type="default" r:id="rId17"/>
          <w:pgSz w:w="12240" w:h="15840"/>
          <w:pgMar w:top="600" w:right="640" w:bottom="480" w:left="620" w:header="0" w:footer="291" w:gutter="0"/>
          <w:pgNumType w:start="50"/>
          <w:cols w:space="720"/>
        </w:sectPr>
      </w:pPr>
    </w:p>
    <w:p w14:paraId="7326C12F" w14:textId="77777777" w:rsidR="00EF3DFB" w:rsidRDefault="00D27C17">
      <w:pPr>
        <w:pStyle w:val="BodyText"/>
        <w:spacing w:before="72" w:line="249" w:lineRule="auto"/>
        <w:ind w:left="190" w:right="170"/>
        <w:jc w:val="both"/>
      </w:pPr>
      <w:r>
        <w:lastRenderedPageBreak/>
        <w:t>audits also included performing such other procedures as we considered necessary in the circumstances. We believe that our audits provide a reasonable basis for our opinions.</w:t>
      </w:r>
    </w:p>
    <w:p w14:paraId="7326C130" w14:textId="77777777" w:rsidR="00EF3DFB" w:rsidRDefault="00EF3DFB">
      <w:pPr>
        <w:pStyle w:val="BodyText"/>
        <w:spacing w:before="8"/>
      </w:pPr>
    </w:p>
    <w:p w14:paraId="7326C131" w14:textId="77777777" w:rsidR="00EF3DFB" w:rsidRDefault="00D27C17">
      <w:pPr>
        <w:pStyle w:val="Heading3"/>
      </w:pPr>
      <w:r>
        <w:t>Definition and Limitations of Internal Control over Financial Reporting</w:t>
      </w:r>
    </w:p>
    <w:p w14:paraId="7326C132" w14:textId="77777777" w:rsidR="00EF3DFB" w:rsidRDefault="00EF3DFB">
      <w:pPr>
        <w:pStyle w:val="BodyText"/>
        <w:rPr>
          <w:b/>
          <w:i/>
          <w:sz w:val="22"/>
        </w:rPr>
      </w:pPr>
    </w:p>
    <w:p w14:paraId="7326C133" w14:textId="77777777" w:rsidR="00EF3DFB" w:rsidRDefault="00D27C17">
      <w:pPr>
        <w:pStyle w:val="BodyText"/>
        <w:spacing w:line="249" w:lineRule="auto"/>
        <w:ind w:left="190" w:right="168"/>
        <w:jc w:val="both"/>
      </w:pPr>
      <w:r>
        <w:t>A compa</w:t>
      </w:r>
      <w:r>
        <w:t>ny’s internal control over financial reporting is a process designed to provide reasonable assurance regarding the reliability of financial reporting and the preparation of financial statements for external purposes in accordance with generally accepted ac</w:t>
      </w:r>
      <w:r>
        <w:t xml:space="preserve">counting principles. A company’s internal control over financial reporting includes those policies and procedures that (i) pertain to the maintenance of records that, in reasonable detail, accurately and fairly reflect the transactions and dispositions of </w:t>
      </w:r>
      <w:r>
        <w:t>the assets of the company; (ii) provide reasonable assurance that transactions are recorded as necessary to permit preparation of financial statements in accordance with generally accepted accounting principles, and that receipts and expenditures of the co</w:t>
      </w:r>
      <w:r>
        <w:t>mpany are being made only in accordance with authorizations of management and directors of the company; and (iii) provide reasonable assurance regarding prevention or timely detection of unauthorized acquisition, use, or disposition of the company’s assets</w:t>
      </w:r>
      <w:r>
        <w:t xml:space="preserve"> that could have a material effect on the financial</w:t>
      </w:r>
      <w:r>
        <w:rPr>
          <w:spacing w:val="-5"/>
        </w:rPr>
        <w:t xml:space="preserve"> </w:t>
      </w:r>
      <w:r>
        <w:t>statements.</w:t>
      </w:r>
    </w:p>
    <w:p w14:paraId="7326C134" w14:textId="77777777" w:rsidR="00EF3DFB" w:rsidRDefault="00EF3DFB">
      <w:pPr>
        <w:pStyle w:val="BodyText"/>
        <w:spacing w:before="6"/>
        <w:rPr>
          <w:sz w:val="21"/>
        </w:rPr>
      </w:pPr>
    </w:p>
    <w:p w14:paraId="7326C135" w14:textId="77777777" w:rsidR="00EF3DFB" w:rsidRDefault="00D27C17">
      <w:pPr>
        <w:pStyle w:val="BodyText"/>
        <w:spacing w:line="249" w:lineRule="auto"/>
        <w:ind w:left="190" w:right="169"/>
        <w:jc w:val="both"/>
      </w:pPr>
      <w:r>
        <w:t xml:space="preserve">Because of its inherent limitations, internal control over financial reporting may not prevent or detect misstatements. Also, projections of any evaluation of effectiveness to future periods </w:t>
      </w:r>
      <w:r>
        <w:t>are subject to the risk that controls may become inadequate because of changes in conditions, or that the degree of compliance with the policies or procedures may deteriorate.</w:t>
      </w:r>
    </w:p>
    <w:p w14:paraId="7326C136" w14:textId="77777777" w:rsidR="00EF3DFB" w:rsidRDefault="00EF3DFB">
      <w:pPr>
        <w:pStyle w:val="BodyText"/>
        <w:spacing w:before="9"/>
      </w:pPr>
    </w:p>
    <w:p w14:paraId="7326C137" w14:textId="77777777" w:rsidR="00EF3DFB" w:rsidRDefault="00D27C17">
      <w:pPr>
        <w:pStyle w:val="Heading3"/>
      </w:pPr>
      <w:r>
        <w:t>Critical Audit Matters</w:t>
      </w:r>
    </w:p>
    <w:p w14:paraId="7326C138" w14:textId="77777777" w:rsidR="00EF3DFB" w:rsidRDefault="00EF3DFB">
      <w:pPr>
        <w:pStyle w:val="BodyText"/>
        <w:spacing w:before="1"/>
        <w:rPr>
          <w:b/>
          <w:i/>
          <w:sz w:val="22"/>
        </w:rPr>
      </w:pPr>
    </w:p>
    <w:p w14:paraId="7326C139" w14:textId="77777777" w:rsidR="00EF3DFB" w:rsidRDefault="00D27C17">
      <w:pPr>
        <w:pStyle w:val="BodyText"/>
        <w:spacing w:line="249" w:lineRule="auto"/>
        <w:ind w:left="190" w:right="169"/>
        <w:jc w:val="both"/>
      </w:pPr>
      <w:r>
        <w:t>The critical audit matters communicated below are matte</w:t>
      </w:r>
      <w:r>
        <w:t>rs arising from the current period audit of the consolidated financial statements that were communicated or required to be communicated to the audit committee and that (i) relate to accounts or disclosures that are material to the consolidated financial st</w:t>
      </w:r>
      <w:r>
        <w:t>atements and (ii) involved our especially challenging, subjective, or complex judgments. The communication of critical audit matters does not alter in any way our opinion on the consolidated financial statements, taken as a whole, and we are not, by commun</w:t>
      </w:r>
      <w:r>
        <w:t>icating the critical audit matters below, providing separate opinions on the critical audit matters or on the accounts or disclosures to which they relate.</w:t>
      </w:r>
    </w:p>
    <w:p w14:paraId="7326C13A" w14:textId="77777777" w:rsidR="00EF3DFB" w:rsidRDefault="00EF3DFB">
      <w:pPr>
        <w:pStyle w:val="BodyText"/>
        <w:spacing w:before="3"/>
        <w:rPr>
          <w:sz w:val="21"/>
        </w:rPr>
      </w:pPr>
    </w:p>
    <w:p w14:paraId="7326C13B" w14:textId="77777777" w:rsidR="00EF3DFB" w:rsidRDefault="00D27C17">
      <w:pPr>
        <w:ind w:left="190"/>
        <w:jc w:val="both"/>
        <w:rPr>
          <w:i/>
          <w:sz w:val="20"/>
        </w:rPr>
      </w:pPr>
      <w:r>
        <w:rPr>
          <w:i/>
          <w:sz w:val="20"/>
        </w:rPr>
        <w:t>Impairment Assessments- Goodwill for Certain Reporting Units and Certain Indefinite-Lived Intangibl</w:t>
      </w:r>
      <w:r>
        <w:rPr>
          <w:i/>
          <w:sz w:val="20"/>
        </w:rPr>
        <w:t>e Assets</w:t>
      </w:r>
    </w:p>
    <w:p w14:paraId="7326C13C" w14:textId="77777777" w:rsidR="00EF3DFB" w:rsidRDefault="00EF3DFB">
      <w:pPr>
        <w:pStyle w:val="BodyText"/>
        <w:spacing w:before="8"/>
        <w:rPr>
          <w:i/>
          <w:sz w:val="21"/>
        </w:rPr>
      </w:pPr>
    </w:p>
    <w:p w14:paraId="7326C13D" w14:textId="77777777" w:rsidR="00EF3DFB" w:rsidRDefault="00D27C17">
      <w:pPr>
        <w:pStyle w:val="BodyText"/>
        <w:spacing w:before="1" w:line="249" w:lineRule="auto"/>
        <w:ind w:left="190" w:right="168"/>
        <w:jc w:val="both"/>
      </w:pPr>
      <w:r>
        <w:t>As described in Notes 1 and 7 to the consolidated financial statements, the Company’s goodwill and indefinite-lived intangible assets balances were $3.6 billion and $2.3 billion as of December 31, 2020, respectively. These assets are tested and r</w:t>
      </w:r>
      <w:r>
        <w:t xml:space="preserve">eviewed for impairment annually on December 1, or more frequently if facts and circumstances warrant. Management used a quantitative approach, which involves comparing the fair value to the carrying value. If the carrying value of a reporting unit exceeds </w:t>
      </w:r>
      <w:r>
        <w:t>its fair value, an impairment loss is calculated as the difference between these amounts. An indefinite-lived intangible asset is impaired by the amount its carrying value exceeds its estimated fair value. During the first quarter of 2020, the Company conc</w:t>
      </w:r>
      <w:r>
        <w:t>luded that an impairment triggering event had occurred due to COVID-19 related disruption and as a result, the Company performed an impairment test for its goodwill and indefinite-lived intangible assets. During the first quarter of 2020, the Company recor</w:t>
      </w:r>
      <w:r>
        <w:t>ded an impairment charge of $212 million and $1.3 billion to reflect the impairment of its goodwill and indefinite-lived intangible assets, respectively. As disclosed by management during the third quarter of 2020, the Company concluded that a triggering e</w:t>
      </w:r>
      <w:r>
        <w:t>vent had occurred for an indefinite-lived intangible asset in the Learning and Development segment and the Company recorded an impairment charge of $2 million. During the fourth quarter of 2020, in conjunction with its annual impairment testing, the Compan</w:t>
      </w:r>
      <w:r>
        <w:t>y recorded an impairment charge of $20 million associated with an indefinite-lived intangible asset in the Learning and Development segment.</w:t>
      </w:r>
      <w:r>
        <w:rPr>
          <w:spacing w:val="-3"/>
        </w:rPr>
        <w:t xml:space="preserve"> </w:t>
      </w:r>
      <w:r>
        <w:t>Fair</w:t>
      </w:r>
      <w:r>
        <w:rPr>
          <w:spacing w:val="-3"/>
        </w:rPr>
        <w:t xml:space="preserve"> </w:t>
      </w:r>
      <w:r>
        <w:t>value</w:t>
      </w:r>
      <w:r>
        <w:rPr>
          <w:spacing w:val="-3"/>
        </w:rPr>
        <w:t xml:space="preserve"> </w:t>
      </w:r>
      <w:r>
        <w:t>is</w:t>
      </w:r>
      <w:r>
        <w:rPr>
          <w:spacing w:val="-3"/>
        </w:rPr>
        <w:t xml:space="preserve"> </w:t>
      </w:r>
      <w:r>
        <w:t>estimated</w:t>
      </w:r>
      <w:r>
        <w:rPr>
          <w:spacing w:val="-3"/>
        </w:rPr>
        <w:t xml:space="preserve"> </w:t>
      </w:r>
      <w:r>
        <w:t>by</w:t>
      </w:r>
      <w:r>
        <w:rPr>
          <w:spacing w:val="-3"/>
        </w:rPr>
        <w:t xml:space="preserve"> </w:t>
      </w:r>
      <w:r>
        <w:t>management</w:t>
      </w:r>
      <w:r>
        <w:rPr>
          <w:spacing w:val="-3"/>
        </w:rPr>
        <w:t xml:space="preserve"> </w:t>
      </w:r>
      <w:r>
        <w:t>using</w:t>
      </w:r>
      <w:r>
        <w:rPr>
          <w:spacing w:val="-3"/>
        </w:rPr>
        <w:t xml:space="preserve"> </w:t>
      </w:r>
      <w:r>
        <w:t>the</w:t>
      </w:r>
      <w:r>
        <w:rPr>
          <w:spacing w:val="-3"/>
        </w:rPr>
        <w:t xml:space="preserve"> </w:t>
      </w:r>
      <w:r>
        <w:t>income</w:t>
      </w:r>
      <w:r>
        <w:rPr>
          <w:spacing w:val="-3"/>
        </w:rPr>
        <w:t xml:space="preserve"> </w:t>
      </w:r>
      <w:r>
        <w:t>approach</w:t>
      </w:r>
      <w:r>
        <w:rPr>
          <w:spacing w:val="-3"/>
        </w:rPr>
        <w:t xml:space="preserve"> </w:t>
      </w:r>
      <w:r>
        <w:t>for</w:t>
      </w:r>
      <w:r>
        <w:rPr>
          <w:spacing w:val="-3"/>
        </w:rPr>
        <w:t xml:space="preserve"> </w:t>
      </w:r>
      <w:r>
        <w:t>reporting</w:t>
      </w:r>
      <w:r>
        <w:rPr>
          <w:spacing w:val="-3"/>
        </w:rPr>
        <w:t xml:space="preserve"> </w:t>
      </w:r>
      <w:r>
        <w:t>units</w:t>
      </w:r>
      <w:r>
        <w:rPr>
          <w:spacing w:val="-3"/>
        </w:rPr>
        <w:t xml:space="preserve"> </w:t>
      </w:r>
      <w:r>
        <w:t>and</w:t>
      </w:r>
      <w:r>
        <w:rPr>
          <w:spacing w:val="-3"/>
        </w:rPr>
        <w:t xml:space="preserve"> </w:t>
      </w:r>
      <w:r>
        <w:t>the</w:t>
      </w:r>
      <w:r>
        <w:rPr>
          <w:spacing w:val="-3"/>
        </w:rPr>
        <w:t xml:space="preserve"> </w:t>
      </w:r>
      <w:r>
        <w:t>relief</w:t>
      </w:r>
      <w:r>
        <w:rPr>
          <w:spacing w:val="-3"/>
        </w:rPr>
        <w:t xml:space="preserve"> </w:t>
      </w:r>
      <w:r>
        <w:t>from</w:t>
      </w:r>
      <w:r>
        <w:rPr>
          <w:spacing w:val="-3"/>
        </w:rPr>
        <w:t xml:space="preserve"> </w:t>
      </w:r>
      <w:r>
        <w:t>royalty</w:t>
      </w:r>
      <w:r>
        <w:rPr>
          <w:spacing w:val="-3"/>
        </w:rPr>
        <w:t xml:space="preserve"> </w:t>
      </w:r>
      <w:r>
        <w:t>method</w:t>
      </w:r>
      <w:r>
        <w:rPr>
          <w:spacing w:val="-3"/>
        </w:rPr>
        <w:t xml:space="preserve"> </w:t>
      </w:r>
      <w:r>
        <w:t>or the excess earnings method for indefinite-lived intangible assets. Management’s cash flow projections requires significant use of judgment and assumptions relating to the estimation of future cash flows, business growth rates, terminal va</w:t>
      </w:r>
      <w:r>
        <w:t>lues, discount rates and total enterprise value for goodwill, and estimation of future cash flows, royalty rates, terminal values, discount rates, residual (or excess) cash flows and contributory asset charges for indefinite-lived intangible</w:t>
      </w:r>
      <w:r>
        <w:rPr>
          <w:spacing w:val="-9"/>
        </w:rPr>
        <w:t xml:space="preserve"> </w:t>
      </w:r>
      <w:r>
        <w:t>assets.</w:t>
      </w:r>
    </w:p>
    <w:p w14:paraId="7326C13E" w14:textId="77777777" w:rsidR="00EF3DFB" w:rsidRDefault="00EF3DFB">
      <w:pPr>
        <w:pStyle w:val="BodyText"/>
        <w:spacing w:before="1"/>
        <w:rPr>
          <w:sz w:val="22"/>
        </w:rPr>
      </w:pPr>
    </w:p>
    <w:p w14:paraId="7326C13F" w14:textId="77777777" w:rsidR="00EF3DFB" w:rsidRDefault="00D27C17">
      <w:pPr>
        <w:pStyle w:val="BodyText"/>
        <w:spacing w:line="249" w:lineRule="auto"/>
        <w:ind w:left="190" w:right="168"/>
        <w:jc w:val="both"/>
      </w:pPr>
      <w:r>
        <w:t>The p</w:t>
      </w:r>
      <w:r>
        <w:t>rincipal considerations for our determination that performing procedures relating to the impairment assessments of goodwill for certain reporting units and certain indefinite-lived intangible assets is a critical audit matter are (i) the significant judgme</w:t>
      </w:r>
      <w:r>
        <w:t>nt by management when developing the fair value measurements; (ii) a high degree of auditor judgment, subjectivity, and effort in performing procedures and evaluating management’s significant assumptions related to the estimation of future cash flows, busi</w:t>
      </w:r>
      <w:r>
        <w:t>ness growth rates, terminal values, discount rates and total enterprise value for goodwill and estimation of future cash flows, royalty rates, terminal values, discount rates, residual (or excess) cash flows, and contributory asset charges for indefinite-l</w:t>
      </w:r>
      <w:r>
        <w:t>ived intangible assets; and (iii) the audit effort involved the use of professionals with specialized skill and</w:t>
      </w:r>
      <w:r>
        <w:rPr>
          <w:spacing w:val="-19"/>
        </w:rPr>
        <w:t xml:space="preserve"> </w:t>
      </w:r>
      <w:r>
        <w:t>knowledge.</w:t>
      </w:r>
    </w:p>
    <w:p w14:paraId="7326C140" w14:textId="77777777" w:rsidR="00EF3DFB" w:rsidRDefault="00EF3DFB">
      <w:pPr>
        <w:pStyle w:val="BodyText"/>
        <w:spacing w:before="5"/>
        <w:rPr>
          <w:sz w:val="21"/>
        </w:rPr>
      </w:pPr>
    </w:p>
    <w:p w14:paraId="7326C141" w14:textId="77777777" w:rsidR="00EF3DFB" w:rsidRDefault="00D27C17">
      <w:pPr>
        <w:pStyle w:val="BodyText"/>
        <w:spacing w:line="249" w:lineRule="auto"/>
        <w:ind w:left="190" w:right="169"/>
        <w:jc w:val="both"/>
      </w:pPr>
      <w:r>
        <w:t>Addressing the matter involved performing procedures and evaluating audit evidence in connection with forming our overall opinion on the consolidated financial statements. These procedures included testing the effectiveness of controls relating to manageme</w:t>
      </w:r>
      <w:r>
        <w:t>nt’s</w:t>
      </w:r>
      <w:r>
        <w:rPr>
          <w:spacing w:val="11"/>
        </w:rPr>
        <w:t xml:space="preserve"> </w:t>
      </w:r>
      <w:r>
        <w:t>impairment</w:t>
      </w:r>
      <w:r>
        <w:rPr>
          <w:spacing w:val="11"/>
        </w:rPr>
        <w:t xml:space="preserve"> </w:t>
      </w:r>
      <w:r>
        <w:t>assessments</w:t>
      </w:r>
      <w:r>
        <w:rPr>
          <w:spacing w:val="11"/>
        </w:rPr>
        <w:t xml:space="preserve"> </w:t>
      </w:r>
      <w:r>
        <w:t>of</w:t>
      </w:r>
      <w:r>
        <w:rPr>
          <w:spacing w:val="11"/>
        </w:rPr>
        <w:t xml:space="preserve"> </w:t>
      </w:r>
      <w:r>
        <w:t>goodwill</w:t>
      </w:r>
      <w:r>
        <w:rPr>
          <w:spacing w:val="11"/>
        </w:rPr>
        <w:t xml:space="preserve"> </w:t>
      </w:r>
      <w:r>
        <w:t>and</w:t>
      </w:r>
      <w:r>
        <w:rPr>
          <w:spacing w:val="11"/>
        </w:rPr>
        <w:t xml:space="preserve"> </w:t>
      </w:r>
      <w:r>
        <w:t>indefinite-lived</w:t>
      </w:r>
      <w:r>
        <w:rPr>
          <w:spacing w:val="11"/>
        </w:rPr>
        <w:t xml:space="preserve"> </w:t>
      </w:r>
      <w:r>
        <w:t>intangible</w:t>
      </w:r>
      <w:r>
        <w:rPr>
          <w:spacing w:val="11"/>
        </w:rPr>
        <w:t xml:space="preserve"> </w:t>
      </w:r>
      <w:r>
        <w:t>assets,</w:t>
      </w:r>
      <w:r>
        <w:rPr>
          <w:spacing w:val="11"/>
        </w:rPr>
        <w:t xml:space="preserve"> </w:t>
      </w:r>
      <w:r>
        <w:t>including</w:t>
      </w:r>
      <w:r>
        <w:rPr>
          <w:spacing w:val="11"/>
        </w:rPr>
        <w:t xml:space="preserve"> </w:t>
      </w:r>
      <w:r>
        <w:t>controls</w:t>
      </w:r>
      <w:r>
        <w:rPr>
          <w:spacing w:val="11"/>
        </w:rPr>
        <w:t xml:space="preserve"> </w:t>
      </w:r>
      <w:r>
        <w:t>over</w:t>
      </w:r>
      <w:r>
        <w:rPr>
          <w:spacing w:val="11"/>
        </w:rPr>
        <w:t xml:space="preserve"> </w:t>
      </w:r>
      <w:r>
        <w:t>the</w:t>
      </w:r>
      <w:r>
        <w:rPr>
          <w:spacing w:val="11"/>
        </w:rPr>
        <w:t xml:space="preserve"> </w:t>
      </w:r>
      <w:r>
        <w:t>valuation</w:t>
      </w:r>
      <w:r>
        <w:rPr>
          <w:spacing w:val="11"/>
        </w:rPr>
        <w:t xml:space="preserve"> </w:t>
      </w:r>
      <w:r>
        <w:t>of</w:t>
      </w:r>
    </w:p>
    <w:p w14:paraId="7326C142" w14:textId="77777777" w:rsidR="00EF3DFB" w:rsidRDefault="00EF3DFB">
      <w:pPr>
        <w:spacing w:line="249" w:lineRule="auto"/>
        <w:jc w:val="both"/>
        <w:sectPr w:rsidR="00EF3DFB">
          <w:pgSz w:w="12240" w:h="15840"/>
          <w:pgMar w:top="600" w:right="640" w:bottom="480" w:left="620" w:header="0" w:footer="291" w:gutter="0"/>
          <w:cols w:space="720"/>
        </w:sectPr>
      </w:pPr>
    </w:p>
    <w:p w14:paraId="7326C143" w14:textId="77777777" w:rsidR="00EF3DFB" w:rsidRDefault="00D27C17">
      <w:pPr>
        <w:pStyle w:val="BodyText"/>
        <w:spacing w:before="72" w:line="249" w:lineRule="auto"/>
        <w:ind w:left="190" w:right="168"/>
        <w:jc w:val="both"/>
      </w:pPr>
      <w:r>
        <w:lastRenderedPageBreak/>
        <w:t>the Company’s reporting units and indefinite-lived intangible assets. These procedures also included, among others, (i) t</w:t>
      </w:r>
      <w:r>
        <w:t>esting management’s process for developing the fair value estimate of the reporting units and indefinite-lived intangible assets; (ii) evaluating the appropriateness of the income approach, relief from royalty method and excess earnings method; (iii) testi</w:t>
      </w:r>
      <w:r>
        <w:t>ng the completeness and accuracy of underlying data used in the estimates; and (iv) evaluating the significant assumptions used by management related to estimation of future cash flows, business growth rates, terminal values, discount rates, and total ente</w:t>
      </w:r>
      <w:r>
        <w:t>rprise value for goodwill and estimation of future cash flows, royalty rates, terminal values, discount rates, residual (or excess) cash flows and contributory asset charges for indefinite-lived intangible assets. Evaluating management’s assumptions relate</w:t>
      </w:r>
      <w:r>
        <w:t>d to the estimation of future cash flows, business growth rates, terminal values and total enterprise value for goodwill and estimation of future cash flows, terminal values, and residual (or excess cash flows) for indefinite-lived intangible assets involv</w:t>
      </w:r>
      <w:r>
        <w:t>ed evaluating whether the assumptions used by management were reasonable considering (i) the current and past performance of the reporting units and indefinite-lived intangible assets; (ii) the consistency with external and industry data; and (iii) whether</w:t>
      </w:r>
      <w:r>
        <w:t xml:space="preserve"> the assumptions were consistent with evidence obtained in other areas of the audit. Professionals with specialized skill and knowledge were used to assist in the evaluation of (i) the Company’s income approach, relief from royalty method, and excess earni</w:t>
      </w:r>
      <w:r>
        <w:t>ngs method and (ii) the discount rates for goodwill and the discount rates, royalty rates, and contributory asset charges for indefinite-lived intangible assets.</w:t>
      </w:r>
    </w:p>
    <w:p w14:paraId="7326C144" w14:textId="77777777" w:rsidR="00EF3DFB" w:rsidRDefault="00EF3DFB">
      <w:pPr>
        <w:pStyle w:val="BodyText"/>
        <w:spacing w:before="10"/>
        <w:rPr>
          <w:sz w:val="21"/>
        </w:rPr>
      </w:pPr>
    </w:p>
    <w:p w14:paraId="7326C145" w14:textId="77777777" w:rsidR="00EF3DFB" w:rsidRDefault="00D27C17">
      <w:pPr>
        <w:ind w:left="190"/>
        <w:jc w:val="both"/>
        <w:rPr>
          <w:i/>
          <w:sz w:val="20"/>
        </w:rPr>
      </w:pPr>
      <w:r>
        <w:rPr>
          <w:i/>
          <w:sz w:val="20"/>
        </w:rPr>
        <w:t>Uncertain Tax Positions</w:t>
      </w:r>
    </w:p>
    <w:p w14:paraId="7326C146" w14:textId="77777777" w:rsidR="00EF3DFB" w:rsidRDefault="00EF3DFB">
      <w:pPr>
        <w:pStyle w:val="BodyText"/>
        <w:spacing w:before="8"/>
        <w:rPr>
          <w:i/>
          <w:sz w:val="21"/>
        </w:rPr>
      </w:pPr>
    </w:p>
    <w:p w14:paraId="7326C147" w14:textId="77777777" w:rsidR="00EF3DFB" w:rsidRDefault="00D27C17">
      <w:pPr>
        <w:pStyle w:val="BodyText"/>
        <w:spacing w:line="249" w:lineRule="auto"/>
        <w:ind w:left="190" w:right="169"/>
        <w:jc w:val="both"/>
      </w:pPr>
      <w:r>
        <w:t>As described in Notes 1 and 12 to the consolidated financial stateme</w:t>
      </w:r>
      <w:r>
        <w:t>nts, the Company has liabilities recorded for unrecognized tax benefits of $452 million as of December 31, 2020. As disclosed by management, the Company’s income tax provisions are based on calculations and assumptions that are subject to examination by va</w:t>
      </w:r>
      <w:r>
        <w:t>rious worldwide tax authorities. It has established tax, interest and penalty reserves in recognition that various taxing authorities may challenge the positions taken, which could result in additional liabilities for taxes, interest and penalties. For unc</w:t>
      </w:r>
      <w:r>
        <w:t>ertain tax positions, management applies the provisions of relevant authoritative guidance, which requires application of a “more likely than not” threshold to the recognition and derecognition of tax positions. Management’s ongoing assessments of the more</w:t>
      </w:r>
      <w:r>
        <w:t xml:space="preserve"> likely than not outcomes of tax authority examinations and related tax positions require significant judgment.</w:t>
      </w:r>
    </w:p>
    <w:p w14:paraId="7326C148" w14:textId="77777777" w:rsidR="00EF3DFB" w:rsidRDefault="00EF3DFB">
      <w:pPr>
        <w:pStyle w:val="BodyText"/>
        <w:spacing w:before="5"/>
        <w:rPr>
          <w:sz w:val="21"/>
        </w:rPr>
      </w:pPr>
    </w:p>
    <w:p w14:paraId="7326C149" w14:textId="77777777" w:rsidR="00EF3DFB" w:rsidRDefault="00D27C17">
      <w:pPr>
        <w:pStyle w:val="BodyText"/>
        <w:spacing w:line="249" w:lineRule="auto"/>
        <w:ind w:left="190" w:right="168"/>
        <w:jc w:val="both"/>
      </w:pPr>
      <w:r>
        <w:t>The principal considerations for our determination that performing procedures relating to uncertain tax positions is a critical audit matter ar</w:t>
      </w:r>
      <w:r>
        <w:t>e (i) the significant judgment by management when determining uncertain tax positions, including a high degree of estimation uncertainty relative to the numerous and complex tax laws, court rulings, tax planning strategies, frequency of tax audits, and pot</w:t>
      </w:r>
      <w:r>
        <w:t xml:space="preserve">ential for significant adjustments as a result of such audits; (ii) a high degree of auditor judgment, subjectivity, and effort in performing procedures and evaluating management’s timely identification and accurate measurement of uncertain tax positions; </w:t>
      </w:r>
      <w:r>
        <w:t>(iii) the evaluation of audit evidence available to support the uncertain tax positions is complex and resulted in significant auditor judgment as the nature of the evidence is often highly subjective; and (iv) the audit effort involved the use of professi</w:t>
      </w:r>
      <w:r>
        <w:t>onals with specialized skill and knowledge. As described in the “Opinions on the Financial Statements and Internal Control over Financial Reporting” section, a material weakness was identified related to this matter.</w:t>
      </w:r>
    </w:p>
    <w:p w14:paraId="7326C14A" w14:textId="77777777" w:rsidR="00EF3DFB" w:rsidRDefault="00EF3DFB">
      <w:pPr>
        <w:pStyle w:val="BodyText"/>
        <w:spacing w:before="6"/>
        <w:rPr>
          <w:sz w:val="21"/>
        </w:rPr>
      </w:pPr>
    </w:p>
    <w:p w14:paraId="7326C14B" w14:textId="77777777" w:rsidR="00EF3DFB" w:rsidRDefault="00D27C17">
      <w:pPr>
        <w:pStyle w:val="BodyText"/>
        <w:spacing w:line="249" w:lineRule="auto"/>
        <w:ind w:left="190" w:right="169"/>
        <w:jc w:val="both"/>
      </w:pPr>
      <w:r>
        <w:t>Addressing the matter involved perform</w:t>
      </w:r>
      <w:r>
        <w:t>ing procedures and evaluating audit evidence in connection with forming our overall opinion on the consolidated financial statements. These procedures included among others (i) testing the information used in the calculation</w:t>
      </w:r>
      <w:r>
        <w:rPr>
          <w:spacing w:val="11"/>
        </w:rPr>
        <w:t xml:space="preserve"> </w:t>
      </w:r>
      <w:r>
        <w:t>of</w:t>
      </w:r>
      <w:r>
        <w:rPr>
          <w:spacing w:val="11"/>
        </w:rPr>
        <w:t xml:space="preserve"> </w:t>
      </w:r>
      <w:r>
        <w:t>the</w:t>
      </w:r>
      <w:r>
        <w:rPr>
          <w:spacing w:val="11"/>
        </w:rPr>
        <w:t xml:space="preserve"> </w:t>
      </w:r>
      <w:r>
        <w:t>uncertain</w:t>
      </w:r>
      <w:r>
        <w:rPr>
          <w:spacing w:val="11"/>
        </w:rPr>
        <w:t xml:space="preserve"> </w:t>
      </w:r>
      <w:r>
        <w:t>tax</w:t>
      </w:r>
      <w:r>
        <w:rPr>
          <w:spacing w:val="11"/>
        </w:rPr>
        <w:t xml:space="preserve"> </w:t>
      </w:r>
      <w:r>
        <w:t>positions,</w:t>
      </w:r>
      <w:r>
        <w:rPr>
          <w:spacing w:val="11"/>
        </w:rPr>
        <w:t xml:space="preserve"> </w:t>
      </w:r>
      <w:r>
        <w:t>including</w:t>
      </w:r>
      <w:r>
        <w:rPr>
          <w:spacing w:val="11"/>
        </w:rPr>
        <w:t xml:space="preserve"> </w:t>
      </w:r>
      <w:r>
        <w:t>intercompany</w:t>
      </w:r>
      <w:r>
        <w:rPr>
          <w:spacing w:val="11"/>
        </w:rPr>
        <w:t xml:space="preserve"> </w:t>
      </w:r>
      <w:r>
        <w:t>agreements</w:t>
      </w:r>
      <w:r>
        <w:rPr>
          <w:spacing w:val="11"/>
        </w:rPr>
        <w:t xml:space="preserve"> </w:t>
      </w:r>
      <w:r>
        <w:t>and</w:t>
      </w:r>
      <w:r>
        <w:rPr>
          <w:spacing w:val="11"/>
        </w:rPr>
        <w:t xml:space="preserve"> </w:t>
      </w:r>
      <w:r>
        <w:t>international,</w:t>
      </w:r>
      <w:r>
        <w:rPr>
          <w:spacing w:val="11"/>
        </w:rPr>
        <w:t xml:space="preserve"> </w:t>
      </w:r>
      <w:r>
        <w:t>federal,</w:t>
      </w:r>
      <w:r>
        <w:rPr>
          <w:spacing w:val="11"/>
        </w:rPr>
        <w:t xml:space="preserve"> </w:t>
      </w:r>
      <w:r>
        <w:t>and</w:t>
      </w:r>
      <w:r>
        <w:rPr>
          <w:spacing w:val="11"/>
        </w:rPr>
        <w:t xml:space="preserve"> </w:t>
      </w:r>
      <w:r>
        <w:t>state</w:t>
      </w:r>
      <w:r>
        <w:rPr>
          <w:spacing w:val="11"/>
        </w:rPr>
        <w:t xml:space="preserve"> </w:t>
      </w:r>
      <w:r>
        <w:t>filing</w:t>
      </w:r>
      <w:r>
        <w:rPr>
          <w:spacing w:val="11"/>
        </w:rPr>
        <w:t xml:space="preserve"> </w:t>
      </w:r>
      <w:r>
        <w:t>positions;</w:t>
      </w:r>
    </w:p>
    <w:p w14:paraId="7326C14C" w14:textId="77777777" w:rsidR="00EF3DFB" w:rsidRDefault="00D27C17">
      <w:pPr>
        <w:pStyle w:val="ListParagraph"/>
        <w:numPr>
          <w:ilvl w:val="0"/>
          <w:numId w:val="26"/>
        </w:numPr>
        <w:tabs>
          <w:tab w:val="left" w:pos="498"/>
        </w:tabs>
        <w:spacing w:before="3" w:line="249" w:lineRule="auto"/>
        <w:ind w:right="168" w:firstLine="0"/>
        <w:jc w:val="both"/>
        <w:rPr>
          <w:sz w:val="20"/>
        </w:rPr>
      </w:pPr>
      <w:r>
        <w:rPr>
          <w:sz w:val="20"/>
        </w:rPr>
        <w:t>testing the calculation of uncertain tax positions by jurisdiction, including management’s assessment of the technical merits of tax positions and estimates of the amount of tax benefit expected to be sustained; (iii) testing the completeness of management</w:t>
      </w:r>
      <w:r>
        <w:rPr>
          <w:sz w:val="20"/>
        </w:rPr>
        <w:t>’s assessment of both the identification of uncertain tax positions and possible outcomes of each uncertain tax position; and (iv) evaluating the status and results of income tax audits with the relevant tax authorities. Professionals with specialized skil</w:t>
      </w:r>
      <w:r>
        <w:rPr>
          <w:sz w:val="20"/>
        </w:rPr>
        <w:t>l and knowledge were used to assist in the evaluation of the completeness and measurement of the Company’s uncertain tax positions, including evaluating the reasonableness of management’s assessment of whether tax positions are more-likely-than-not of bein</w:t>
      </w:r>
      <w:r>
        <w:rPr>
          <w:sz w:val="20"/>
        </w:rPr>
        <w:t>g sustained, the amount of potential benefit to be realized, and the application of relevant tax</w:t>
      </w:r>
      <w:r>
        <w:rPr>
          <w:spacing w:val="-16"/>
          <w:sz w:val="20"/>
        </w:rPr>
        <w:t xml:space="preserve"> </w:t>
      </w:r>
      <w:r>
        <w:rPr>
          <w:sz w:val="20"/>
        </w:rPr>
        <w:t>laws.</w:t>
      </w:r>
    </w:p>
    <w:p w14:paraId="7326C14D" w14:textId="77777777" w:rsidR="00EF3DFB" w:rsidRDefault="00EF3DFB">
      <w:pPr>
        <w:pStyle w:val="BodyText"/>
        <w:rPr>
          <w:sz w:val="22"/>
        </w:rPr>
      </w:pPr>
    </w:p>
    <w:p w14:paraId="7326C14E" w14:textId="77777777" w:rsidR="00EF3DFB" w:rsidRDefault="00EF3DFB">
      <w:pPr>
        <w:pStyle w:val="BodyText"/>
        <w:rPr>
          <w:sz w:val="22"/>
        </w:rPr>
      </w:pPr>
    </w:p>
    <w:p w14:paraId="7326C14F" w14:textId="77777777" w:rsidR="00EF3DFB" w:rsidRDefault="00EF3DFB">
      <w:pPr>
        <w:pStyle w:val="BodyText"/>
        <w:spacing w:before="1"/>
        <w:rPr>
          <w:sz w:val="19"/>
        </w:rPr>
      </w:pPr>
    </w:p>
    <w:p w14:paraId="7326C150" w14:textId="77777777" w:rsidR="00EF3DFB" w:rsidRDefault="00D27C17">
      <w:pPr>
        <w:pStyle w:val="BodyText"/>
        <w:spacing w:line="249" w:lineRule="auto"/>
        <w:ind w:left="190" w:right="8137"/>
      </w:pPr>
      <w:r>
        <w:t>/s/ PricewaterhouseCoopers LLP New York, New York</w:t>
      </w:r>
    </w:p>
    <w:p w14:paraId="7326C151" w14:textId="77777777" w:rsidR="00EF3DFB" w:rsidRDefault="00D27C17">
      <w:pPr>
        <w:pStyle w:val="BodyText"/>
        <w:spacing w:before="2"/>
        <w:ind w:left="190"/>
        <w:jc w:val="both"/>
      </w:pPr>
      <w:r>
        <w:t>February 18, 2021</w:t>
      </w:r>
    </w:p>
    <w:p w14:paraId="7326C152" w14:textId="77777777" w:rsidR="00EF3DFB" w:rsidRDefault="00EF3DFB">
      <w:pPr>
        <w:pStyle w:val="BodyText"/>
        <w:spacing w:before="8"/>
        <w:rPr>
          <w:sz w:val="21"/>
        </w:rPr>
      </w:pPr>
    </w:p>
    <w:p w14:paraId="7326C153" w14:textId="77777777" w:rsidR="00EF3DFB" w:rsidRDefault="00D27C17">
      <w:pPr>
        <w:pStyle w:val="BodyText"/>
        <w:ind w:left="190"/>
        <w:jc w:val="both"/>
      </w:pPr>
      <w:r>
        <w:t>We have served as the Company’s auditor since 2016.</w:t>
      </w:r>
    </w:p>
    <w:p w14:paraId="7326C154" w14:textId="77777777" w:rsidR="00EF3DFB" w:rsidRDefault="00EF3DFB">
      <w:pPr>
        <w:jc w:val="both"/>
        <w:sectPr w:rsidR="00EF3DFB">
          <w:pgSz w:w="12240" w:h="15840"/>
          <w:pgMar w:top="60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885"/>
        <w:gridCol w:w="1256"/>
        <w:gridCol w:w="1260"/>
        <w:gridCol w:w="1219"/>
      </w:tblGrid>
      <w:tr w:rsidR="00EF3DFB" w14:paraId="7326C158" w14:textId="77777777">
        <w:trPr>
          <w:trHeight w:val="472"/>
        </w:trPr>
        <w:tc>
          <w:tcPr>
            <w:tcW w:w="6885" w:type="dxa"/>
          </w:tcPr>
          <w:p w14:paraId="7326C155" w14:textId="77777777" w:rsidR="00EF3DFB" w:rsidRDefault="00D27C17">
            <w:pPr>
              <w:pStyle w:val="TableParagraph"/>
              <w:spacing w:line="219" w:lineRule="exact"/>
              <w:rPr>
                <w:b/>
                <w:sz w:val="20"/>
              </w:rPr>
            </w:pPr>
            <w:bookmarkStart w:id="43" w:name="Consolidated_Statements_of_Operations"/>
            <w:bookmarkEnd w:id="43"/>
            <w:r>
              <w:rPr>
                <w:b/>
                <w:sz w:val="20"/>
              </w:rPr>
              <w:lastRenderedPageBreak/>
              <w:t>NEWELL BRANDS INC. AND SUBSIDIARIES</w:t>
            </w:r>
          </w:p>
          <w:p w14:paraId="7326C156" w14:textId="77777777" w:rsidR="00EF3DFB" w:rsidRDefault="00D27C17">
            <w:pPr>
              <w:pStyle w:val="TableParagraph"/>
              <w:spacing w:before="10" w:line="224" w:lineRule="exact"/>
              <w:rPr>
                <w:b/>
                <w:sz w:val="20"/>
              </w:rPr>
            </w:pPr>
            <w:r>
              <w:rPr>
                <w:b/>
                <w:sz w:val="20"/>
              </w:rPr>
              <w:t>CONSOLIDATED STATEMENTS OF OPERATIONS</w:t>
            </w:r>
          </w:p>
        </w:tc>
        <w:tc>
          <w:tcPr>
            <w:tcW w:w="3735" w:type="dxa"/>
            <w:gridSpan w:val="3"/>
          </w:tcPr>
          <w:p w14:paraId="7326C157" w14:textId="77777777" w:rsidR="00EF3DFB" w:rsidRDefault="00EF3DFB">
            <w:pPr>
              <w:pStyle w:val="TableParagraph"/>
              <w:rPr>
                <w:sz w:val="18"/>
              </w:rPr>
            </w:pPr>
          </w:p>
        </w:tc>
      </w:tr>
      <w:tr w:rsidR="00EF3DFB" w14:paraId="7326C164" w14:textId="77777777">
        <w:trPr>
          <w:trHeight w:val="620"/>
        </w:trPr>
        <w:tc>
          <w:tcPr>
            <w:tcW w:w="6885" w:type="dxa"/>
          </w:tcPr>
          <w:p w14:paraId="7326C159" w14:textId="77777777" w:rsidR="00EF3DFB" w:rsidRDefault="00D27C17">
            <w:pPr>
              <w:pStyle w:val="TableParagraph"/>
              <w:spacing w:line="230" w:lineRule="exact"/>
              <w:rPr>
                <w:i/>
                <w:sz w:val="20"/>
              </w:rPr>
            </w:pPr>
            <w:r>
              <w:rPr>
                <w:i/>
                <w:sz w:val="20"/>
              </w:rPr>
              <w:t>(Amounts in millions, except per share data)</w:t>
            </w:r>
          </w:p>
          <w:p w14:paraId="7326C15A" w14:textId="77777777" w:rsidR="00EF3DFB" w:rsidRDefault="00D27C17">
            <w:pPr>
              <w:pStyle w:val="TableParagraph"/>
              <w:spacing w:before="184"/>
              <w:ind w:left="52"/>
              <w:rPr>
                <w:b/>
                <w:sz w:val="16"/>
              </w:rPr>
            </w:pPr>
            <w:r>
              <w:rPr>
                <w:b/>
                <w:sz w:val="16"/>
              </w:rPr>
              <w:t>Year Ended December 31,</w:t>
            </w:r>
          </w:p>
        </w:tc>
        <w:tc>
          <w:tcPr>
            <w:tcW w:w="1256" w:type="dxa"/>
            <w:tcBorders>
              <w:bottom w:val="single" w:sz="8" w:space="0" w:color="000000"/>
            </w:tcBorders>
          </w:tcPr>
          <w:p w14:paraId="7326C15B" w14:textId="77777777" w:rsidR="00EF3DFB" w:rsidRDefault="00EF3DFB">
            <w:pPr>
              <w:pStyle w:val="TableParagraph"/>
              <w:rPr>
                <w:sz w:val="18"/>
              </w:rPr>
            </w:pPr>
          </w:p>
          <w:p w14:paraId="7326C15C" w14:textId="77777777" w:rsidR="00EF3DFB" w:rsidRDefault="00EF3DFB">
            <w:pPr>
              <w:pStyle w:val="TableParagraph"/>
              <w:spacing w:before="11"/>
              <w:rPr>
                <w:sz w:val="17"/>
              </w:rPr>
            </w:pPr>
          </w:p>
          <w:p w14:paraId="7326C15D" w14:textId="77777777" w:rsidR="00EF3DFB" w:rsidRDefault="00D27C17">
            <w:pPr>
              <w:pStyle w:val="TableParagraph"/>
              <w:ind w:left="242" w:right="297"/>
              <w:jc w:val="center"/>
              <w:rPr>
                <w:b/>
                <w:sz w:val="16"/>
              </w:rPr>
            </w:pPr>
            <w:r>
              <w:rPr>
                <w:b/>
                <w:sz w:val="16"/>
              </w:rPr>
              <w:t>2020</w:t>
            </w:r>
          </w:p>
        </w:tc>
        <w:tc>
          <w:tcPr>
            <w:tcW w:w="1260" w:type="dxa"/>
            <w:tcBorders>
              <w:bottom w:val="single" w:sz="8" w:space="0" w:color="000000"/>
            </w:tcBorders>
          </w:tcPr>
          <w:p w14:paraId="7326C15E" w14:textId="77777777" w:rsidR="00EF3DFB" w:rsidRDefault="00EF3DFB">
            <w:pPr>
              <w:pStyle w:val="TableParagraph"/>
              <w:rPr>
                <w:sz w:val="18"/>
              </w:rPr>
            </w:pPr>
          </w:p>
          <w:p w14:paraId="7326C15F" w14:textId="77777777" w:rsidR="00EF3DFB" w:rsidRDefault="00EF3DFB">
            <w:pPr>
              <w:pStyle w:val="TableParagraph"/>
              <w:spacing w:before="11"/>
              <w:rPr>
                <w:sz w:val="17"/>
              </w:rPr>
            </w:pPr>
          </w:p>
          <w:p w14:paraId="7326C160" w14:textId="77777777" w:rsidR="00EF3DFB" w:rsidRDefault="00D27C17">
            <w:pPr>
              <w:pStyle w:val="TableParagraph"/>
              <w:ind w:left="432" w:right="467"/>
              <w:jc w:val="center"/>
              <w:rPr>
                <w:b/>
                <w:sz w:val="16"/>
              </w:rPr>
            </w:pPr>
            <w:r>
              <w:rPr>
                <w:b/>
                <w:sz w:val="16"/>
              </w:rPr>
              <w:t>2019</w:t>
            </w:r>
          </w:p>
        </w:tc>
        <w:tc>
          <w:tcPr>
            <w:tcW w:w="1219" w:type="dxa"/>
            <w:tcBorders>
              <w:bottom w:val="single" w:sz="8" w:space="0" w:color="000000"/>
            </w:tcBorders>
          </w:tcPr>
          <w:p w14:paraId="7326C161" w14:textId="77777777" w:rsidR="00EF3DFB" w:rsidRDefault="00EF3DFB">
            <w:pPr>
              <w:pStyle w:val="TableParagraph"/>
              <w:rPr>
                <w:sz w:val="18"/>
              </w:rPr>
            </w:pPr>
          </w:p>
          <w:p w14:paraId="7326C162" w14:textId="77777777" w:rsidR="00EF3DFB" w:rsidRDefault="00EF3DFB">
            <w:pPr>
              <w:pStyle w:val="TableParagraph"/>
              <w:spacing w:before="11"/>
              <w:rPr>
                <w:sz w:val="17"/>
              </w:rPr>
            </w:pPr>
          </w:p>
          <w:p w14:paraId="7326C163" w14:textId="77777777" w:rsidR="00EF3DFB" w:rsidRDefault="00D27C17">
            <w:pPr>
              <w:pStyle w:val="TableParagraph"/>
              <w:ind w:left="438" w:right="419"/>
              <w:jc w:val="center"/>
              <w:rPr>
                <w:b/>
                <w:sz w:val="16"/>
              </w:rPr>
            </w:pPr>
            <w:r>
              <w:rPr>
                <w:b/>
                <w:sz w:val="16"/>
              </w:rPr>
              <w:t>2018</w:t>
            </w:r>
          </w:p>
        </w:tc>
      </w:tr>
      <w:tr w:rsidR="00EF3DFB" w14:paraId="7326C169" w14:textId="77777777">
        <w:trPr>
          <w:trHeight w:val="275"/>
        </w:trPr>
        <w:tc>
          <w:tcPr>
            <w:tcW w:w="6885" w:type="dxa"/>
            <w:shd w:val="clear" w:color="auto" w:fill="CCEDFF"/>
          </w:tcPr>
          <w:p w14:paraId="7326C165" w14:textId="77777777" w:rsidR="00EF3DFB" w:rsidRDefault="00D27C17">
            <w:pPr>
              <w:pStyle w:val="TableParagraph"/>
              <w:spacing w:line="222" w:lineRule="exact"/>
              <w:ind w:left="52"/>
              <w:rPr>
                <w:sz w:val="20"/>
              </w:rPr>
            </w:pPr>
            <w:r>
              <w:rPr>
                <w:sz w:val="20"/>
              </w:rPr>
              <w:t>Net sales</w:t>
            </w:r>
          </w:p>
        </w:tc>
        <w:tc>
          <w:tcPr>
            <w:tcW w:w="1256" w:type="dxa"/>
            <w:tcBorders>
              <w:top w:val="single" w:sz="8" w:space="0" w:color="000000"/>
            </w:tcBorders>
            <w:shd w:val="clear" w:color="auto" w:fill="CCEDFF"/>
          </w:tcPr>
          <w:p w14:paraId="7326C166" w14:textId="77777777" w:rsidR="00EF3DFB" w:rsidRDefault="00D27C17">
            <w:pPr>
              <w:pStyle w:val="TableParagraph"/>
              <w:tabs>
                <w:tab w:val="left" w:pos="668"/>
              </w:tabs>
              <w:spacing w:before="12"/>
              <w:ind w:left="52"/>
              <w:rPr>
                <w:sz w:val="20"/>
              </w:rPr>
            </w:pPr>
            <w:r>
              <w:rPr>
                <w:sz w:val="20"/>
              </w:rPr>
              <w:t>$</w:t>
            </w:r>
            <w:r>
              <w:rPr>
                <w:sz w:val="20"/>
              </w:rPr>
              <w:tab/>
              <w:t>9,385</w:t>
            </w:r>
          </w:p>
        </w:tc>
        <w:tc>
          <w:tcPr>
            <w:tcW w:w="1260" w:type="dxa"/>
            <w:tcBorders>
              <w:top w:val="single" w:sz="8" w:space="0" w:color="000000"/>
            </w:tcBorders>
            <w:shd w:val="clear" w:color="auto" w:fill="CCEDFF"/>
          </w:tcPr>
          <w:p w14:paraId="7326C167" w14:textId="77777777" w:rsidR="00EF3DFB" w:rsidRDefault="00D27C17">
            <w:pPr>
              <w:pStyle w:val="TableParagraph"/>
              <w:tabs>
                <w:tab w:val="left" w:pos="672"/>
              </w:tabs>
              <w:spacing w:before="12"/>
              <w:ind w:left="71"/>
              <w:rPr>
                <w:sz w:val="20"/>
              </w:rPr>
            </w:pPr>
            <w:r>
              <w:rPr>
                <w:sz w:val="20"/>
              </w:rPr>
              <w:t>$</w:t>
            </w:r>
            <w:r>
              <w:rPr>
                <w:sz w:val="20"/>
              </w:rPr>
              <w:tab/>
            </w:r>
            <w:r>
              <w:rPr>
                <w:sz w:val="20"/>
              </w:rPr>
              <w:t>9,715</w:t>
            </w:r>
          </w:p>
        </w:tc>
        <w:tc>
          <w:tcPr>
            <w:tcW w:w="1219" w:type="dxa"/>
            <w:tcBorders>
              <w:top w:val="single" w:sz="8" w:space="0" w:color="000000"/>
            </w:tcBorders>
            <w:shd w:val="clear" w:color="auto" w:fill="CCEDFF"/>
          </w:tcPr>
          <w:p w14:paraId="7326C168" w14:textId="77777777" w:rsidR="00EF3DFB" w:rsidRDefault="00D27C17">
            <w:pPr>
              <w:pStyle w:val="TableParagraph"/>
              <w:tabs>
                <w:tab w:val="left" w:pos="587"/>
              </w:tabs>
              <w:spacing w:before="12"/>
              <w:ind w:left="71"/>
              <w:rPr>
                <w:sz w:val="20"/>
              </w:rPr>
            </w:pPr>
            <w:r>
              <w:rPr>
                <w:sz w:val="20"/>
              </w:rPr>
              <w:t>$</w:t>
            </w:r>
            <w:r>
              <w:rPr>
                <w:sz w:val="20"/>
              </w:rPr>
              <w:tab/>
              <w:t>10,154</w:t>
            </w:r>
          </w:p>
        </w:tc>
      </w:tr>
      <w:tr w:rsidR="00EF3DFB" w14:paraId="7326C16E" w14:textId="77777777">
        <w:trPr>
          <w:trHeight w:val="275"/>
        </w:trPr>
        <w:tc>
          <w:tcPr>
            <w:tcW w:w="6885" w:type="dxa"/>
          </w:tcPr>
          <w:p w14:paraId="7326C16A" w14:textId="77777777" w:rsidR="00EF3DFB" w:rsidRDefault="00D27C17">
            <w:pPr>
              <w:pStyle w:val="TableParagraph"/>
              <w:spacing w:before="1"/>
              <w:ind w:left="52"/>
              <w:rPr>
                <w:sz w:val="20"/>
              </w:rPr>
            </w:pPr>
            <w:r>
              <w:rPr>
                <w:sz w:val="20"/>
              </w:rPr>
              <w:t>Cost of products sold</w:t>
            </w:r>
          </w:p>
        </w:tc>
        <w:tc>
          <w:tcPr>
            <w:tcW w:w="1256" w:type="dxa"/>
            <w:tcBorders>
              <w:bottom w:val="single" w:sz="8" w:space="0" w:color="000000"/>
            </w:tcBorders>
          </w:tcPr>
          <w:p w14:paraId="7326C16B" w14:textId="77777777" w:rsidR="00EF3DFB" w:rsidRDefault="00D27C17">
            <w:pPr>
              <w:pStyle w:val="TableParagraph"/>
              <w:spacing w:before="22"/>
              <w:ind w:right="135"/>
              <w:jc w:val="right"/>
              <w:rPr>
                <w:sz w:val="20"/>
              </w:rPr>
            </w:pPr>
            <w:r>
              <w:rPr>
                <w:sz w:val="20"/>
              </w:rPr>
              <w:t>6,306</w:t>
            </w:r>
          </w:p>
        </w:tc>
        <w:tc>
          <w:tcPr>
            <w:tcW w:w="1260" w:type="dxa"/>
            <w:tcBorders>
              <w:bottom w:val="single" w:sz="8" w:space="0" w:color="000000"/>
            </w:tcBorders>
          </w:tcPr>
          <w:p w14:paraId="7326C16C" w14:textId="77777777" w:rsidR="00EF3DFB" w:rsidRDefault="00D27C17">
            <w:pPr>
              <w:pStyle w:val="TableParagraph"/>
              <w:spacing w:before="22"/>
              <w:ind w:right="135"/>
              <w:jc w:val="right"/>
              <w:rPr>
                <w:sz w:val="20"/>
              </w:rPr>
            </w:pPr>
            <w:r>
              <w:rPr>
                <w:sz w:val="20"/>
              </w:rPr>
              <w:t>6,496</w:t>
            </w:r>
          </w:p>
        </w:tc>
        <w:tc>
          <w:tcPr>
            <w:tcW w:w="1219" w:type="dxa"/>
            <w:tcBorders>
              <w:bottom w:val="single" w:sz="8" w:space="0" w:color="000000"/>
            </w:tcBorders>
          </w:tcPr>
          <w:p w14:paraId="7326C16D" w14:textId="77777777" w:rsidR="00EF3DFB" w:rsidRDefault="00D27C17">
            <w:pPr>
              <w:pStyle w:val="TableParagraph"/>
              <w:spacing w:before="22"/>
              <w:ind w:right="79"/>
              <w:jc w:val="right"/>
              <w:rPr>
                <w:sz w:val="20"/>
              </w:rPr>
            </w:pPr>
            <w:r>
              <w:rPr>
                <w:sz w:val="20"/>
              </w:rPr>
              <w:t>6,636</w:t>
            </w:r>
          </w:p>
        </w:tc>
      </w:tr>
      <w:tr w:rsidR="00EF3DFB" w14:paraId="7326C173" w14:textId="77777777">
        <w:trPr>
          <w:trHeight w:val="275"/>
        </w:trPr>
        <w:tc>
          <w:tcPr>
            <w:tcW w:w="6885" w:type="dxa"/>
            <w:shd w:val="clear" w:color="auto" w:fill="CCEDFF"/>
          </w:tcPr>
          <w:p w14:paraId="7326C16F" w14:textId="77777777" w:rsidR="00EF3DFB" w:rsidRDefault="00D27C17">
            <w:pPr>
              <w:pStyle w:val="TableParagraph"/>
              <w:spacing w:line="222" w:lineRule="exact"/>
              <w:ind w:left="52"/>
              <w:rPr>
                <w:sz w:val="20"/>
              </w:rPr>
            </w:pPr>
            <w:r>
              <w:rPr>
                <w:sz w:val="20"/>
              </w:rPr>
              <w:t>Gross profit</w:t>
            </w:r>
          </w:p>
        </w:tc>
        <w:tc>
          <w:tcPr>
            <w:tcW w:w="1256" w:type="dxa"/>
            <w:tcBorders>
              <w:top w:val="single" w:sz="8" w:space="0" w:color="000000"/>
            </w:tcBorders>
            <w:shd w:val="clear" w:color="auto" w:fill="CCEDFF"/>
          </w:tcPr>
          <w:p w14:paraId="7326C170" w14:textId="77777777" w:rsidR="00EF3DFB" w:rsidRDefault="00D27C17">
            <w:pPr>
              <w:pStyle w:val="TableParagraph"/>
              <w:spacing w:before="12"/>
              <w:ind w:right="135"/>
              <w:jc w:val="right"/>
              <w:rPr>
                <w:sz w:val="20"/>
              </w:rPr>
            </w:pPr>
            <w:r>
              <w:rPr>
                <w:sz w:val="20"/>
              </w:rPr>
              <w:t>3,079</w:t>
            </w:r>
          </w:p>
        </w:tc>
        <w:tc>
          <w:tcPr>
            <w:tcW w:w="1260" w:type="dxa"/>
            <w:tcBorders>
              <w:top w:val="single" w:sz="8" w:space="0" w:color="000000"/>
            </w:tcBorders>
            <w:shd w:val="clear" w:color="auto" w:fill="CCEDFF"/>
          </w:tcPr>
          <w:p w14:paraId="7326C171" w14:textId="77777777" w:rsidR="00EF3DFB" w:rsidRDefault="00D27C17">
            <w:pPr>
              <w:pStyle w:val="TableParagraph"/>
              <w:spacing w:before="12"/>
              <w:ind w:right="135"/>
              <w:jc w:val="right"/>
              <w:rPr>
                <w:sz w:val="20"/>
              </w:rPr>
            </w:pPr>
            <w:r>
              <w:rPr>
                <w:sz w:val="20"/>
              </w:rPr>
              <w:t>3,219</w:t>
            </w:r>
          </w:p>
        </w:tc>
        <w:tc>
          <w:tcPr>
            <w:tcW w:w="1219" w:type="dxa"/>
            <w:tcBorders>
              <w:top w:val="single" w:sz="8" w:space="0" w:color="000000"/>
            </w:tcBorders>
            <w:shd w:val="clear" w:color="auto" w:fill="CCEDFF"/>
          </w:tcPr>
          <w:p w14:paraId="7326C172" w14:textId="77777777" w:rsidR="00EF3DFB" w:rsidRDefault="00D27C17">
            <w:pPr>
              <w:pStyle w:val="TableParagraph"/>
              <w:spacing w:before="12"/>
              <w:ind w:right="79"/>
              <w:jc w:val="right"/>
              <w:rPr>
                <w:sz w:val="20"/>
              </w:rPr>
            </w:pPr>
            <w:r>
              <w:rPr>
                <w:sz w:val="20"/>
              </w:rPr>
              <w:t>3,518</w:t>
            </w:r>
          </w:p>
        </w:tc>
      </w:tr>
      <w:tr w:rsidR="00EF3DFB" w14:paraId="7326C178" w14:textId="77777777">
        <w:trPr>
          <w:trHeight w:val="285"/>
        </w:trPr>
        <w:tc>
          <w:tcPr>
            <w:tcW w:w="6885" w:type="dxa"/>
          </w:tcPr>
          <w:p w14:paraId="7326C174" w14:textId="77777777" w:rsidR="00EF3DFB" w:rsidRDefault="00D27C17">
            <w:pPr>
              <w:pStyle w:val="TableParagraph"/>
              <w:spacing w:before="1"/>
              <w:ind w:left="52"/>
              <w:rPr>
                <w:sz w:val="20"/>
              </w:rPr>
            </w:pPr>
            <w:r>
              <w:rPr>
                <w:sz w:val="20"/>
              </w:rPr>
              <w:t>Selling, general and administrative expenses</w:t>
            </w:r>
          </w:p>
        </w:tc>
        <w:tc>
          <w:tcPr>
            <w:tcW w:w="1256" w:type="dxa"/>
          </w:tcPr>
          <w:p w14:paraId="7326C175" w14:textId="77777777" w:rsidR="00EF3DFB" w:rsidRDefault="00D27C17">
            <w:pPr>
              <w:pStyle w:val="TableParagraph"/>
              <w:spacing w:before="22"/>
              <w:ind w:right="135"/>
              <w:jc w:val="right"/>
              <w:rPr>
                <w:sz w:val="20"/>
              </w:rPr>
            </w:pPr>
            <w:r>
              <w:rPr>
                <w:sz w:val="20"/>
              </w:rPr>
              <w:t>2,189</w:t>
            </w:r>
          </w:p>
        </w:tc>
        <w:tc>
          <w:tcPr>
            <w:tcW w:w="1260" w:type="dxa"/>
          </w:tcPr>
          <w:p w14:paraId="7326C176" w14:textId="77777777" w:rsidR="00EF3DFB" w:rsidRDefault="00D27C17">
            <w:pPr>
              <w:pStyle w:val="TableParagraph"/>
              <w:spacing w:before="22"/>
              <w:ind w:right="135"/>
              <w:jc w:val="right"/>
              <w:rPr>
                <w:sz w:val="20"/>
              </w:rPr>
            </w:pPr>
            <w:r>
              <w:rPr>
                <w:sz w:val="20"/>
              </w:rPr>
              <w:t>2,451</w:t>
            </w:r>
          </w:p>
        </w:tc>
        <w:tc>
          <w:tcPr>
            <w:tcW w:w="1219" w:type="dxa"/>
          </w:tcPr>
          <w:p w14:paraId="7326C177" w14:textId="77777777" w:rsidR="00EF3DFB" w:rsidRDefault="00D27C17">
            <w:pPr>
              <w:pStyle w:val="TableParagraph"/>
              <w:spacing w:before="22"/>
              <w:ind w:right="79"/>
              <w:jc w:val="right"/>
              <w:rPr>
                <w:sz w:val="20"/>
              </w:rPr>
            </w:pPr>
            <w:r>
              <w:rPr>
                <w:sz w:val="20"/>
              </w:rPr>
              <w:t>2,648</w:t>
            </w:r>
          </w:p>
        </w:tc>
      </w:tr>
      <w:tr w:rsidR="00EF3DFB" w14:paraId="7326C17D" w14:textId="77777777">
        <w:trPr>
          <w:trHeight w:val="285"/>
        </w:trPr>
        <w:tc>
          <w:tcPr>
            <w:tcW w:w="6885" w:type="dxa"/>
            <w:shd w:val="clear" w:color="auto" w:fill="CCEDFF"/>
          </w:tcPr>
          <w:p w14:paraId="7326C179" w14:textId="77777777" w:rsidR="00EF3DFB" w:rsidRDefault="00D27C17">
            <w:pPr>
              <w:pStyle w:val="TableParagraph"/>
              <w:spacing w:before="1"/>
              <w:ind w:left="52"/>
              <w:rPr>
                <w:sz w:val="20"/>
              </w:rPr>
            </w:pPr>
            <w:r>
              <w:rPr>
                <w:sz w:val="20"/>
              </w:rPr>
              <w:t>Restructuring costs, net</w:t>
            </w:r>
          </w:p>
        </w:tc>
        <w:tc>
          <w:tcPr>
            <w:tcW w:w="1256" w:type="dxa"/>
            <w:shd w:val="clear" w:color="auto" w:fill="CCEDFF"/>
          </w:tcPr>
          <w:p w14:paraId="7326C17A" w14:textId="77777777" w:rsidR="00EF3DFB" w:rsidRDefault="00D27C17">
            <w:pPr>
              <w:pStyle w:val="TableParagraph"/>
              <w:spacing w:before="22"/>
              <w:ind w:right="135"/>
              <w:jc w:val="right"/>
              <w:rPr>
                <w:sz w:val="20"/>
              </w:rPr>
            </w:pPr>
            <w:r>
              <w:rPr>
                <w:sz w:val="20"/>
              </w:rPr>
              <w:t>21</w:t>
            </w:r>
          </w:p>
        </w:tc>
        <w:tc>
          <w:tcPr>
            <w:tcW w:w="1260" w:type="dxa"/>
            <w:shd w:val="clear" w:color="auto" w:fill="CCEDFF"/>
          </w:tcPr>
          <w:p w14:paraId="7326C17B" w14:textId="77777777" w:rsidR="00EF3DFB" w:rsidRDefault="00D27C17">
            <w:pPr>
              <w:pStyle w:val="TableParagraph"/>
              <w:spacing w:before="22"/>
              <w:ind w:right="135"/>
              <w:jc w:val="right"/>
              <w:rPr>
                <w:sz w:val="20"/>
              </w:rPr>
            </w:pPr>
            <w:r>
              <w:rPr>
                <w:sz w:val="20"/>
              </w:rPr>
              <w:t>27</w:t>
            </w:r>
          </w:p>
        </w:tc>
        <w:tc>
          <w:tcPr>
            <w:tcW w:w="1219" w:type="dxa"/>
            <w:shd w:val="clear" w:color="auto" w:fill="CCEDFF"/>
          </w:tcPr>
          <w:p w14:paraId="7326C17C" w14:textId="77777777" w:rsidR="00EF3DFB" w:rsidRDefault="00D27C17">
            <w:pPr>
              <w:pStyle w:val="TableParagraph"/>
              <w:spacing w:before="22"/>
              <w:ind w:right="79"/>
              <w:jc w:val="right"/>
              <w:rPr>
                <w:sz w:val="20"/>
              </w:rPr>
            </w:pPr>
            <w:r>
              <w:rPr>
                <w:sz w:val="20"/>
              </w:rPr>
              <w:t>87</w:t>
            </w:r>
          </w:p>
        </w:tc>
      </w:tr>
      <w:tr w:rsidR="00EF3DFB" w14:paraId="7326C182" w14:textId="77777777">
        <w:trPr>
          <w:trHeight w:val="275"/>
        </w:trPr>
        <w:tc>
          <w:tcPr>
            <w:tcW w:w="6885" w:type="dxa"/>
          </w:tcPr>
          <w:p w14:paraId="7326C17E" w14:textId="77777777" w:rsidR="00EF3DFB" w:rsidRDefault="00D27C17">
            <w:pPr>
              <w:pStyle w:val="TableParagraph"/>
              <w:spacing w:before="1"/>
              <w:ind w:left="52"/>
              <w:rPr>
                <w:sz w:val="20"/>
              </w:rPr>
            </w:pPr>
            <w:r>
              <w:rPr>
                <w:sz w:val="20"/>
              </w:rPr>
              <w:t>Impairment of goodwill, intangibles and other assets</w:t>
            </w:r>
          </w:p>
        </w:tc>
        <w:tc>
          <w:tcPr>
            <w:tcW w:w="1256" w:type="dxa"/>
            <w:tcBorders>
              <w:bottom w:val="single" w:sz="8" w:space="0" w:color="000000"/>
            </w:tcBorders>
          </w:tcPr>
          <w:p w14:paraId="7326C17F" w14:textId="77777777" w:rsidR="00EF3DFB" w:rsidRDefault="00D27C17">
            <w:pPr>
              <w:pStyle w:val="TableParagraph"/>
              <w:spacing w:before="22"/>
              <w:ind w:right="135"/>
              <w:jc w:val="right"/>
              <w:rPr>
                <w:sz w:val="20"/>
              </w:rPr>
            </w:pPr>
            <w:r>
              <w:rPr>
                <w:sz w:val="20"/>
              </w:rPr>
              <w:t>1,503</w:t>
            </w:r>
          </w:p>
        </w:tc>
        <w:tc>
          <w:tcPr>
            <w:tcW w:w="1260" w:type="dxa"/>
            <w:tcBorders>
              <w:bottom w:val="single" w:sz="8" w:space="0" w:color="000000"/>
            </w:tcBorders>
          </w:tcPr>
          <w:p w14:paraId="7326C180" w14:textId="77777777" w:rsidR="00EF3DFB" w:rsidRDefault="00D27C17">
            <w:pPr>
              <w:pStyle w:val="TableParagraph"/>
              <w:spacing w:before="22"/>
              <w:ind w:right="135"/>
              <w:jc w:val="right"/>
              <w:rPr>
                <w:sz w:val="20"/>
              </w:rPr>
            </w:pPr>
            <w:r>
              <w:rPr>
                <w:sz w:val="20"/>
              </w:rPr>
              <w:t>1,223</w:t>
            </w:r>
          </w:p>
        </w:tc>
        <w:tc>
          <w:tcPr>
            <w:tcW w:w="1219" w:type="dxa"/>
            <w:tcBorders>
              <w:bottom w:val="single" w:sz="8" w:space="0" w:color="000000"/>
            </w:tcBorders>
          </w:tcPr>
          <w:p w14:paraId="7326C181" w14:textId="77777777" w:rsidR="00EF3DFB" w:rsidRDefault="00D27C17">
            <w:pPr>
              <w:pStyle w:val="TableParagraph"/>
              <w:spacing w:before="22"/>
              <w:ind w:right="79"/>
              <w:jc w:val="right"/>
              <w:rPr>
                <w:sz w:val="20"/>
              </w:rPr>
            </w:pPr>
            <w:r>
              <w:rPr>
                <w:sz w:val="20"/>
              </w:rPr>
              <w:t>8,337</w:t>
            </w:r>
          </w:p>
        </w:tc>
      </w:tr>
      <w:tr w:rsidR="00EF3DFB" w14:paraId="7326C187" w14:textId="77777777">
        <w:trPr>
          <w:trHeight w:val="275"/>
        </w:trPr>
        <w:tc>
          <w:tcPr>
            <w:tcW w:w="6885" w:type="dxa"/>
            <w:shd w:val="clear" w:color="auto" w:fill="CCEDFF"/>
          </w:tcPr>
          <w:p w14:paraId="7326C183" w14:textId="77777777" w:rsidR="00EF3DFB" w:rsidRDefault="00D27C17">
            <w:pPr>
              <w:pStyle w:val="TableParagraph"/>
              <w:spacing w:line="218" w:lineRule="exact"/>
              <w:ind w:left="52"/>
              <w:rPr>
                <w:b/>
                <w:sz w:val="20"/>
              </w:rPr>
            </w:pPr>
            <w:r>
              <w:rPr>
                <w:b/>
                <w:sz w:val="20"/>
              </w:rPr>
              <w:t>Operating loss</w:t>
            </w:r>
          </w:p>
        </w:tc>
        <w:tc>
          <w:tcPr>
            <w:tcW w:w="1256" w:type="dxa"/>
            <w:tcBorders>
              <w:top w:val="single" w:sz="8" w:space="0" w:color="000000"/>
            </w:tcBorders>
            <w:shd w:val="clear" w:color="auto" w:fill="CCEDFF"/>
          </w:tcPr>
          <w:p w14:paraId="7326C184" w14:textId="77777777" w:rsidR="00EF3DFB" w:rsidRDefault="00D27C17">
            <w:pPr>
              <w:pStyle w:val="TableParagraph"/>
              <w:spacing w:before="12"/>
              <w:ind w:right="70"/>
              <w:jc w:val="right"/>
              <w:rPr>
                <w:sz w:val="20"/>
              </w:rPr>
            </w:pPr>
            <w:r>
              <w:rPr>
                <w:sz w:val="20"/>
              </w:rPr>
              <w:t>(634)</w:t>
            </w:r>
          </w:p>
        </w:tc>
        <w:tc>
          <w:tcPr>
            <w:tcW w:w="1260" w:type="dxa"/>
            <w:tcBorders>
              <w:top w:val="single" w:sz="8" w:space="0" w:color="000000"/>
            </w:tcBorders>
            <w:shd w:val="clear" w:color="auto" w:fill="CCEDFF"/>
          </w:tcPr>
          <w:p w14:paraId="7326C185" w14:textId="77777777" w:rsidR="00EF3DFB" w:rsidRDefault="00D27C17">
            <w:pPr>
              <w:pStyle w:val="TableParagraph"/>
              <w:spacing w:before="12"/>
              <w:ind w:right="70"/>
              <w:jc w:val="right"/>
              <w:rPr>
                <w:sz w:val="20"/>
              </w:rPr>
            </w:pPr>
            <w:r>
              <w:rPr>
                <w:sz w:val="20"/>
              </w:rPr>
              <w:t>(482)</w:t>
            </w:r>
          </w:p>
        </w:tc>
        <w:tc>
          <w:tcPr>
            <w:tcW w:w="1219" w:type="dxa"/>
            <w:tcBorders>
              <w:top w:val="single" w:sz="8" w:space="0" w:color="000000"/>
            </w:tcBorders>
            <w:shd w:val="clear" w:color="auto" w:fill="CCEDFF"/>
          </w:tcPr>
          <w:p w14:paraId="7326C186" w14:textId="77777777" w:rsidR="00EF3DFB" w:rsidRDefault="00D27C17">
            <w:pPr>
              <w:pStyle w:val="TableParagraph"/>
              <w:spacing w:before="12"/>
              <w:ind w:right="14"/>
              <w:jc w:val="right"/>
              <w:rPr>
                <w:sz w:val="20"/>
              </w:rPr>
            </w:pPr>
            <w:r>
              <w:rPr>
                <w:sz w:val="20"/>
              </w:rPr>
              <w:t>(7,554)</w:t>
            </w:r>
          </w:p>
        </w:tc>
      </w:tr>
      <w:tr w:rsidR="00EF3DFB" w14:paraId="7326C18C" w14:textId="77777777">
        <w:trPr>
          <w:trHeight w:val="285"/>
        </w:trPr>
        <w:tc>
          <w:tcPr>
            <w:tcW w:w="6885" w:type="dxa"/>
          </w:tcPr>
          <w:p w14:paraId="7326C188" w14:textId="77777777" w:rsidR="00EF3DFB" w:rsidRDefault="00D27C17">
            <w:pPr>
              <w:pStyle w:val="TableParagraph"/>
              <w:spacing w:before="22"/>
              <w:ind w:left="52"/>
              <w:rPr>
                <w:sz w:val="20"/>
              </w:rPr>
            </w:pPr>
            <w:r>
              <w:rPr>
                <w:sz w:val="20"/>
              </w:rPr>
              <w:t>Non-operating expenses:</w:t>
            </w:r>
          </w:p>
        </w:tc>
        <w:tc>
          <w:tcPr>
            <w:tcW w:w="1256" w:type="dxa"/>
          </w:tcPr>
          <w:p w14:paraId="7326C189" w14:textId="77777777" w:rsidR="00EF3DFB" w:rsidRDefault="00EF3DFB">
            <w:pPr>
              <w:pStyle w:val="TableParagraph"/>
              <w:rPr>
                <w:sz w:val="18"/>
              </w:rPr>
            </w:pPr>
          </w:p>
        </w:tc>
        <w:tc>
          <w:tcPr>
            <w:tcW w:w="1260" w:type="dxa"/>
          </w:tcPr>
          <w:p w14:paraId="7326C18A" w14:textId="77777777" w:rsidR="00EF3DFB" w:rsidRDefault="00EF3DFB">
            <w:pPr>
              <w:pStyle w:val="TableParagraph"/>
              <w:rPr>
                <w:sz w:val="18"/>
              </w:rPr>
            </w:pPr>
          </w:p>
        </w:tc>
        <w:tc>
          <w:tcPr>
            <w:tcW w:w="1219" w:type="dxa"/>
          </w:tcPr>
          <w:p w14:paraId="7326C18B" w14:textId="77777777" w:rsidR="00EF3DFB" w:rsidRDefault="00EF3DFB">
            <w:pPr>
              <w:pStyle w:val="TableParagraph"/>
              <w:rPr>
                <w:sz w:val="18"/>
              </w:rPr>
            </w:pPr>
          </w:p>
        </w:tc>
      </w:tr>
      <w:tr w:rsidR="00EF3DFB" w14:paraId="7326C191" w14:textId="77777777">
        <w:trPr>
          <w:trHeight w:val="285"/>
        </w:trPr>
        <w:tc>
          <w:tcPr>
            <w:tcW w:w="6885" w:type="dxa"/>
            <w:shd w:val="clear" w:color="auto" w:fill="CCEDFF"/>
          </w:tcPr>
          <w:p w14:paraId="7326C18D" w14:textId="77777777" w:rsidR="00EF3DFB" w:rsidRDefault="00D27C17">
            <w:pPr>
              <w:pStyle w:val="TableParagraph"/>
              <w:spacing w:before="1"/>
              <w:ind w:left="52"/>
              <w:rPr>
                <w:sz w:val="20"/>
              </w:rPr>
            </w:pPr>
            <w:r>
              <w:rPr>
                <w:sz w:val="20"/>
              </w:rPr>
              <w:t>Interest expense, net</w:t>
            </w:r>
          </w:p>
        </w:tc>
        <w:tc>
          <w:tcPr>
            <w:tcW w:w="1256" w:type="dxa"/>
            <w:shd w:val="clear" w:color="auto" w:fill="CCEDFF"/>
          </w:tcPr>
          <w:p w14:paraId="7326C18E" w14:textId="77777777" w:rsidR="00EF3DFB" w:rsidRDefault="00D27C17">
            <w:pPr>
              <w:pStyle w:val="TableParagraph"/>
              <w:spacing w:before="22"/>
              <w:ind w:right="135"/>
              <w:jc w:val="right"/>
              <w:rPr>
                <w:sz w:val="20"/>
              </w:rPr>
            </w:pPr>
            <w:r>
              <w:rPr>
                <w:sz w:val="20"/>
              </w:rPr>
              <w:t>274</w:t>
            </w:r>
          </w:p>
        </w:tc>
        <w:tc>
          <w:tcPr>
            <w:tcW w:w="1260" w:type="dxa"/>
            <w:shd w:val="clear" w:color="auto" w:fill="CCEDFF"/>
          </w:tcPr>
          <w:p w14:paraId="7326C18F" w14:textId="77777777" w:rsidR="00EF3DFB" w:rsidRDefault="00D27C17">
            <w:pPr>
              <w:pStyle w:val="TableParagraph"/>
              <w:spacing w:before="22"/>
              <w:ind w:right="135"/>
              <w:jc w:val="right"/>
              <w:rPr>
                <w:sz w:val="20"/>
              </w:rPr>
            </w:pPr>
            <w:r>
              <w:rPr>
                <w:sz w:val="20"/>
              </w:rPr>
              <w:t>303</w:t>
            </w:r>
          </w:p>
        </w:tc>
        <w:tc>
          <w:tcPr>
            <w:tcW w:w="1219" w:type="dxa"/>
            <w:shd w:val="clear" w:color="auto" w:fill="CCEDFF"/>
          </w:tcPr>
          <w:p w14:paraId="7326C190" w14:textId="77777777" w:rsidR="00EF3DFB" w:rsidRDefault="00D27C17">
            <w:pPr>
              <w:pStyle w:val="TableParagraph"/>
              <w:spacing w:before="22"/>
              <w:ind w:right="79"/>
              <w:jc w:val="right"/>
              <w:rPr>
                <w:sz w:val="20"/>
              </w:rPr>
            </w:pPr>
            <w:r>
              <w:rPr>
                <w:sz w:val="20"/>
              </w:rPr>
              <w:t>446</w:t>
            </w:r>
          </w:p>
        </w:tc>
      </w:tr>
      <w:tr w:rsidR="00EF3DFB" w14:paraId="7326C196" w14:textId="77777777">
        <w:trPr>
          <w:trHeight w:val="285"/>
        </w:trPr>
        <w:tc>
          <w:tcPr>
            <w:tcW w:w="6885" w:type="dxa"/>
          </w:tcPr>
          <w:p w14:paraId="7326C192" w14:textId="77777777" w:rsidR="00EF3DFB" w:rsidRDefault="00D27C17">
            <w:pPr>
              <w:pStyle w:val="TableParagraph"/>
              <w:spacing w:before="1"/>
              <w:ind w:left="52"/>
              <w:rPr>
                <w:sz w:val="20"/>
              </w:rPr>
            </w:pPr>
            <w:r>
              <w:rPr>
                <w:sz w:val="20"/>
              </w:rPr>
              <w:t>Loss on extinguishment of debt</w:t>
            </w:r>
          </w:p>
        </w:tc>
        <w:tc>
          <w:tcPr>
            <w:tcW w:w="1256" w:type="dxa"/>
          </w:tcPr>
          <w:p w14:paraId="7326C193" w14:textId="77777777" w:rsidR="00EF3DFB" w:rsidRDefault="00D27C17">
            <w:pPr>
              <w:pStyle w:val="TableParagraph"/>
              <w:spacing w:before="22"/>
              <w:ind w:right="135"/>
              <w:jc w:val="right"/>
              <w:rPr>
                <w:sz w:val="20"/>
              </w:rPr>
            </w:pPr>
            <w:r>
              <w:rPr>
                <w:sz w:val="20"/>
              </w:rPr>
              <w:t>20</w:t>
            </w:r>
          </w:p>
        </w:tc>
        <w:tc>
          <w:tcPr>
            <w:tcW w:w="1260" w:type="dxa"/>
          </w:tcPr>
          <w:p w14:paraId="7326C194" w14:textId="77777777" w:rsidR="00EF3DFB" w:rsidRDefault="00D27C17">
            <w:pPr>
              <w:pStyle w:val="TableParagraph"/>
              <w:spacing w:before="22"/>
              <w:ind w:right="135"/>
              <w:jc w:val="right"/>
              <w:rPr>
                <w:sz w:val="20"/>
              </w:rPr>
            </w:pPr>
            <w:r>
              <w:rPr>
                <w:sz w:val="20"/>
              </w:rPr>
              <w:t>28</w:t>
            </w:r>
          </w:p>
        </w:tc>
        <w:tc>
          <w:tcPr>
            <w:tcW w:w="1219" w:type="dxa"/>
          </w:tcPr>
          <w:p w14:paraId="7326C195" w14:textId="77777777" w:rsidR="00EF3DFB" w:rsidRDefault="00D27C17">
            <w:pPr>
              <w:pStyle w:val="TableParagraph"/>
              <w:spacing w:before="22"/>
              <w:ind w:right="79"/>
              <w:jc w:val="right"/>
              <w:rPr>
                <w:sz w:val="20"/>
              </w:rPr>
            </w:pPr>
            <w:r>
              <w:rPr>
                <w:sz w:val="20"/>
              </w:rPr>
              <w:t>4</w:t>
            </w:r>
          </w:p>
        </w:tc>
      </w:tr>
      <w:tr w:rsidR="00EF3DFB" w14:paraId="7326C19B" w14:textId="77777777">
        <w:trPr>
          <w:trHeight w:val="275"/>
        </w:trPr>
        <w:tc>
          <w:tcPr>
            <w:tcW w:w="6885" w:type="dxa"/>
            <w:shd w:val="clear" w:color="auto" w:fill="CCEDFF"/>
          </w:tcPr>
          <w:p w14:paraId="7326C197" w14:textId="77777777" w:rsidR="00EF3DFB" w:rsidRDefault="00D27C17">
            <w:pPr>
              <w:pStyle w:val="TableParagraph"/>
              <w:spacing w:before="1"/>
              <w:ind w:left="52"/>
              <w:rPr>
                <w:sz w:val="20"/>
              </w:rPr>
            </w:pPr>
            <w:r>
              <w:rPr>
                <w:sz w:val="20"/>
              </w:rPr>
              <w:t>Other (income) expense, net</w:t>
            </w:r>
          </w:p>
        </w:tc>
        <w:tc>
          <w:tcPr>
            <w:tcW w:w="1256" w:type="dxa"/>
            <w:tcBorders>
              <w:bottom w:val="single" w:sz="8" w:space="0" w:color="000000"/>
            </w:tcBorders>
            <w:shd w:val="clear" w:color="auto" w:fill="CCEDFF"/>
          </w:tcPr>
          <w:p w14:paraId="7326C198" w14:textId="77777777" w:rsidR="00EF3DFB" w:rsidRDefault="00D27C17">
            <w:pPr>
              <w:pStyle w:val="TableParagraph"/>
              <w:spacing w:before="22"/>
              <w:ind w:right="135"/>
              <w:jc w:val="right"/>
              <w:rPr>
                <w:sz w:val="20"/>
              </w:rPr>
            </w:pPr>
            <w:r>
              <w:rPr>
                <w:sz w:val="20"/>
              </w:rPr>
              <w:t>78</w:t>
            </w:r>
          </w:p>
        </w:tc>
        <w:tc>
          <w:tcPr>
            <w:tcW w:w="1260" w:type="dxa"/>
            <w:tcBorders>
              <w:bottom w:val="single" w:sz="8" w:space="0" w:color="000000"/>
            </w:tcBorders>
            <w:shd w:val="clear" w:color="auto" w:fill="CCEDFF"/>
          </w:tcPr>
          <w:p w14:paraId="7326C199" w14:textId="77777777" w:rsidR="00EF3DFB" w:rsidRDefault="00D27C17">
            <w:pPr>
              <w:pStyle w:val="TableParagraph"/>
              <w:spacing w:before="22"/>
              <w:ind w:right="135"/>
              <w:jc w:val="right"/>
              <w:rPr>
                <w:sz w:val="20"/>
              </w:rPr>
            </w:pPr>
            <w:r>
              <w:rPr>
                <w:sz w:val="20"/>
              </w:rPr>
              <w:t>39</w:t>
            </w:r>
          </w:p>
        </w:tc>
        <w:tc>
          <w:tcPr>
            <w:tcW w:w="1219" w:type="dxa"/>
            <w:tcBorders>
              <w:bottom w:val="single" w:sz="8" w:space="0" w:color="000000"/>
            </w:tcBorders>
            <w:shd w:val="clear" w:color="auto" w:fill="CCEDFF"/>
          </w:tcPr>
          <w:p w14:paraId="7326C19A" w14:textId="77777777" w:rsidR="00EF3DFB" w:rsidRDefault="00D27C17">
            <w:pPr>
              <w:pStyle w:val="TableParagraph"/>
              <w:spacing w:before="22"/>
              <w:ind w:right="14"/>
              <w:jc w:val="right"/>
              <w:rPr>
                <w:sz w:val="20"/>
              </w:rPr>
            </w:pPr>
            <w:r>
              <w:rPr>
                <w:sz w:val="20"/>
              </w:rPr>
              <w:t>(12)</w:t>
            </w:r>
          </w:p>
        </w:tc>
      </w:tr>
      <w:tr w:rsidR="00EF3DFB" w14:paraId="7326C1A0" w14:textId="77777777">
        <w:trPr>
          <w:trHeight w:val="275"/>
        </w:trPr>
        <w:tc>
          <w:tcPr>
            <w:tcW w:w="6885" w:type="dxa"/>
          </w:tcPr>
          <w:p w14:paraId="7326C19C" w14:textId="77777777" w:rsidR="00EF3DFB" w:rsidRDefault="00D27C17">
            <w:pPr>
              <w:pStyle w:val="TableParagraph"/>
              <w:spacing w:line="222" w:lineRule="exact"/>
              <w:ind w:left="52"/>
              <w:rPr>
                <w:sz w:val="20"/>
              </w:rPr>
            </w:pPr>
            <w:r>
              <w:rPr>
                <w:sz w:val="20"/>
              </w:rPr>
              <w:t>Loss before income taxes</w:t>
            </w:r>
          </w:p>
        </w:tc>
        <w:tc>
          <w:tcPr>
            <w:tcW w:w="1256" w:type="dxa"/>
            <w:tcBorders>
              <w:top w:val="single" w:sz="8" w:space="0" w:color="000000"/>
            </w:tcBorders>
          </w:tcPr>
          <w:p w14:paraId="7326C19D" w14:textId="77777777" w:rsidR="00EF3DFB" w:rsidRDefault="00D27C17">
            <w:pPr>
              <w:pStyle w:val="TableParagraph"/>
              <w:spacing w:before="12"/>
              <w:ind w:right="70"/>
              <w:jc w:val="right"/>
              <w:rPr>
                <w:sz w:val="20"/>
              </w:rPr>
            </w:pPr>
            <w:r>
              <w:rPr>
                <w:sz w:val="20"/>
              </w:rPr>
              <w:t>(1,006)</w:t>
            </w:r>
          </w:p>
        </w:tc>
        <w:tc>
          <w:tcPr>
            <w:tcW w:w="1260" w:type="dxa"/>
            <w:tcBorders>
              <w:top w:val="single" w:sz="8" w:space="0" w:color="000000"/>
            </w:tcBorders>
          </w:tcPr>
          <w:p w14:paraId="7326C19E" w14:textId="77777777" w:rsidR="00EF3DFB" w:rsidRDefault="00D27C17">
            <w:pPr>
              <w:pStyle w:val="TableParagraph"/>
              <w:spacing w:before="12"/>
              <w:ind w:right="70"/>
              <w:jc w:val="right"/>
              <w:rPr>
                <w:sz w:val="20"/>
              </w:rPr>
            </w:pPr>
            <w:r>
              <w:rPr>
                <w:sz w:val="20"/>
              </w:rPr>
              <w:t>(852)</w:t>
            </w:r>
          </w:p>
        </w:tc>
        <w:tc>
          <w:tcPr>
            <w:tcW w:w="1219" w:type="dxa"/>
            <w:tcBorders>
              <w:top w:val="single" w:sz="8" w:space="0" w:color="000000"/>
            </w:tcBorders>
          </w:tcPr>
          <w:p w14:paraId="7326C19F" w14:textId="77777777" w:rsidR="00EF3DFB" w:rsidRDefault="00D27C17">
            <w:pPr>
              <w:pStyle w:val="TableParagraph"/>
              <w:spacing w:before="12"/>
              <w:ind w:right="14"/>
              <w:jc w:val="right"/>
              <w:rPr>
                <w:sz w:val="20"/>
              </w:rPr>
            </w:pPr>
            <w:r>
              <w:rPr>
                <w:sz w:val="20"/>
              </w:rPr>
              <w:t>(7,992)</w:t>
            </w:r>
          </w:p>
        </w:tc>
      </w:tr>
      <w:tr w:rsidR="00EF3DFB" w14:paraId="7326C1A5" w14:textId="77777777">
        <w:trPr>
          <w:trHeight w:val="275"/>
        </w:trPr>
        <w:tc>
          <w:tcPr>
            <w:tcW w:w="6885" w:type="dxa"/>
            <w:shd w:val="clear" w:color="auto" w:fill="CCEDFF"/>
          </w:tcPr>
          <w:p w14:paraId="7326C1A1" w14:textId="77777777" w:rsidR="00EF3DFB" w:rsidRDefault="00D27C17">
            <w:pPr>
              <w:pStyle w:val="TableParagraph"/>
              <w:spacing w:before="1"/>
              <w:ind w:left="52"/>
              <w:rPr>
                <w:sz w:val="20"/>
              </w:rPr>
            </w:pPr>
            <w:r>
              <w:rPr>
                <w:sz w:val="20"/>
              </w:rPr>
              <w:t>Income tax benefit</w:t>
            </w:r>
          </w:p>
        </w:tc>
        <w:tc>
          <w:tcPr>
            <w:tcW w:w="1256" w:type="dxa"/>
            <w:tcBorders>
              <w:bottom w:val="single" w:sz="8" w:space="0" w:color="000000"/>
            </w:tcBorders>
            <w:shd w:val="clear" w:color="auto" w:fill="CCEDFF"/>
          </w:tcPr>
          <w:p w14:paraId="7326C1A2" w14:textId="77777777" w:rsidR="00EF3DFB" w:rsidRDefault="00D27C17">
            <w:pPr>
              <w:pStyle w:val="TableParagraph"/>
              <w:spacing w:before="22"/>
              <w:ind w:right="70"/>
              <w:jc w:val="right"/>
              <w:rPr>
                <w:sz w:val="20"/>
              </w:rPr>
            </w:pPr>
            <w:r>
              <w:rPr>
                <w:sz w:val="20"/>
              </w:rPr>
              <w:t>(236)</w:t>
            </w:r>
          </w:p>
        </w:tc>
        <w:tc>
          <w:tcPr>
            <w:tcW w:w="1260" w:type="dxa"/>
            <w:tcBorders>
              <w:bottom w:val="single" w:sz="8" w:space="0" w:color="000000"/>
            </w:tcBorders>
            <w:shd w:val="clear" w:color="auto" w:fill="CCEDFF"/>
          </w:tcPr>
          <w:p w14:paraId="7326C1A3" w14:textId="77777777" w:rsidR="00EF3DFB" w:rsidRDefault="00D27C17">
            <w:pPr>
              <w:pStyle w:val="TableParagraph"/>
              <w:spacing w:before="22"/>
              <w:ind w:right="70"/>
              <w:jc w:val="right"/>
              <w:rPr>
                <w:sz w:val="20"/>
              </w:rPr>
            </w:pPr>
            <w:r>
              <w:rPr>
                <w:sz w:val="20"/>
              </w:rPr>
              <w:t>(1,038)</w:t>
            </w:r>
          </w:p>
        </w:tc>
        <w:tc>
          <w:tcPr>
            <w:tcW w:w="1219" w:type="dxa"/>
            <w:tcBorders>
              <w:bottom w:val="single" w:sz="8" w:space="0" w:color="000000"/>
            </w:tcBorders>
            <w:shd w:val="clear" w:color="auto" w:fill="CCEDFF"/>
          </w:tcPr>
          <w:p w14:paraId="7326C1A4" w14:textId="77777777" w:rsidR="00EF3DFB" w:rsidRDefault="00D27C17">
            <w:pPr>
              <w:pStyle w:val="TableParagraph"/>
              <w:spacing w:before="22"/>
              <w:ind w:right="14"/>
              <w:jc w:val="right"/>
              <w:rPr>
                <w:sz w:val="20"/>
              </w:rPr>
            </w:pPr>
            <w:r>
              <w:rPr>
                <w:sz w:val="20"/>
              </w:rPr>
              <w:t>(1,359)</w:t>
            </w:r>
          </w:p>
        </w:tc>
      </w:tr>
      <w:tr w:rsidR="00EF3DFB" w14:paraId="7326C1AA" w14:textId="77777777">
        <w:trPr>
          <w:trHeight w:val="275"/>
        </w:trPr>
        <w:tc>
          <w:tcPr>
            <w:tcW w:w="6885" w:type="dxa"/>
          </w:tcPr>
          <w:p w14:paraId="7326C1A6" w14:textId="77777777" w:rsidR="00EF3DFB" w:rsidRDefault="00D27C17">
            <w:pPr>
              <w:pStyle w:val="TableParagraph"/>
              <w:spacing w:line="222" w:lineRule="exact"/>
              <w:ind w:left="52"/>
              <w:rPr>
                <w:sz w:val="20"/>
              </w:rPr>
            </w:pPr>
            <w:r>
              <w:rPr>
                <w:sz w:val="20"/>
              </w:rPr>
              <w:t>Income (loss) from continuing operations</w:t>
            </w:r>
          </w:p>
        </w:tc>
        <w:tc>
          <w:tcPr>
            <w:tcW w:w="1256" w:type="dxa"/>
            <w:tcBorders>
              <w:top w:val="single" w:sz="8" w:space="0" w:color="000000"/>
            </w:tcBorders>
          </w:tcPr>
          <w:p w14:paraId="7326C1A7" w14:textId="77777777" w:rsidR="00EF3DFB" w:rsidRDefault="00D27C17">
            <w:pPr>
              <w:pStyle w:val="TableParagraph"/>
              <w:spacing w:before="12"/>
              <w:ind w:right="70"/>
              <w:jc w:val="right"/>
              <w:rPr>
                <w:sz w:val="20"/>
              </w:rPr>
            </w:pPr>
            <w:r>
              <w:rPr>
                <w:sz w:val="20"/>
              </w:rPr>
              <w:t>(770)</w:t>
            </w:r>
          </w:p>
        </w:tc>
        <w:tc>
          <w:tcPr>
            <w:tcW w:w="1260" w:type="dxa"/>
            <w:tcBorders>
              <w:top w:val="single" w:sz="8" w:space="0" w:color="000000"/>
            </w:tcBorders>
          </w:tcPr>
          <w:p w14:paraId="7326C1A8" w14:textId="77777777" w:rsidR="00EF3DFB" w:rsidRDefault="00D27C17">
            <w:pPr>
              <w:pStyle w:val="TableParagraph"/>
              <w:spacing w:before="12"/>
              <w:ind w:right="135"/>
              <w:jc w:val="right"/>
              <w:rPr>
                <w:sz w:val="20"/>
              </w:rPr>
            </w:pPr>
            <w:r>
              <w:rPr>
                <w:sz w:val="20"/>
              </w:rPr>
              <w:t>186</w:t>
            </w:r>
          </w:p>
        </w:tc>
        <w:tc>
          <w:tcPr>
            <w:tcW w:w="1219" w:type="dxa"/>
            <w:tcBorders>
              <w:top w:val="single" w:sz="8" w:space="0" w:color="000000"/>
            </w:tcBorders>
          </w:tcPr>
          <w:p w14:paraId="7326C1A9" w14:textId="77777777" w:rsidR="00EF3DFB" w:rsidRDefault="00D27C17">
            <w:pPr>
              <w:pStyle w:val="TableParagraph"/>
              <w:spacing w:before="12"/>
              <w:ind w:right="14"/>
              <w:jc w:val="right"/>
              <w:rPr>
                <w:sz w:val="20"/>
              </w:rPr>
            </w:pPr>
            <w:r>
              <w:rPr>
                <w:sz w:val="20"/>
              </w:rPr>
              <w:t>(6,633)</w:t>
            </w:r>
          </w:p>
        </w:tc>
      </w:tr>
      <w:tr w:rsidR="00EF3DFB" w14:paraId="7326C1AF" w14:textId="77777777">
        <w:trPr>
          <w:trHeight w:val="275"/>
        </w:trPr>
        <w:tc>
          <w:tcPr>
            <w:tcW w:w="6885" w:type="dxa"/>
            <w:shd w:val="clear" w:color="auto" w:fill="CCEDFF"/>
          </w:tcPr>
          <w:p w14:paraId="7326C1AB" w14:textId="77777777" w:rsidR="00EF3DFB" w:rsidRDefault="00D27C17">
            <w:pPr>
              <w:pStyle w:val="TableParagraph"/>
              <w:spacing w:before="1"/>
              <w:ind w:left="52"/>
              <w:rPr>
                <w:sz w:val="20"/>
              </w:rPr>
            </w:pPr>
            <w:r>
              <w:rPr>
                <w:sz w:val="20"/>
              </w:rPr>
              <w:t>Loss from discontinued operations, net of tax</w:t>
            </w:r>
          </w:p>
        </w:tc>
        <w:tc>
          <w:tcPr>
            <w:tcW w:w="1256" w:type="dxa"/>
            <w:tcBorders>
              <w:bottom w:val="single" w:sz="8" w:space="0" w:color="000000"/>
            </w:tcBorders>
            <w:shd w:val="clear" w:color="auto" w:fill="CCEDFF"/>
          </w:tcPr>
          <w:p w14:paraId="7326C1AC" w14:textId="77777777" w:rsidR="00EF3DFB" w:rsidRDefault="00D27C17">
            <w:pPr>
              <w:pStyle w:val="TableParagraph"/>
              <w:spacing w:before="22"/>
              <w:ind w:right="135"/>
              <w:jc w:val="right"/>
              <w:rPr>
                <w:sz w:val="20"/>
              </w:rPr>
            </w:pPr>
            <w:r>
              <w:rPr>
                <w:sz w:val="20"/>
              </w:rPr>
              <w:t>—</w:t>
            </w:r>
          </w:p>
        </w:tc>
        <w:tc>
          <w:tcPr>
            <w:tcW w:w="1260" w:type="dxa"/>
            <w:tcBorders>
              <w:bottom w:val="single" w:sz="8" w:space="0" w:color="000000"/>
            </w:tcBorders>
            <w:shd w:val="clear" w:color="auto" w:fill="CCEDFF"/>
          </w:tcPr>
          <w:p w14:paraId="7326C1AD" w14:textId="77777777" w:rsidR="00EF3DFB" w:rsidRDefault="00D27C17">
            <w:pPr>
              <w:pStyle w:val="TableParagraph"/>
              <w:spacing w:before="22"/>
              <w:ind w:right="70"/>
              <w:jc w:val="right"/>
              <w:rPr>
                <w:sz w:val="20"/>
              </w:rPr>
            </w:pPr>
            <w:r>
              <w:rPr>
                <w:sz w:val="20"/>
              </w:rPr>
              <w:t>(79)</w:t>
            </w:r>
          </w:p>
        </w:tc>
        <w:tc>
          <w:tcPr>
            <w:tcW w:w="1219" w:type="dxa"/>
            <w:tcBorders>
              <w:bottom w:val="single" w:sz="8" w:space="0" w:color="000000"/>
            </w:tcBorders>
            <w:shd w:val="clear" w:color="auto" w:fill="CCEDFF"/>
          </w:tcPr>
          <w:p w14:paraId="7326C1AE" w14:textId="77777777" w:rsidR="00EF3DFB" w:rsidRDefault="00D27C17">
            <w:pPr>
              <w:pStyle w:val="TableParagraph"/>
              <w:spacing w:before="22"/>
              <w:ind w:right="14"/>
              <w:jc w:val="right"/>
              <w:rPr>
                <w:sz w:val="20"/>
              </w:rPr>
            </w:pPr>
            <w:r>
              <w:rPr>
                <w:sz w:val="20"/>
              </w:rPr>
              <w:t>(309)</w:t>
            </w:r>
          </w:p>
        </w:tc>
      </w:tr>
      <w:tr w:rsidR="00EF3DFB" w14:paraId="7326C1B4" w14:textId="77777777">
        <w:trPr>
          <w:trHeight w:val="277"/>
        </w:trPr>
        <w:tc>
          <w:tcPr>
            <w:tcW w:w="6885" w:type="dxa"/>
          </w:tcPr>
          <w:p w14:paraId="7326C1B0" w14:textId="77777777" w:rsidR="00EF3DFB" w:rsidRDefault="00D27C17">
            <w:pPr>
              <w:pStyle w:val="TableParagraph"/>
              <w:spacing w:line="218" w:lineRule="exact"/>
              <w:ind w:left="52"/>
              <w:rPr>
                <w:b/>
                <w:sz w:val="20"/>
              </w:rPr>
            </w:pPr>
            <w:r>
              <w:rPr>
                <w:b/>
                <w:sz w:val="20"/>
              </w:rPr>
              <w:t>Net income (loss)</w:t>
            </w:r>
          </w:p>
        </w:tc>
        <w:tc>
          <w:tcPr>
            <w:tcW w:w="1256" w:type="dxa"/>
            <w:tcBorders>
              <w:top w:val="single" w:sz="8" w:space="0" w:color="000000"/>
              <w:bottom w:val="single" w:sz="8" w:space="0" w:color="000000"/>
            </w:tcBorders>
          </w:tcPr>
          <w:p w14:paraId="7326C1B1" w14:textId="77777777" w:rsidR="00EF3DFB" w:rsidRDefault="00D27C17">
            <w:pPr>
              <w:pStyle w:val="TableParagraph"/>
              <w:tabs>
                <w:tab w:val="left" w:pos="751"/>
              </w:tabs>
              <w:spacing w:before="12"/>
              <w:ind w:left="52"/>
              <w:rPr>
                <w:sz w:val="20"/>
              </w:rPr>
            </w:pPr>
            <w:r>
              <w:rPr>
                <w:sz w:val="20"/>
                <w:u w:val="single"/>
              </w:rPr>
              <w:t>$</w:t>
            </w:r>
            <w:r>
              <w:rPr>
                <w:sz w:val="20"/>
                <w:u w:val="single"/>
              </w:rPr>
              <w:tab/>
              <w:t>(770)</w:t>
            </w:r>
          </w:p>
        </w:tc>
        <w:tc>
          <w:tcPr>
            <w:tcW w:w="1260" w:type="dxa"/>
            <w:tcBorders>
              <w:top w:val="single" w:sz="8" w:space="0" w:color="000000"/>
              <w:bottom w:val="single" w:sz="8" w:space="0" w:color="000000"/>
            </w:tcBorders>
          </w:tcPr>
          <w:p w14:paraId="7326C1B2" w14:textId="77777777" w:rsidR="00EF3DFB" w:rsidRDefault="00D27C17">
            <w:pPr>
              <w:pStyle w:val="TableParagraph"/>
              <w:tabs>
                <w:tab w:val="left" w:pos="822"/>
              </w:tabs>
              <w:spacing w:before="12"/>
              <w:ind w:left="71"/>
              <w:rPr>
                <w:sz w:val="20"/>
              </w:rPr>
            </w:pPr>
            <w:r>
              <w:rPr>
                <w:sz w:val="20"/>
                <w:u w:val="single"/>
              </w:rPr>
              <w:t>$</w:t>
            </w:r>
            <w:r>
              <w:rPr>
                <w:sz w:val="20"/>
                <w:u w:val="single"/>
              </w:rPr>
              <w:tab/>
              <w:t>107</w:t>
            </w:r>
          </w:p>
        </w:tc>
        <w:tc>
          <w:tcPr>
            <w:tcW w:w="1219" w:type="dxa"/>
            <w:tcBorders>
              <w:top w:val="single" w:sz="8" w:space="0" w:color="000000"/>
              <w:bottom w:val="single" w:sz="8" w:space="0" w:color="000000"/>
            </w:tcBorders>
          </w:tcPr>
          <w:p w14:paraId="7326C1B3" w14:textId="77777777" w:rsidR="00EF3DFB" w:rsidRDefault="00D27C17">
            <w:pPr>
              <w:pStyle w:val="TableParagraph"/>
              <w:tabs>
                <w:tab w:val="left" w:pos="549"/>
              </w:tabs>
              <w:spacing w:before="12"/>
              <w:ind w:right="14"/>
              <w:jc w:val="right"/>
              <w:rPr>
                <w:sz w:val="20"/>
              </w:rPr>
            </w:pPr>
            <w:r>
              <w:rPr>
                <w:sz w:val="20"/>
                <w:u w:val="single"/>
              </w:rPr>
              <w:t>$</w:t>
            </w:r>
            <w:r>
              <w:rPr>
                <w:sz w:val="20"/>
                <w:u w:val="single"/>
              </w:rPr>
              <w:tab/>
            </w:r>
            <w:r>
              <w:rPr>
                <w:spacing w:val="-1"/>
                <w:sz w:val="20"/>
                <w:u w:val="single"/>
              </w:rPr>
              <w:t>(6,942)</w:t>
            </w:r>
          </w:p>
        </w:tc>
      </w:tr>
      <w:tr w:rsidR="00EF3DFB" w14:paraId="7326C1B9" w14:textId="77777777">
        <w:trPr>
          <w:trHeight w:val="262"/>
        </w:trPr>
        <w:tc>
          <w:tcPr>
            <w:tcW w:w="6885" w:type="dxa"/>
            <w:shd w:val="clear" w:color="auto" w:fill="CCEDFF"/>
          </w:tcPr>
          <w:p w14:paraId="7326C1B5" w14:textId="77777777" w:rsidR="00EF3DFB" w:rsidRDefault="00D27C17">
            <w:pPr>
              <w:pStyle w:val="TableParagraph"/>
              <w:spacing w:line="202" w:lineRule="exact"/>
              <w:ind w:left="52"/>
              <w:rPr>
                <w:sz w:val="20"/>
              </w:rPr>
            </w:pPr>
            <w:r>
              <w:rPr>
                <w:sz w:val="20"/>
              </w:rPr>
              <w:t>Weighted average common shares outstanding:</w:t>
            </w:r>
          </w:p>
        </w:tc>
        <w:tc>
          <w:tcPr>
            <w:tcW w:w="1256" w:type="dxa"/>
            <w:tcBorders>
              <w:top w:val="single" w:sz="8" w:space="0" w:color="000000"/>
            </w:tcBorders>
            <w:shd w:val="clear" w:color="auto" w:fill="CCEDFF"/>
          </w:tcPr>
          <w:p w14:paraId="7326C1B6" w14:textId="77777777" w:rsidR="00EF3DFB" w:rsidRDefault="00EF3DFB">
            <w:pPr>
              <w:pStyle w:val="TableParagraph"/>
              <w:rPr>
                <w:sz w:val="18"/>
              </w:rPr>
            </w:pPr>
          </w:p>
        </w:tc>
        <w:tc>
          <w:tcPr>
            <w:tcW w:w="1260" w:type="dxa"/>
            <w:tcBorders>
              <w:top w:val="single" w:sz="8" w:space="0" w:color="000000"/>
            </w:tcBorders>
            <w:shd w:val="clear" w:color="auto" w:fill="CCEDFF"/>
          </w:tcPr>
          <w:p w14:paraId="7326C1B7" w14:textId="77777777" w:rsidR="00EF3DFB" w:rsidRDefault="00EF3DFB">
            <w:pPr>
              <w:pStyle w:val="TableParagraph"/>
              <w:rPr>
                <w:sz w:val="18"/>
              </w:rPr>
            </w:pPr>
          </w:p>
        </w:tc>
        <w:tc>
          <w:tcPr>
            <w:tcW w:w="1219" w:type="dxa"/>
            <w:tcBorders>
              <w:top w:val="single" w:sz="8" w:space="0" w:color="000000"/>
            </w:tcBorders>
            <w:shd w:val="clear" w:color="auto" w:fill="CCEDFF"/>
          </w:tcPr>
          <w:p w14:paraId="7326C1B8" w14:textId="77777777" w:rsidR="00EF3DFB" w:rsidRDefault="00EF3DFB">
            <w:pPr>
              <w:pStyle w:val="TableParagraph"/>
              <w:rPr>
                <w:sz w:val="18"/>
              </w:rPr>
            </w:pPr>
          </w:p>
        </w:tc>
      </w:tr>
      <w:tr w:rsidR="00EF3DFB" w14:paraId="7326C1BE" w14:textId="77777777">
        <w:trPr>
          <w:trHeight w:val="285"/>
        </w:trPr>
        <w:tc>
          <w:tcPr>
            <w:tcW w:w="6885" w:type="dxa"/>
          </w:tcPr>
          <w:p w14:paraId="7326C1BA" w14:textId="77777777" w:rsidR="00EF3DFB" w:rsidRDefault="00D27C17">
            <w:pPr>
              <w:pStyle w:val="TableParagraph"/>
              <w:spacing w:before="1"/>
              <w:ind w:left="52"/>
              <w:rPr>
                <w:sz w:val="20"/>
              </w:rPr>
            </w:pPr>
            <w:r>
              <w:rPr>
                <w:sz w:val="20"/>
              </w:rPr>
              <w:t>Basic</w:t>
            </w:r>
          </w:p>
        </w:tc>
        <w:tc>
          <w:tcPr>
            <w:tcW w:w="1256" w:type="dxa"/>
          </w:tcPr>
          <w:p w14:paraId="7326C1BB" w14:textId="77777777" w:rsidR="00EF3DFB" w:rsidRDefault="00D27C17">
            <w:pPr>
              <w:pStyle w:val="TableParagraph"/>
              <w:spacing w:before="22"/>
              <w:ind w:right="135"/>
              <w:jc w:val="right"/>
              <w:rPr>
                <w:sz w:val="20"/>
              </w:rPr>
            </w:pPr>
            <w:r>
              <w:rPr>
                <w:sz w:val="20"/>
              </w:rPr>
              <w:t>424.1</w:t>
            </w:r>
          </w:p>
        </w:tc>
        <w:tc>
          <w:tcPr>
            <w:tcW w:w="1260" w:type="dxa"/>
          </w:tcPr>
          <w:p w14:paraId="7326C1BC" w14:textId="77777777" w:rsidR="00EF3DFB" w:rsidRDefault="00D27C17">
            <w:pPr>
              <w:pStyle w:val="TableParagraph"/>
              <w:spacing w:before="22"/>
              <w:ind w:right="135"/>
              <w:jc w:val="right"/>
              <w:rPr>
                <w:sz w:val="20"/>
              </w:rPr>
            </w:pPr>
            <w:r>
              <w:rPr>
                <w:sz w:val="20"/>
              </w:rPr>
              <w:t>423.3</w:t>
            </w:r>
          </w:p>
        </w:tc>
        <w:tc>
          <w:tcPr>
            <w:tcW w:w="1219" w:type="dxa"/>
          </w:tcPr>
          <w:p w14:paraId="7326C1BD" w14:textId="77777777" w:rsidR="00EF3DFB" w:rsidRDefault="00D27C17">
            <w:pPr>
              <w:pStyle w:val="TableParagraph"/>
              <w:spacing w:before="22"/>
              <w:ind w:right="79"/>
              <w:jc w:val="right"/>
              <w:rPr>
                <w:sz w:val="20"/>
              </w:rPr>
            </w:pPr>
            <w:r>
              <w:rPr>
                <w:sz w:val="20"/>
              </w:rPr>
              <w:t>473.7</w:t>
            </w:r>
          </w:p>
        </w:tc>
      </w:tr>
      <w:tr w:rsidR="00EF3DFB" w14:paraId="7326C1C3" w14:textId="77777777">
        <w:trPr>
          <w:trHeight w:val="285"/>
        </w:trPr>
        <w:tc>
          <w:tcPr>
            <w:tcW w:w="6885" w:type="dxa"/>
            <w:shd w:val="clear" w:color="auto" w:fill="CCEDFF"/>
          </w:tcPr>
          <w:p w14:paraId="7326C1BF" w14:textId="77777777" w:rsidR="00EF3DFB" w:rsidRDefault="00D27C17">
            <w:pPr>
              <w:pStyle w:val="TableParagraph"/>
              <w:spacing w:before="1"/>
              <w:ind w:left="52"/>
              <w:rPr>
                <w:sz w:val="20"/>
              </w:rPr>
            </w:pPr>
            <w:r>
              <w:rPr>
                <w:sz w:val="20"/>
              </w:rPr>
              <w:t>Diluted</w:t>
            </w:r>
          </w:p>
        </w:tc>
        <w:tc>
          <w:tcPr>
            <w:tcW w:w="1256" w:type="dxa"/>
            <w:shd w:val="clear" w:color="auto" w:fill="CCEDFF"/>
          </w:tcPr>
          <w:p w14:paraId="7326C1C0" w14:textId="77777777" w:rsidR="00EF3DFB" w:rsidRDefault="00D27C17">
            <w:pPr>
              <w:pStyle w:val="TableParagraph"/>
              <w:spacing w:before="22"/>
              <w:ind w:right="135"/>
              <w:jc w:val="right"/>
              <w:rPr>
                <w:sz w:val="20"/>
              </w:rPr>
            </w:pPr>
            <w:r>
              <w:rPr>
                <w:sz w:val="20"/>
              </w:rPr>
              <w:t>424.1</w:t>
            </w:r>
          </w:p>
        </w:tc>
        <w:tc>
          <w:tcPr>
            <w:tcW w:w="1260" w:type="dxa"/>
            <w:shd w:val="clear" w:color="auto" w:fill="CCEDFF"/>
          </w:tcPr>
          <w:p w14:paraId="7326C1C1" w14:textId="77777777" w:rsidR="00EF3DFB" w:rsidRDefault="00D27C17">
            <w:pPr>
              <w:pStyle w:val="TableParagraph"/>
              <w:spacing w:before="22"/>
              <w:ind w:right="135"/>
              <w:jc w:val="right"/>
              <w:rPr>
                <w:sz w:val="20"/>
              </w:rPr>
            </w:pPr>
            <w:r>
              <w:rPr>
                <w:sz w:val="20"/>
              </w:rPr>
              <w:t>423.9</w:t>
            </w:r>
          </w:p>
        </w:tc>
        <w:tc>
          <w:tcPr>
            <w:tcW w:w="1219" w:type="dxa"/>
            <w:shd w:val="clear" w:color="auto" w:fill="CCEDFF"/>
          </w:tcPr>
          <w:p w14:paraId="7326C1C2" w14:textId="77777777" w:rsidR="00EF3DFB" w:rsidRDefault="00D27C17">
            <w:pPr>
              <w:pStyle w:val="TableParagraph"/>
              <w:spacing w:before="22"/>
              <w:ind w:right="79"/>
              <w:jc w:val="right"/>
              <w:rPr>
                <w:sz w:val="20"/>
              </w:rPr>
            </w:pPr>
            <w:r>
              <w:rPr>
                <w:sz w:val="20"/>
              </w:rPr>
              <w:t>473.7</w:t>
            </w:r>
          </w:p>
        </w:tc>
      </w:tr>
      <w:tr w:rsidR="00EF3DFB" w14:paraId="7326C1C8" w14:textId="77777777">
        <w:trPr>
          <w:trHeight w:val="255"/>
        </w:trPr>
        <w:tc>
          <w:tcPr>
            <w:tcW w:w="6885" w:type="dxa"/>
          </w:tcPr>
          <w:p w14:paraId="7326C1C4" w14:textId="77777777" w:rsidR="00EF3DFB" w:rsidRDefault="00D27C17">
            <w:pPr>
              <w:pStyle w:val="TableParagraph"/>
              <w:spacing w:line="228" w:lineRule="exact"/>
              <w:ind w:left="52"/>
              <w:rPr>
                <w:b/>
                <w:sz w:val="20"/>
              </w:rPr>
            </w:pPr>
            <w:r>
              <w:rPr>
                <w:b/>
                <w:sz w:val="20"/>
              </w:rPr>
              <w:t>Earnings (loss) per share:</w:t>
            </w:r>
          </w:p>
        </w:tc>
        <w:tc>
          <w:tcPr>
            <w:tcW w:w="1256" w:type="dxa"/>
          </w:tcPr>
          <w:p w14:paraId="7326C1C5" w14:textId="77777777" w:rsidR="00EF3DFB" w:rsidRDefault="00EF3DFB">
            <w:pPr>
              <w:pStyle w:val="TableParagraph"/>
              <w:rPr>
                <w:sz w:val="18"/>
              </w:rPr>
            </w:pPr>
          </w:p>
        </w:tc>
        <w:tc>
          <w:tcPr>
            <w:tcW w:w="1260" w:type="dxa"/>
          </w:tcPr>
          <w:p w14:paraId="7326C1C6" w14:textId="77777777" w:rsidR="00EF3DFB" w:rsidRDefault="00EF3DFB">
            <w:pPr>
              <w:pStyle w:val="TableParagraph"/>
              <w:rPr>
                <w:sz w:val="18"/>
              </w:rPr>
            </w:pPr>
          </w:p>
        </w:tc>
        <w:tc>
          <w:tcPr>
            <w:tcW w:w="1219" w:type="dxa"/>
          </w:tcPr>
          <w:p w14:paraId="7326C1C7" w14:textId="77777777" w:rsidR="00EF3DFB" w:rsidRDefault="00EF3DFB">
            <w:pPr>
              <w:pStyle w:val="TableParagraph"/>
              <w:rPr>
                <w:sz w:val="18"/>
              </w:rPr>
            </w:pPr>
          </w:p>
        </w:tc>
      </w:tr>
      <w:tr w:rsidR="00EF3DFB" w14:paraId="7326C1CD" w14:textId="77777777">
        <w:trPr>
          <w:trHeight w:val="285"/>
        </w:trPr>
        <w:tc>
          <w:tcPr>
            <w:tcW w:w="6885" w:type="dxa"/>
            <w:shd w:val="clear" w:color="auto" w:fill="CCEDFF"/>
          </w:tcPr>
          <w:p w14:paraId="7326C1C9" w14:textId="77777777" w:rsidR="00EF3DFB" w:rsidRDefault="00D27C17">
            <w:pPr>
              <w:pStyle w:val="TableParagraph"/>
              <w:spacing w:before="1"/>
              <w:ind w:left="52"/>
              <w:rPr>
                <w:sz w:val="20"/>
              </w:rPr>
            </w:pPr>
            <w:r>
              <w:rPr>
                <w:sz w:val="20"/>
              </w:rPr>
              <w:t>Basic:</w:t>
            </w:r>
          </w:p>
        </w:tc>
        <w:tc>
          <w:tcPr>
            <w:tcW w:w="1256" w:type="dxa"/>
            <w:shd w:val="clear" w:color="auto" w:fill="CCEDFF"/>
          </w:tcPr>
          <w:p w14:paraId="7326C1CA" w14:textId="77777777" w:rsidR="00EF3DFB" w:rsidRDefault="00EF3DFB">
            <w:pPr>
              <w:pStyle w:val="TableParagraph"/>
              <w:rPr>
                <w:sz w:val="18"/>
              </w:rPr>
            </w:pPr>
          </w:p>
        </w:tc>
        <w:tc>
          <w:tcPr>
            <w:tcW w:w="1260" w:type="dxa"/>
            <w:shd w:val="clear" w:color="auto" w:fill="CCEDFF"/>
          </w:tcPr>
          <w:p w14:paraId="7326C1CB" w14:textId="77777777" w:rsidR="00EF3DFB" w:rsidRDefault="00EF3DFB">
            <w:pPr>
              <w:pStyle w:val="TableParagraph"/>
              <w:rPr>
                <w:sz w:val="18"/>
              </w:rPr>
            </w:pPr>
          </w:p>
        </w:tc>
        <w:tc>
          <w:tcPr>
            <w:tcW w:w="1219" w:type="dxa"/>
            <w:shd w:val="clear" w:color="auto" w:fill="CCEDFF"/>
          </w:tcPr>
          <w:p w14:paraId="7326C1CC" w14:textId="77777777" w:rsidR="00EF3DFB" w:rsidRDefault="00EF3DFB">
            <w:pPr>
              <w:pStyle w:val="TableParagraph"/>
              <w:rPr>
                <w:sz w:val="18"/>
              </w:rPr>
            </w:pPr>
          </w:p>
        </w:tc>
      </w:tr>
      <w:tr w:rsidR="00EF3DFB" w14:paraId="7326C1D2" w14:textId="77777777">
        <w:trPr>
          <w:trHeight w:val="285"/>
        </w:trPr>
        <w:tc>
          <w:tcPr>
            <w:tcW w:w="6885" w:type="dxa"/>
          </w:tcPr>
          <w:p w14:paraId="7326C1CE" w14:textId="77777777" w:rsidR="00EF3DFB" w:rsidRDefault="00D27C17">
            <w:pPr>
              <w:pStyle w:val="TableParagraph"/>
              <w:spacing w:before="1"/>
              <w:ind w:left="52"/>
              <w:rPr>
                <w:sz w:val="20"/>
              </w:rPr>
            </w:pPr>
            <w:r>
              <w:rPr>
                <w:sz w:val="20"/>
              </w:rPr>
              <w:t>Income (loss) from continuing operations</w:t>
            </w:r>
          </w:p>
        </w:tc>
        <w:tc>
          <w:tcPr>
            <w:tcW w:w="1256" w:type="dxa"/>
          </w:tcPr>
          <w:p w14:paraId="7326C1CF" w14:textId="77777777" w:rsidR="00EF3DFB" w:rsidRDefault="00D27C17">
            <w:pPr>
              <w:pStyle w:val="TableParagraph"/>
              <w:tabs>
                <w:tab w:val="left" w:pos="701"/>
              </w:tabs>
              <w:spacing w:before="22"/>
              <w:ind w:left="52"/>
              <w:rPr>
                <w:sz w:val="20"/>
              </w:rPr>
            </w:pPr>
            <w:r>
              <w:rPr>
                <w:sz w:val="20"/>
              </w:rPr>
              <w:t>$</w:t>
            </w:r>
            <w:r>
              <w:rPr>
                <w:sz w:val="20"/>
              </w:rPr>
              <w:tab/>
              <w:t>(1.82)</w:t>
            </w:r>
          </w:p>
        </w:tc>
        <w:tc>
          <w:tcPr>
            <w:tcW w:w="1260" w:type="dxa"/>
          </w:tcPr>
          <w:p w14:paraId="7326C1D0" w14:textId="77777777" w:rsidR="00EF3DFB" w:rsidRDefault="00D27C17">
            <w:pPr>
              <w:pStyle w:val="TableParagraph"/>
              <w:tabs>
                <w:tab w:val="left" w:pos="772"/>
              </w:tabs>
              <w:spacing w:before="22"/>
              <w:ind w:left="71"/>
              <w:rPr>
                <w:sz w:val="20"/>
              </w:rPr>
            </w:pPr>
            <w:r>
              <w:rPr>
                <w:sz w:val="20"/>
              </w:rPr>
              <w:t>$</w:t>
            </w:r>
            <w:r>
              <w:rPr>
                <w:sz w:val="20"/>
              </w:rPr>
              <w:tab/>
              <w:t>0.44</w:t>
            </w:r>
          </w:p>
        </w:tc>
        <w:tc>
          <w:tcPr>
            <w:tcW w:w="1219" w:type="dxa"/>
          </w:tcPr>
          <w:p w14:paraId="7326C1D1" w14:textId="77777777" w:rsidR="00EF3DFB" w:rsidRDefault="00D27C17">
            <w:pPr>
              <w:pStyle w:val="TableParagraph"/>
              <w:tabs>
                <w:tab w:val="left" w:pos="549"/>
              </w:tabs>
              <w:spacing w:before="22"/>
              <w:ind w:right="14"/>
              <w:jc w:val="right"/>
              <w:rPr>
                <w:sz w:val="20"/>
              </w:rPr>
            </w:pPr>
            <w:r>
              <w:rPr>
                <w:sz w:val="20"/>
              </w:rPr>
              <w:t>$</w:t>
            </w:r>
            <w:r>
              <w:rPr>
                <w:sz w:val="20"/>
              </w:rPr>
              <w:tab/>
            </w:r>
            <w:r>
              <w:rPr>
                <w:spacing w:val="-1"/>
                <w:sz w:val="20"/>
              </w:rPr>
              <w:t>(14.00)</w:t>
            </w:r>
          </w:p>
        </w:tc>
      </w:tr>
      <w:tr w:rsidR="00EF3DFB" w14:paraId="7326C1D7" w14:textId="77777777">
        <w:trPr>
          <w:trHeight w:val="275"/>
        </w:trPr>
        <w:tc>
          <w:tcPr>
            <w:tcW w:w="6885" w:type="dxa"/>
            <w:shd w:val="clear" w:color="auto" w:fill="CCEDFF"/>
          </w:tcPr>
          <w:p w14:paraId="7326C1D3" w14:textId="77777777" w:rsidR="00EF3DFB" w:rsidRDefault="00D27C17">
            <w:pPr>
              <w:pStyle w:val="TableParagraph"/>
              <w:spacing w:before="1"/>
              <w:ind w:left="52"/>
              <w:rPr>
                <w:sz w:val="20"/>
              </w:rPr>
            </w:pPr>
            <w:r>
              <w:rPr>
                <w:sz w:val="20"/>
              </w:rPr>
              <w:t>Loss from discontinued operations</w:t>
            </w:r>
          </w:p>
        </w:tc>
        <w:tc>
          <w:tcPr>
            <w:tcW w:w="1256" w:type="dxa"/>
            <w:tcBorders>
              <w:bottom w:val="single" w:sz="8" w:space="0" w:color="000000"/>
            </w:tcBorders>
            <w:shd w:val="clear" w:color="auto" w:fill="CCEDFF"/>
          </w:tcPr>
          <w:p w14:paraId="7326C1D4" w14:textId="77777777" w:rsidR="00EF3DFB" w:rsidRDefault="00D27C17">
            <w:pPr>
              <w:pStyle w:val="TableParagraph"/>
              <w:spacing w:before="22"/>
              <w:ind w:right="135"/>
              <w:jc w:val="right"/>
              <w:rPr>
                <w:sz w:val="20"/>
              </w:rPr>
            </w:pPr>
            <w:r>
              <w:rPr>
                <w:sz w:val="20"/>
              </w:rPr>
              <w:t>—</w:t>
            </w:r>
          </w:p>
        </w:tc>
        <w:tc>
          <w:tcPr>
            <w:tcW w:w="1260" w:type="dxa"/>
            <w:tcBorders>
              <w:bottom w:val="single" w:sz="8" w:space="0" w:color="000000"/>
            </w:tcBorders>
            <w:shd w:val="clear" w:color="auto" w:fill="CCEDFF"/>
          </w:tcPr>
          <w:p w14:paraId="7326C1D5" w14:textId="77777777" w:rsidR="00EF3DFB" w:rsidRDefault="00D27C17">
            <w:pPr>
              <w:pStyle w:val="TableParagraph"/>
              <w:spacing w:before="22"/>
              <w:ind w:right="70"/>
              <w:jc w:val="right"/>
              <w:rPr>
                <w:sz w:val="20"/>
              </w:rPr>
            </w:pPr>
            <w:r>
              <w:rPr>
                <w:sz w:val="20"/>
              </w:rPr>
              <w:t>(0.19)</w:t>
            </w:r>
          </w:p>
        </w:tc>
        <w:tc>
          <w:tcPr>
            <w:tcW w:w="1219" w:type="dxa"/>
            <w:tcBorders>
              <w:bottom w:val="single" w:sz="8" w:space="0" w:color="000000"/>
            </w:tcBorders>
            <w:shd w:val="clear" w:color="auto" w:fill="CCEDFF"/>
          </w:tcPr>
          <w:p w14:paraId="7326C1D6" w14:textId="77777777" w:rsidR="00EF3DFB" w:rsidRDefault="00D27C17">
            <w:pPr>
              <w:pStyle w:val="TableParagraph"/>
              <w:spacing w:before="22"/>
              <w:ind w:right="14"/>
              <w:jc w:val="right"/>
              <w:rPr>
                <w:sz w:val="20"/>
              </w:rPr>
            </w:pPr>
            <w:r>
              <w:rPr>
                <w:sz w:val="20"/>
              </w:rPr>
              <w:t>(0.65)</w:t>
            </w:r>
          </w:p>
        </w:tc>
      </w:tr>
      <w:tr w:rsidR="00EF3DFB" w14:paraId="7326C1DC" w14:textId="77777777">
        <w:trPr>
          <w:trHeight w:val="277"/>
        </w:trPr>
        <w:tc>
          <w:tcPr>
            <w:tcW w:w="6885" w:type="dxa"/>
          </w:tcPr>
          <w:p w14:paraId="7326C1D8" w14:textId="77777777" w:rsidR="00EF3DFB" w:rsidRDefault="00D27C17">
            <w:pPr>
              <w:pStyle w:val="TableParagraph"/>
              <w:spacing w:line="222" w:lineRule="exact"/>
              <w:ind w:left="52"/>
              <w:rPr>
                <w:sz w:val="20"/>
              </w:rPr>
            </w:pPr>
            <w:r>
              <w:rPr>
                <w:sz w:val="20"/>
              </w:rPr>
              <w:t>Net income (loss)</w:t>
            </w:r>
          </w:p>
        </w:tc>
        <w:tc>
          <w:tcPr>
            <w:tcW w:w="1256" w:type="dxa"/>
            <w:tcBorders>
              <w:top w:val="single" w:sz="8" w:space="0" w:color="000000"/>
              <w:bottom w:val="single" w:sz="8" w:space="0" w:color="000000"/>
            </w:tcBorders>
          </w:tcPr>
          <w:p w14:paraId="7326C1D9" w14:textId="77777777" w:rsidR="00EF3DFB" w:rsidRDefault="00D27C17">
            <w:pPr>
              <w:pStyle w:val="TableParagraph"/>
              <w:tabs>
                <w:tab w:val="left" w:pos="701"/>
              </w:tabs>
              <w:spacing w:before="12"/>
              <w:ind w:left="52"/>
              <w:rPr>
                <w:sz w:val="20"/>
              </w:rPr>
            </w:pPr>
            <w:r>
              <w:rPr>
                <w:sz w:val="20"/>
                <w:u w:val="single"/>
              </w:rPr>
              <w:t>$</w:t>
            </w:r>
            <w:r>
              <w:rPr>
                <w:sz w:val="20"/>
                <w:u w:val="single"/>
              </w:rPr>
              <w:tab/>
              <w:t>(1.82)</w:t>
            </w:r>
          </w:p>
        </w:tc>
        <w:tc>
          <w:tcPr>
            <w:tcW w:w="1260" w:type="dxa"/>
            <w:tcBorders>
              <w:top w:val="single" w:sz="8" w:space="0" w:color="000000"/>
              <w:bottom w:val="single" w:sz="8" w:space="0" w:color="000000"/>
            </w:tcBorders>
          </w:tcPr>
          <w:p w14:paraId="7326C1DA" w14:textId="77777777" w:rsidR="00EF3DFB" w:rsidRDefault="00D27C17">
            <w:pPr>
              <w:pStyle w:val="TableParagraph"/>
              <w:tabs>
                <w:tab w:val="left" w:pos="772"/>
              </w:tabs>
              <w:spacing w:before="12"/>
              <w:ind w:left="71"/>
              <w:rPr>
                <w:sz w:val="20"/>
              </w:rPr>
            </w:pPr>
            <w:r>
              <w:rPr>
                <w:sz w:val="20"/>
                <w:u w:val="single"/>
              </w:rPr>
              <w:t>$</w:t>
            </w:r>
            <w:r>
              <w:rPr>
                <w:sz w:val="20"/>
                <w:u w:val="single"/>
              </w:rPr>
              <w:tab/>
              <w:t>0.25</w:t>
            </w:r>
          </w:p>
        </w:tc>
        <w:tc>
          <w:tcPr>
            <w:tcW w:w="1219" w:type="dxa"/>
            <w:tcBorders>
              <w:top w:val="single" w:sz="8" w:space="0" w:color="000000"/>
              <w:bottom w:val="single" w:sz="8" w:space="0" w:color="000000"/>
            </w:tcBorders>
          </w:tcPr>
          <w:p w14:paraId="7326C1DB" w14:textId="77777777" w:rsidR="00EF3DFB" w:rsidRDefault="00D27C17">
            <w:pPr>
              <w:pStyle w:val="TableParagraph"/>
              <w:tabs>
                <w:tab w:val="left" w:pos="549"/>
              </w:tabs>
              <w:spacing w:before="12"/>
              <w:ind w:right="14"/>
              <w:jc w:val="right"/>
              <w:rPr>
                <w:sz w:val="20"/>
              </w:rPr>
            </w:pPr>
            <w:r>
              <w:rPr>
                <w:sz w:val="20"/>
                <w:u w:val="single"/>
              </w:rPr>
              <w:t>$</w:t>
            </w:r>
            <w:r>
              <w:rPr>
                <w:sz w:val="20"/>
                <w:u w:val="single"/>
              </w:rPr>
              <w:tab/>
            </w:r>
            <w:r>
              <w:rPr>
                <w:spacing w:val="-1"/>
                <w:sz w:val="20"/>
                <w:u w:val="single"/>
              </w:rPr>
              <w:t>(14.65)</w:t>
            </w:r>
          </w:p>
        </w:tc>
      </w:tr>
      <w:tr w:rsidR="00EF3DFB" w14:paraId="7326C1E1" w14:textId="77777777">
        <w:trPr>
          <w:trHeight w:val="262"/>
        </w:trPr>
        <w:tc>
          <w:tcPr>
            <w:tcW w:w="6885" w:type="dxa"/>
            <w:shd w:val="clear" w:color="auto" w:fill="CCEDFF"/>
          </w:tcPr>
          <w:p w14:paraId="7326C1DD" w14:textId="77777777" w:rsidR="00EF3DFB" w:rsidRDefault="00D27C17">
            <w:pPr>
              <w:pStyle w:val="TableParagraph"/>
              <w:spacing w:line="202" w:lineRule="exact"/>
              <w:ind w:left="52"/>
              <w:rPr>
                <w:sz w:val="20"/>
              </w:rPr>
            </w:pPr>
            <w:r>
              <w:rPr>
                <w:sz w:val="20"/>
              </w:rPr>
              <w:t>Diluted:</w:t>
            </w:r>
          </w:p>
        </w:tc>
        <w:tc>
          <w:tcPr>
            <w:tcW w:w="1256" w:type="dxa"/>
            <w:tcBorders>
              <w:top w:val="single" w:sz="8" w:space="0" w:color="000000"/>
            </w:tcBorders>
            <w:shd w:val="clear" w:color="auto" w:fill="CCEDFF"/>
          </w:tcPr>
          <w:p w14:paraId="7326C1DE" w14:textId="77777777" w:rsidR="00EF3DFB" w:rsidRDefault="00EF3DFB">
            <w:pPr>
              <w:pStyle w:val="TableParagraph"/>
              <w:rPr>
                <w:sz w:val="18"/>
              </w:rPr>
            </w:pPr>
          </w:p>
        </w:tc>
        <w:tc>
          <w:tcPr>
            <w:tcW w:w="1260" w:type="dxa"/>
            <w:tcBorders>
              <w:top w:val="single" w:sz="8" w:space="0" w:color="000000"/>
            </w:tcBorders>
            <w:shd w:val="clear" w:color="auto" w:fill="CCEDFF"/>
          </w:tcPr>
          <w:p w14:paraId="7326C1DF" w14:textId="77777777" w:rsidR="00EF3DFB" w:rsidRDefault="00EF3DFB">
            <w:pPr>
              <w:pStyle w:val="TableParagraph"/>
              <w:rPr>
                <w:sz w:val="18"/>
              </w:rPr>
            </w:pPr>
          </w:p>
        </w:tc>
        <w:tc>
          <w:tcPr>
            <w:tcW w:w="1219" w:type="dxa"/>
            <w:tcBorders>
              <w:top w:val="single" w:sz="8" w:space="0" w:color="000000"/>
            </w:tcBorders>
            <w:shd w:val="clear" w:color="auto" w:fill="CCEDFF"/>
          </w:tcPr>
          <w:p w14:paraId="7326C1E0" w14:textId="77777777" w:rsidR="00EF3DFB" w:rsidRDefault="00EF3DFB">
            <w:pPr>
              <w:pStyle w:val="TableParagraph"/>
              <w:rPr>
                <w:sz w:val="18"/>
              </w:rPr>
            </w:pPr>
          </w:p>
        </w:tc>
      </w:tr>
      <w:tr w:rsidR="00EF3DFB" w14:paraId="7326C1E6" w14:textId="77777777">
        <w:trPr>
          <w:trHeight w:val="285"/>
        </w:trPr>
        <w:tc>
          <w:tcPr>
            <w:tcW w:w="6885" w:type="dxa"/>
          </w:tcPr>
          <w:p w14:paraId="7326C1E2" w14:textId="77777777" w:rsidR="00EF3DFB" w:rsidRDefault="00D27C17">
            <w:pPr>
              <w:pStyle w:val="TableParagraph"/>
              <w:spacing w:before="1"/>
              <w:ind w:left="52"/>
              <w:rPr>
                <w:sz w:val="20"/>
              </w:rPr>
            </w:pPr>
            <w:r>
              <w:rPr>
                <w:sz w:val="20"/>
              </w:rPr>
              <w:t>Income (loss) from continuing operations</w:t>
            </w:r>
          </w:p>
        </w:tc>
        <w:tc>
          <w:tcPr>
            <w:tcW w:w="1256" w:type="dxa"/>
          </w:tcPr>
          <w:p w14:paraId="7326C1E3" w14:textId="77777777" w:rsidR="00EF3DFB" w:rsidRDefault="00D27C17">
            <w:pPr>
              <w:pStyle w:val="TableParagraph"/>
              <w:tabs>
                <w:tab w:val="left" w:pos="701"/>
              </w:tabs>
              <w:spacing w:before="22"/>
              <w:ind w:left="52"/>
              <w:rPr>
                <w:sz w:val="20"/>
              </w:rPr>
            </w:pPr>
            <w:r>
              <w:rPr>
                <w:sz w:val="20"/>
              </w:rPr>
              <w:t>$</w:t>
            </w:r>
            <w:r>
              <w:rPr>
                <w:sz w:val="20"/>
              </w:rPr>
              <w:tab/>
              <w:t>(1.82)</w:t>
            </w:r>
          </w:p>
        </w:tc>
        <w:tc>
          <w:tcPr>
            <w:tcW w:w="1260" w:type="dxa"/>
          </w:tcPr>
          <w:p w14:paraId="7326C1E4" w14:textId="77777777" w:rsidR="00EF3DFB" w:rsidRDefault="00D27C17">
            <w:pPr>
              <w:pStyle w:val="TableParagraph"/>
              <w:tabs>
                <w:tab w:val="left" w:pos="772"/>
              </w:tabs>
              <w:spacing w:before="22"/>
              <w:ind w:left="71"/>
              <w:rPr>
                <w:sz w:val="20"/>
              </w:rPr>
            </w:pPr>
            <w:r>
              <w:rPr>
                <w:sz w:val="20"/>
              </w:rPr>
              <w:t>$</w:t>
            </w:r>
            <w:r>
              <w:rPr>
                <w:sz w:val="20"/>
              </w:rPr>
              <w:tab/>
              <w:t>0.44</w:t>
            </w:r>
          </w:p>
        </w:tc>
        <w:tc>
          <w:tcPr>
            <w:tcW w:w="1219" w:type="dxa"/>
          </w:tcPr>
          <w:p w14:paraId="7326C1E5" w14:textId="77777777" w:rsidR="00EF3DFB" w:rsidRDefault="00D27C17">
            <w:pPr>
              <w:pStyle w:val="TableParagraph"/>
              <w:tabs>
                <w:tab w:val="left" w:pos="549"/>
              </w:tabs>
              <w:spacing w:before="22"/>
              <w:ind w:right="14"/>
              <w:jc w:val="right"/>
              <w:rPr>
                <w:sz w:val="20"/>
              </w:rPr>
            </w:pPr>
            <w:r>
              <w:rPr>
                <w:sz w:val="20"/>
              </w:rPr>
              <w:t>$</w:t>
            </w:r>
            <w:r>
              <w:rPr>
                <w:sz w:val="20"/>
              </w:rPr>
              <w:tab/>
            </w:r>
            <w:r>
              <w:rPr>
                <w:spacing w:val="-1"/>
                <w:sz w:val="20"/>
              </w:rPr>
              <w:t>(14.00)</w:t>
            </w:r>
          </w:p>
        </w:tc>
      </w:tr>
      <w:tr w:rsidR="00EF3DFB" w14:paraId="7326C1EB" w14:textId="77777777">
        <w:trPr>
          <w:trHeight w:val="275"/>
        </w:trPr>
        <w:tc>
          <w:tcPr>
            <w:tcW w:w="6885" w:type="dxa"/>
            <w:shd w:val="clear" w:color="auto" w:fill="CCEDFF"/>
          </w:tcPr>
          <w:p w14:paraId="7326C1E7" w14:textId="77777777" w:rsidR="00EF3DFB" w:rsidRDefault="00D27C17">
            <w:pPr>
              <w:pStyle w:val="TableParagraph"/>
              <w:spacing w:before="1"/>
              <w:ind w:left="52"/>
              <w:rPr>
                <w:sz w:val="20"/>
              </w:rPr>
            </w:pPr>
            <w:r>
              <w:rPr>
                <w:sz w:val="20"/>
              </w:rPr>
              <w:t>Loss from discontinued operations</w:t>
            </w:r>
          </w:p>
        </w:tc>
        <w:tc>
          <w:tcPr>
            <w:tcW w:w="1256" w:type="dxa"/>
            <w:tcBorders>
              <w:bottom w:val="single" w:sz="8" w:space="0" w:color="000000"/>
            </w:tcBorders>
            <w:shd w:val="clear" w:color="auto" w:fill="CCEDFF"/>
          </w:tcPr>
          <w:p w14:paraId="7326C1E8" w14:textId="77777777" w:rsidR="00EF3DFB" w:rsidRDefault="00D27C17">
            <w:pPr>
              <w:pStyle w:val="TableParagraph"/>
              <w:spacing w:before="22"/>
              <w:ind w:right="135"/>
              <w:jc w:val="right"/>
              <w:rPr>
                <w:sz w:val="20"/>
              </w:rPr>
            </w:pPr>
            <w:r>
              <w:rPr>
                <w:sz w:val="20"/>
              </w:rPr>
              <w:t>—</w:t>
            </w:r>
          </w:p>
        </w:tc>
        <w:tc>
          <w:tcPr>
            <w:tcW w:w="1260" w:type="dxa"/>
            <w:tcBorders>
              <w:bottom w:val="single" w:sz="8" w:space="0" w:color="000000"/>
            </w:tcBorders>
            <w:shd w:val="clear" w:color="auto" w:fill="CCEDFF"/>
          </w:tcPr>
          <w:p w14:paraId="7326C1E9" w14:textId="77777777" w:rsidR="00EF3DFB" w:rsidRDefault="00D27C17">
            <w:pPr>
              <w:pStyle w:val="TableParagraph"/>
              <w:spacing w:before="22"/>
              <w:ind w:right="70"/>
              <w:jc w:val="right"/>
              <w:rPr>
                <w:sz w:val="20"/>
              </w:rPr>
            </w:pPr>
            <w:r>
              <w:rPr>
                <w:sz w:val="20"/>
              </w:rPr>
              <w:t>(0.19)</w:t>
            </w:r>
          </w:p>
        </w:tc>
        <w:tc>
          <w:tcPr>
            <w:tcW w:w="1219" w:type="dxa"/>
            <w:tcBorders>
              <w:bottom w:val="single" w:sz="8" w:space="0" w:color="000000"/>
            </w:tcBorders>
            <w:shd w:val="clear" w:color="auto" w:fill="CCEDFF"/>
          </w:tcPr>
          <w:p w14:paraId="7326C1EA" w14:textId="77777777" w:rsidR="00EF3DFB" w:rsidRDefault="00D27C17">
            <w:pPr>
              <w:pStyle w:val="TableParagraph"/>
              <w:spacing w:before="22"/>
              <w:ind w:right="14"/>
              <w:jc w:val="right"/>
              <w:rPr>
                <w:sz w:val="20"/>
              </w:rPr>
            </w:pPr>
            <w:r>
              <w:rPr>
                <w:sz w:val="20"/>
              </w:rPr>
              <w:t>(0.65)</w:t>
            </w:r>
          </w:p>
        </w:tc>
      </w:tr>
      <w:tr w:rsidR="00EF3DFB" w14:paraId="7326C1F0" w14:textId="77777777">
        <w:trPr>
          <w:trHeight w:val="285"/>
        </w:trPr>
        <w:tc>
          <w:tcPr>
            <w:tcW w:w="6885" w:type="dxa"/>
          </w:tcPr>
          <w:p w14:paraId="7326C1EC" w14:textId="77777777" w:rsidR="00EF3DFB" w:rsidRDefault="00D27C17">
            <w:pPr>
              <w:pStyle w:val="TableParagraph"/>
              <w:spacing w:line="222" w:lineRule="exact"/>
              <w:ind w:left="52"/>
              <w:rPr>
                <w:sz w:val="20"/>
              </w:rPr>
            </w:pPr>
            <w:r>
              <w:rPr>
                <w:sz w:val="20"/>
              </w:rPr>
              <w:t>Net income (loss)</w:t>
            </w:r>
          </w:p>
        </w:tc>
        <w:tc>
          <w:tcPr>
            <w:tcW w:w="1256" w:type="dxa"/>
            <w:tcBorders>
              <w:top w:val="single" w:sz="8" w:space="0" w:color="000000"/>
              <w:bottom w:val="single" w:sz="8" w:space="0" w:color="000000"/>
            </w:tcBorders>
          </w:tcPr>
          <w:p w14:paraId="7326C1ED" w14:textId="77777777" w:rsidR="00EF3DFB" w:rsidRDefault="00D27C17">
            <w:pPr>
              <w:pStyle w:val="TableParagraph"/>
              <w:tabs>
                <w:tab w:val="left" w:pos="701"/>
              </w:tabs>
              <w:spacing w:before="12"/>
              <w:ind w:left="52"/>
              <w:rPr>
                <w:sz w:val="20"/>
              </w:rPr>
            </w:pPr>
            <w:r>
              <w:rPr>
                <w:sz w:val="20"/>
                <w:u w:val="single"/>
              </w:rPr>
              <w:t>$</w:t>
            </w:r>
            <w:r>
              <w:rPr>
                <w:sz w:val="20"/>
                <w:u w:val="single"/>
              </w:rPr>
              <w:tab/>
              <w:t>(1.82)</w:t>
            </w:r>
          </w:p>
        </w:tc>
        <w:tc>
          <w:tcPr>
            <w:tcW w:w="1260" w:type="dxa"/>
            <w:tcBorders>
              <w:top w:val="single" w:sz="8" w:space="0" w:color="000000"/>
              <w:bottom w:val="single" w:sz="8" w:space="0" w:color="000000"/>
            </w:tcBorders>
          </w:tcPr>
          <w:p w14:paraId="7326C1EE" w14:textId="77777777" w:rsidR="00EF3DFB" w:rsidRDefault="00D27C17">
            <w:pPr>
              <w:pStyle w:val="TableParagraph"/>
              <w:tabs>
                <w:tab w:val="left" w:pos="772"/>
              </w:tabs>
              <w:spacing w:before="12"/>
              <w:ind w:left="71"/>
              <w:rPr>
                <w:sz w:val="20"/>
              </w:rPr>
            </w:pPr>
            <w:r>
              <w:rPr>
                <w:sz w:val="20"/>
                <w:u w:val="single"/>
              </w:rPr>
              <w:t>$</w:t>
            </w:r>
            <w:r>
              <w:rPr>
                <w:sz w:val="20"/>
                <w:u w:val="single"/>
              </w:rPr>
              <w:tab/>
              <w:t>0.25</w:t>
            </w:r>
          </w:p>
        </w:tc>
        <w:tc>
          <w:tcPr>
            <w:tcW w:w="1219" w:type="dxa"/>
            <w:tcBorders>
              <w:top w:val="single" w:sz="8" w:space="0" w:color="000000"/>
              <w:bottom w:val="single" w:sz="8" w:space="0" w:color="000000"/>
            </w:tcBorders>
          </w:tcPr>
          <w:p w14:paraId="7326C1EF" w14:textId="77777777" w:rsidR="00EF3DFB" w:rsidRDefault="00D27C17">
            <w:pPr>
              <w:pStyle w:val="TableParagraph"/>
              <w:tabs>
                <w:tab w:val="left" w:pos="549"/>
              </w:tabs>
              <w:spacing w:before="12"/>
              <w:ind w:right="14"/>
              <w:jc w:val="right"/>
              <w:rPr>
                <w:sz w:val="20"/>
              </w:rPr>
            </w:pPr>
            <w:r>
              <w:rPr>
                <w:sz w:val="20"/>
                <w:u w:val="single"/>
              </w:rPr>
              <w:t>$</w:t>
            </w:r>
            <w:r>
              <w:rPr>
                <w:sz w:val="20"/>
                <w:u w:val="single"/>
              </w:rPr>
              <w:tab/>
            </w:r>
            <w:r>
              <w:rPr>
                <w:spacing w:val="-1"/>
                <w:sz w:val="20"/>
                <w:u w:val="single"/>
              </w:rPr>
              <w:t>(14.65)</w:t>
            </w:r>
          </w:p>
        </w:tc>
      </w:tr>
      <w:tr w:rsidR="00EF3DFB" w14:paraId="7326C1F6" w14:textId="77777777">
        <w:trPr>
          <w:trHeight w:val="492"/>
        </w:trPr>
        <w:tc>
          <w:tcPr>
            <w:tcW w:w="6885" w:type="dxa"/>
          </w:tcPr>
          <w:p w14:paraId="7326C1F1" w14:textId="77777777" w:rsidR="00EF3DFB" w:rsidRDefault="00EF3DFB">
            <w:pPr>
              <w:pStyle w:val="TableParagraph"/>
              <w:spacing w:before="6"/>
            </w:pPr>
          </w:p>
          <w:p w14:paraId="7326C1F2" w14:textId="77777777" w:rsidR="00EF3DFB" w:rsidRDefault="00D27C17">
            <w:pPr>
              <w:pStyle w:val="TableParagraph"/>
              <w:spacing w:line="213" w:lineRule="exact"/>
              <w:rPr>
                <w:i/>
                <w:sz w:val="20"/>
              </w:rPr>
            </w:pPr>
            <w:r>
              <w:rPr>
                <w:i/>
                <w:sz w:val="20"/>
              </w:rPr>
              <w:t>See Notes to Consolidated Financial Statements.</w:t>
            </w:r>
          </w:p>
        </w:tc>
        <w:tc>
          <w:tcPr>
            <w:tcW w:w="1256" w:type="dxa"/>
            <w:tcBorders>
              <w:top w:val="single" w:sz="8" w:space="0" w:color="000000"/>
            </w:tcBorders>
          </w:tcPr>
          <w:p w14:paraId="7326C1F3" w14:textId="77777777" w:rsidR="00EF3DFB" w:rsidRDefault="00EF3DFB">
            <w:pPr>
              <w:pStyle w:val="TableParagraph"/>
              <w:rPr>
                <w:sz w:val="18"/>
              </w:rPr>
            </w:pPr>
          </w:p>
        </w:tc>
        <w:tc>
          <w:tcPr>
            <w:tcW w:w="1260" w:type="dxa"/>
            <w:tcBorders>
              <w:top w:val="single" w:sz="8" w:space="0" w:color="000000"/>
            </w:tcBorders>
          </w:tcPr>
          <w:p w14:paraId="7326C1F4" w14:textId="77777777" w:rsidR="00EF3DFB" w:rsidRDefault="00EF3DFB">
            <w:pPr>
              <w:pStyle w:val="TableParagraph"/>
              <w:rPr>
                <w:sz w:val="18"/>
              </w:rPr>
            </w:pPr>
          </w:p>
        </w:tc>
        <w:tc>
          <w:tcPr>
            <w:tcW w:w="1219" w:type="dxa"/>
            <w:tcBorders>
              <w:top w:val="single" w:sz="8" w:space="0" w:color="000000"/>
            </w:tcBorders>
          </w:tcPr>
          <w:p w14:paraId="7326C1F5" w14:textId="77777777" w:rsidR="00EF3DFB" w:rsidRDefault="00EF3DFB">
            <w:pPr>
              <w:pStyle w:val="TableParagraph"/>
              <w:rPr>
                <w:sz w:val="18"/>
              </w:rPr>
            </w:pPr>
          </w:p>
        </w:tc>
      </w:tr>
    </w:tbl>
    <w:p w14:paraId="7326C1F7" w14:textId="77777777" w:rsidR="00EF3DFB" w:rsidRDefault="00EF3DFB">
      <w:pPr>
        <w:rPr>
          <w:sz w:val="18"/>
        </w:rPr>
        <w:sectPr w:rsidR="00EF3DFB">
          <w:pgSz w:w="12240" w:h="15840"/>
          <w:pgMar w:top="68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870"/>
        <w:gridCol w:w="1256"/>
        <w:gridCol w:w="1275"/>
        <w:gridCol w:w="1219"/>
      </w:tblGrid>
      <w:tr w:rsidR="00EF3DFB" w14:paraId="7326C1FD" w14:textId="77777777">
        <w:trPr>
          <w:trHeight w:val="472"/>
        </w:trPr>
        <w:tc>
          <w:tcPr>
            <w:tcW w:w="6870" w:type="dxa"/>
          </w:tcPr>
          <w:p w14:paraId="7326C1F8" w14:textId="77777777" w:rsidR="00EF3DFB" w:rsidRDefault="00D27C17">
            <w:pPr>
              <w:pStyle w:val="TableParagraph"/>
              <w:spacing w:line="219" w:lineRule="exact"/>
              <w:rPr>
                <w:b/>
                <w:sz w:val="20"/>
              </w:rPr>
            </w:pPr>
            <w:bookmarkStart w:id="44" w:name="Consolidated_Statements_of_Comprehensive"/>
            <w:bookmarkEnd w:id="44"/>
            <w:r>
              <w:rPr>
                <w:b/>
                <w:sz w:val="20"/>
              </w:rPr>
              <w:lastRenderedPageBreak/>
              <w:t>NEWELL BRANDS INC. AND SUBSIDIARIES</w:t>
            </w:r>
          </w:p>
          <w:p w14:paraId="7326C1F9" w14:textId="77777777" w:rsidR="00EF3DFB" w:rsidRDefault="00D27C17">
            <w:pPr>
              <w:pStyle w:val="TableParagraph"/>
              <w:spacing w:before="10" w:line="224" w:lineRule="exact"/>
              <w:rPr>
                <w:b/>
                <w:sz w:val="20"/>
              </w:rPr>
            </w:pPr>
            <w:r>
              <w:rPr>
                <w:b/>
                <w:sz w:val="20"/>
              </w:rPr>
              <w:t>CONSOLIDATED STATEMENTS OF COMPREHENSIVE INCOME (LOSS)</w:t>
            </w:r>
          </w:p>
        </w:tc>
        <w:tc>
          <w:tcPr>
            <w:tcW w:w="1256" w:type="dxa"/>
          </w:tcPr>
          <w:p w14:paraId="7326C1FA" w14:textId="77777777" w:rsidR="00EF3DFB" w:rsidRDefault="00EF3DFB">
            <w:pPr>
              <w:pStyle w:val="TableParagraph"/>
              <w:rPr>
                <w:sz w:val="18"/>
              </w:rPr>
            </w:pPr>
          </w:p>
        </w:tc>
        <w:tc>
          <w:tcPr>
            <w:tcW w:w="1275" w:type="dxa"/>
          </w:tcPr>
          <w:p w14:paraId="7326C1FB" w14:textId="77777777" w:rsidR="00EF3DFB" w:rsidRDefault="00EF3DFB">
            <w:pPr>
              <w:pStyle w:val="TableParagraph"/>
              <w:rPr>
                <w:sz w:val="18"/>
              </w:rPr>
            </w:pPr>
          </w:p>
        </w:tc>
        <w:tc>
          <w:tcPr>
            <w:tcW w:w="1219" w:type="dxa"/>
          </w:tcPr>
          <w:p w14:paraId="7326C1FC" w14:textId="77777777" w:rsidR="00EF3DFB" w:rsidRDefault="00EF3DFB">
            <w:pPr>
              <w:pStyle w:val="TableParagraph"/>
              <w:rPr>
                <w:sz w:val="18"/>
              </w:rPr>
            </w:pPr>
          </w:p>
        </w:tc>
      </w:tr>
      <w:tr w:rsidR="00EF3DFB" w14:paraId="7326C209" w14:textId="77777777">
        <w:trPr>
          <w:trHeight w:val="620"/>
        </w:trPr>
        <w:tc>
          <w:tcPr>
            <w:tcW w:w="6870" w:type="dxa"/>
          </w:tcPr>
          <w:p w14:paraId="7326C1FE" w14:textId="77777777" w:rsidR="00EF3DFB" w:rsidRDefault="00D27C17">
            <w:pPr>
              <w:pStyle w:val="TableParagraph"/>
              <w:spacing w:line="230" w:lineRule="exact"/>
              <w:rPr>
                <w:i/>
                <w:sz w:val="20"/>
              </w:rPr>
            </w:pPr>
            <w:r>
              <w:rPr>
                <w:i/>
                <w:sz w:val="20"/>
              </w:rPr>
              <w:t>(Amounts in millions)</w:t>
            </w:r>
          </w:p>
          <w:p w14:paraId="7326C1FF" w14:textId="77777777" w:rsidR="00EF3DFB" w:rsidRDefault="00D27C17">
            <w:pPr>
              <w:pStyle w:val="TableParagraph"/>
              <w:spacing w:before="184"/>
              <w:ind w:left="52"/>
              <w:rPr>
                <w:b/>
                <w:sz w:val="16"/>
              </w:rPr>
            </w:pPr>
            <w:r>
              <w:rPr>
                <w:b/>
                <w:sz w:val="16"/>
              </w:rPr>
              <w:t>Year Ended December 31,</w:t>
            </w:r>
          </w:p>
        </w:tc>
        <w:tc>
          <w:tcPr>
            <w:tcW w:w="1256" w:type="dxa"/>
            <w:tcBorders>
              <w:bottom w:val="single" w:sz="8" w:space="0" w:color="000000"/>
            </w:tcBorders>
          </w:tcPr>
          <w:p w14:paraId="7326C200" w14:textId="77777777" w:rsidR="00EF3DFB" w:rsidRDefault="00EF3DFB">
            <w:pPr>
              <w:pStyle w:val="TableParagraph"/>
              <w:rPr>
                <w:sz w:val="18"/>
              </w:rPr>
            </w:pPr>
          </w:p>
          <w:p w14:paraId="7326C201" w14:textId="77777777" w:rsidR="00EF3DFB" w:rsidRDefault="00EF3DFB">
            <w:pPr>
              <w:pStyle w:val="TableParagraph"/>
              <w:spacing w:before="11"/>
              <w:rPr>
                <w:sz w:val="17"/>
              </w:rPr>
            </w:pPr>
          </w:p>
          <w:p w14:paraId="7326C202" w14:textId="77777777" w:rsidR="00EF3DFB" w:rsidRDefault="00D27C17">
            <w:pPr>
              <w:pStyle w:val="TableParagraph"/>
              <w:ind w:left="242" w:right="297"/>
              <w:jc w:val="center"/>
              <w:rPr>
                <w:b/>
                <w:sz w:val="16"/>
              </w:rPr>
            </w:pPr>
            <w:r>
              <w:rPr>
                <w:b/>
                <w:sz w:val="16"/>
              </w:rPr>
              <w:t>2020</w:t>
            </w:r>
          </w:p>
        </w:tc>
        <w:tc>
          <w:tcPr>
            <w:tcW w:w="1275" w:type="dxa"/>
            <w:tcBorders>
              <w:bottom w:val="single" w:sz="8" w:space="0" w:color="000000"/>
            </w:tcBorders>
          </w:tcPr>
          <w:p w14:paraId="7326C203" w14:textId="77777777" w:rsidR="00EF3DFB" w:rsidRDefault="00EF3DFB">
            <w:pPr>
              <w:pStyle w:val="TableParagraph"/>
              <w:rPr>
                <w:sz w:val="18"/>
              </w:rPr>
            </w:pPr>
          </w:p>
          <w:p w14:paraId="7326C204" w14:textId="77777777" w:rsidR="00EF3DFB" w:rsidRDefault="00EF3DFB">
            <w:pPr>
              <w:pStyle w:val="TableParagraph"/>
              <w:spacing w:before="11"/>
              <w:rPr>
                <w:sz w:val="17"/>
              </w:rPr>
            </w:pPr>
          </w:p>
          <w:p w14:paraId="7326C205" w14:textId="77777777" w:rsidR="00EF3DFB" w:rsidRDefault="00D27C17">
            <w:pPr>
              <w:pStyle w:val="TableParagraph"/>
              <w:ind w:left="375" w:right="411"/>
              <w:jc w:val="center"/>
              <w:rPr>
                <w:b/>
                <w:sz w:val="16"/>
              </w:rPr>
            </w:pPr>
            <w:r>
              <w:rPr>
                <w:b/>
                <w:sz w:val="16"/>
              </w:rPr>
              <w:t>2019</w:t>
            </w:r>
          </w:p>
        </w:tc>
        <w:tc>
          <w:tcPr>
            <w:tcW w:w="1219" w:type="dxa"/>
            <w:tcBorders>
              <w:bottom w:val="single" w:sz="8" w:space="0" w:color="000000"/>
            </w:tcBorders>
          </w:tcPr>
          <w:p w14:paraId="7326C206" w14:textId="77777777" w:rsidR="00EF3DFB" w:rsidRDefault="00EF3DFB">
            <w:pPr>
              <w:pStyle w:val="TableParagraph"/>
              <w:rPr>
                <w:sz w:val="18"/>
              </w:rPr>
            </w:pPr>
          </w:p>
          <w:p w14:paraId="7326C207" w14:textId="77777777" w:rsidR="00EF3DFB" w:rsidRDefault="00EF3DFB">
            <w:pPr>
              <w:pStyle w:val="TableParagraph"/>
              <w:spacing w:before="11"/>
              <w:rPr>
                <w:sz w:val="17"/>
              </w:rPr>
            </w:pPr>
          </w:p>
          <w:p w14:paraId="7326C208" w14:textId="77777777" w:rsidR="00EF3DFB" w:rsidRDefault="00D27C17">
            <w:pPr>
              <w:pStyle w:val="TableParagraph"/>
              <w:ind w:left="438" w:right="419"/>
              <w:jc w:val="center"/>
              <w:rPr>
                <w:b/>
                <w:sz w:val="16"/>
              </w:rPr>
            </w:pPr>
            <w:r>
              <w:rPr>
                <w:b/>
                <w:sz w:val="16"/>
              </w:rPr>
              <w:t>2018</w:t>
            </w:r>
          </w:p>
        </w:tc>
      </w:tr>
      <w:tr w:rsidR="00EF3DFB" w14:paraId="7326C20E" w14:textId="77777777">
        <w:trPr>
          <w:trHeight w:val="290"/>
        </w:trPr>
        <w:tc>
          <w:tcPr>
            <w:tcW w:w="6870" w:type="dxa"/>
            <w:shd w:val="clear" w:color="auto" w:fill="CCEDFF"/>
          </w:tcPr>
          <w:p w14:paraId="7326C20A" w14:textId="77777777" w:rsidR="00EF3DFB" w:rsidRDefault="00D27C17">
            <w:pPr>
              <w:pStyle w:val="TableParagraph"/>
              <w:spacing w:before="27"/>
              <w:ind w:left="52"/>
              <w:rPr>
                <w:b/>
                <w:sz w:val="20"/>
              </w:rPr>
            </w:pPr>
            <w:r>
              <w:rPr>
                <w:b/>
                <w:sz w:val="20"/>
              </w:rPr>
              <w:t>Comprehensive income (loss):</w:t>
            </w:r>
          </w:p>
        </w:tc>
        <w:tc>
          <w:tcPr>
            <w:tcW w:w="1256" w:type="dxa"/>
            <w:tcBorders>
              <w:top w:val="single" w:sz="8" w:space="0" w:color="000000"/>
            </w:tcBorders>
            <w:shd w:val="clear" w:color="auto" w:fill="CCEDFF"/>
          </w:tcPr>
          <w:p w14:paraId="7326C20B" w14:textId="77777777" w:rsidR="00EF3DFB" w:rsidRDefault="00EF3DFB">
            <w:pPr>
              <w:pStyle w:val="TableParagraph"/>
              <w:rPr>
                <w:sz w:val="18"/>
              </w:rPr>
            </w:pPr>
          </w:p>
        </w:tc>
        <w:tc>
          <w:tcPr>
            <w:tcW w:w="1275" w:type="dxa"/>
            <w:tcBorders>
              <w:top w:val="single" w:sz="8" w:space="0" w:color="000000"/>
            </w:tcBorders>
            <w:shd w:val="clear" w:color="auto" w:fill="CCEDFF"/>
          </w:tcPr>
          <w:p w14:paraId="7326C20C" w14:textId="77777777" w:rsidR="00EF3DFB" w:rsidRDefault="00EF3DFB">
            <w:pPr>
              <w:pStyle w:val="TableParagraph"/>
              <w:rPr>
                <w:sz w:val="18"/>
              </w:rPr>
            </w:pPr>
          </w:p>
        </w:tc>
        <w:tc>
          <w:tcPr>
            <w:tcW w:w="1219" w:type="dxa"/>
            <w:tcBorders>
              <w:top w:val="single" w:sz="8" w:space="0" w:color="000000"/>
            </w:tcBorders>
            <w:shd w:val="clear" w:color="auto" w:fill="CCEDFF"/>
          </w:tcPr>
          <w:p w14:paraId="7326C20D" w14:textId="77777777" w:rsidR="00EF3DFB" w:rsidRDefault="00EF3DFB">
            <w:pPr>
              <w:pStyle w:val="TableParagraph"/>
              <w:rPr>
                <w:sz w:val="18"/>
              </w:rPr>
            </w:pPr>
          </w:p>
        </w:tc>
      </w:tr>
      <w:tr w:rsidR="00EF3DFB" w14:paraId="7326C213" w14:textId="77777777">
        <w:trPr>
          <w:trHeight w:val="300"/>
        </w:trPr>
        <w:tc>
          <w:tcPr>
            <w:tcW w:w="6870" w:type="dxa"/>
          </w:tcPr>
          <w:p w14:paraId="7326C20F" w14:textId="77777777" w:rsidR="00EF3DFB" w:rsidRDefault="00D27C17">
            <w:pPr>
              <w:pStyle w:val="TableParagraph"/>
              <w:spacing w:before="37"/>
              <w:ind w:left="52"/>
              <w:rPr>
                <w:sz w:val="20"/>
              </w:rPr>
            </w:pPr>
            <w:r>
              <w:rPr>
                <w:sz w:val="20"/>
              </w:rPr>
              <w:t>Net income (loss)</w:t>
            </w:r>
          </w:p>
        </w:tc>
        <w:tc>
          <w:tcPr>
            <w:tcW w:w="1256" w:type="dxa"/>
          </w:tcPr>
          <w:p w14:paraId="7326C210" w14:textId="77777777" w:rsidR="00EF3DFB" w:rsidRDefault="00D27C17">
            <w:pPr>
              <w:pStyle w:val="TableParagraph"/>
              <w:tabs>
                <w:tab w:val="left" w:pos="699"/>
              </w:tabs>
              <w:spacing w:before="37"/>
              <w:ind w:right="70"/>
              <w:jc w:val="right"/>
              <w:rPr>
                <w:sz w:val="20"/>
              </w:rPr>
            </w:pPr>
            <w:r>
              <w:rPr>
                <w:sz w:val="20"/>
              </w:rPr>
              <w:t>$</w:t>
            </w:r>
            <w:r>
              <w:rPr>
                <w:sz w:val="20"/>
              </w:rPr>
              <w:tab/>
              <w:t>(770)</w:t>
            </w:r>
          </w:p>
        </w:tc>
        <w:tc>
          <w:tcPr>
            <w:tcW w:w="1275" w:type="dxa"/>
          </w:tcPr>
          <w:p w14:paraId="7326C211" w14:textId="77777777" w:rsidR="00EF3DFB" w:rsidRDefault="00D27C17">
            <w:pPr>
              <w:pStyle w:val="TableParagraph"/>
              <w:tabs>
                <w:tab w:val="left" w:pos="837"/>
              </w:tabs>
              <w:spacing w:before="37"/>
              <w:ind w:left="71"/>
              <w:rPr>
                <w:sz w:val="20"/>
              </w:rPr>
            </w:pPr>
            <w:r>
              <w:rPr>
                <w:sz w:val="20"/>
              </w:rPr>
              <w:t>$</w:t>
            </w:r>
            <w:r>
              <w:rPr>
                <w:sz w:val="20"/>
              </w:rPr>
              <w:tab/>
              <w:t>107</w:t>
            </w:r>
          </w:p>
        </w:tc>
        <w:tc>
          <w:tcPr>
            <w:tcW w:w="1219" w:type="dxa"/>
          </w:tcPr>
          <w:p w14:paraId="7326C212" w14:textId="77777777" w:rsidR="00EF3DFB" w:rsidRDefault="00D27C17">
            <w:pPr>
              <w:pStyle w:val="TableParagraph"/>
              <w:tabs>
                <w:tab w:val="left" w:pos="549"/>
              </w:tabs>
              <w:spacing w:before="37"/>
              <w:ind w:right="14"/>
              <w:jc w:val="right"/>
              <w:rPr>
                <w:sz w:val="20"/>
              </w:rPr>
            </w:pPr>
            <w:r>
              <w:rPr>
                <w:sz w:val="20"/>
              </w:rPr>
              <w:t>$</w:t>
            </w:r>
            <w:r>
              <w:rPr>
                <w:sz w:val="20"/>
              </w:rPr>
              <w:tab/>
            </w:r>
            <w:r>
              <w:rPr>
                <w:spacing w:val="-1"/>
                <w:sz w:val="20"/>
              </w:rPr>
              <w:t>(6,942)</w:t>
            </w:r>
          </w:p>
        </w:tc>
      </w:tr>
      <w:tr w:rsidR="00EF3DFB" w14:paraId="7326C218" w14:textId="77777777">
        <w:trPr>
          <w:trHeight w:val="300"/>
        </w:trPr>
        <w:tc>
          <w:tcPr>
            <w:tcW w:w="6870" w:type="dxa"/>
            <w:shd w:val="clear" w:color="auto" w:fill="CCEDFF"/>
          </w:tcPr>
          <w:p w14:paraId="7326C214" w14:textId="77777777" w:rsidR="00EF3DFB" w:rsidRDefault="00D27C17">
            <w:pPr>
              <w:pStyle w:val="TableParagraph"/>
              <w:spacing w:before="37"/>
              <w:ind w:left="52"/>
              <w:rPr>
                <w:sz w:val="20"/>
              </w:rPr>
            </w:pPr>
            <w:r>
              <w:rPr>
                <w:sz w:val="20"/>
              </w:rPr>
              <w:t>Comprehensive income (loss), net of tax:</w:t>
            </w:r>
          </w:p>
        </w:tc>
        <w:tc>
          <w:tcPr>
            <w:tcW w:w="1256" w:type="dxa"/>
            <w:shd w:val="clear" w:color="auto" w:fill="CCEDFF"/>
          </w:tcPr>
          <w:p w14:paraId="7326C215" w14:textId="77777777" w:rsidR="00EF3DFB" w:rsidRDefault="00EF3DFB">
            <w:pPr>
              <w:pStyle w:val="TableParagraph"/>
              <w:rPr>
                <w:sz w:val="18"/>
              </w:rPr>
            </w:pPr>
          </w:p>
        </w:tc>
        <w:tc>
          <w:tcPr>
            <w:tcW w:w="1275" w:type="dxa"/>
            <w:shd w:val="clear" w:color="auto" w:fill="CCEDFF"/>
          </w:tcPr>
          <w:p w14:paraId="7326C216" w14:textId="77777777" w:rsidR="00EF3DFB" w:rsidRDefault="00EF3DFB">
            <w:pPr>
              <w:pStyle w:val="TableParagraph"/>
              <w:rPr>
                <w:sz w:val="18"/>
              </w:rPr>
            </w:pPr>
          </w:p>
        </w:tc>
        <w:tc>
          <w:tcPr>
            <w:tcW w:w="1219" w:type="dxa"/>
            <w:shd w:val="clear" w:color="auto" w:fill="CCEDFF"/>
          </w:tcPr>
          <w:p w14:paraId="7326C217" w14:textId="77777777" w:rsidR="00EF3DFB" w:rsidRDefault="00EF3DFB">
            <w:pPr>
              <w:pStyle w:val="TableParagraph"/>
              <w:rPr>
                <w:sz w:val="18"/>
              </w:rPr>
            </w:pPr>
          </w:p>
        </w:tc>
      </w:tr>
      <w:tr w:rsidR="00EF3DFB" w14:paraId="7326C21D" w14:textId="77777777">
        <w:trPr>
          <w:trHeight w:val="300"/>
        </w:trPr>
        <w:tc>
          <w:tcPr>
            <w:tcW w:w="6870" w:type="dxa"/>
          </w:tcPr>
          <w:p w14:paraId="7326C219" w14:textId="77777777" w:rsidR="00EF3DFB" w:rsidRDefault="00D27C17">
            <w:pPr>
              <w:pStyle w:val="TableParagraph"/>
              <w:spacing w:before="37"/>
              <w:ind w:left="52"/>
              <w:rPr>
                <w:sz w:val="20"/>
              </w:rPr>
            </w:pPr>
            <w:r>
              <w:rPr>
                <w:sz w:val="20"/>
              </w:rPr>
              <w:t>Foreign currency translation adjustments</w:t>
            </w:r>
          </w:p>
        </w:tc>
        <w:tc>
          <w:tcPr>
            <w:tcW w:w="1256" w:type="dxa"/>
          </w:tcPr>
          <w:p w14:paraId="7326C21A" w14:textId="77777777" w:rsidR="00EF3DFB" w:rsidRDefault="00D27C17">
            <w:pPr>
              <w:pStyle w:val="TableParagraph"/>
              <w:spacing w:before="37"/>
              <w:ind w:right="70"/>
              <w:jc w:val="right"/>
              <w:rPr>
                <w:sz w:val="20"/>
              </w:rPr>
            </w:pPr>
            <w:r>
              <w:rPr>
                <w:sz w:val="20"/>
              </w:rPr>
              <w:t>(2)</w:t>
            </w:r>
          </w:p>
        </w:tc>
        <w:tc>
          <w:tcPr>
            <w:tcW w:w="1275" w:type="dxa"/>
          </w:tcPr>
          <w:p w14:paraId="7326C21B" w14:textId="77777777" w:rsidR="00EF3DFB" w:rsidRDefault="00D27C17">
            <w:pPr>
              <w:pStyle w:val="TableParagraph"/>
              <w:spacing w:before="37"/>
              <w:ind w:right="135"/>
              <w:jc w:val="right"/>
              <w:rPr>
                <w:sz w:val="20"/>
              </w:rPr>
            </w:pPr>
            <w:r>
              <w:rPr>
                <w:sz w:val="20"/>
              </w:rPr>
              <w:t>14</w:t>
            </w:r>
          </w:p>
        </w:tc>
        <w:tc>
          <w:tcPr>
            <w:tcW w:w="1219" w:type="dxa"/>
          </w:tcPr>
          <w:p w14:paraId="7326C21C" w14:textId="77777777" w:rsidR="00EF3DFB" w:rsidRDefault="00D27C17">
            <w:pPr>
              <w:pStyle w:val="TableParagraph"/>
              <w:spacing w:before="37"/>
              <w:ind w:right="14"/>
              <w:jc w:val="right"/>
              <w:rPr>
                <w:sz w:val="20"/>
              </w:rPr>
            </w:pPr>
            <w:r>
              <w:rPr>
                <w:sz w:val="20"/>
              </w:rPr>
              <w:t>(174)</w:t>
            </w:r>
          </w:p>
        </w:tc>
      </w:tr>
      <w:tr w:rsidR="00EF3DFB" w14:paraId="7326C222" w14:textId="77777777">
        <w:trPr>
          <w:trHeight w:val="300"/>
        </w:trPr>
        <w:tc>
          <w:tcPr>
            <w:tcW w:w="6870" w:type="dxa"/>
            <w:shd w:val="clear" w:color="auto" w:fill="CCEDFF"/>
          </w:tcPr>
          <w:p w14:paraId="7326C21E" w14:textId="77777777" w:rsidR="00EF3DFB" w:rsidRDefault="00D27C17">
            <w:pPr>
              <w:pStyle w:val="TableParagraph"/>
              <w:spacing w:before="37"/>
              <w:ind w:left="52"/>
              <w:rPr>
                <w:sz w:val="20"/>
              </w:rPr>
            </w:pPr>
            <w:r>
              <w:rPr>
                <w:sz w:val="20"/>
              </w:rPr>
              <w:t>Unrecognized pension and postretirement costs</w:t>
            </w:r>
          </w:p>
        </w:tc>
        <w:tc>
          <w:tcPr>
            <w:tcW w:w="1256" w:type="dxa"/>
            <w:shd w:val="clear" w:color="auto" w:fill="CCEDFF"/>
          </w:tcPr>
          <w:p w14:paraId="7326C21F" w14:textId="77777777" w:rsidR="00EF3DFB" w:rsidRDefault="00D27C17">
            <w:pPr>
              <w:pStyle w:val="TableParagraph"/>
              <w:spacing w:before="37"/>
              <w:ind w:right="135"/>
              <w:jc w:val="right"/>
              <w:rPr>
                <w:sz w:val="20"/>
              </w:rPr>
            </w:pPr>
            <w:r>
              <w:rPr>
                <w:sz w:val="20"/>
              </w:rPr>
              <w:t>43</w:t>
            </w:r>
          </w:p>
        </w:tc>
        <w:tc>
          <w:tcPr>
            <w:tcW w:w="1275" w:type="dxa"/>
            <w:shd w:val="clear" w:color="auto" w:fill="CCEDFF"/>
          </w:tcPr>
          <w:p w14:paraId="7326C220" w14:textId="77777777" w:rsidR="00EF3DFB" w:rsidRDefault="00D27C17">
            <w:pPr>
              <w:pStyle w:val="TableParagraph"/>
              <w:spacing w:before="37"/>
              <w:ind w:right="70"/>
              <w:jc w:val="right"/>
              <w:rPr>
                <w:sz w:val="20"/>
              </w:rPr>
            </w:pPr>
            <w:r>
              <w:rPr>
                <w:sz w:val="20"/>
              </w:rPr>
              <w:t>(1)</w:t>
            </w:r>
          </w:p>
        </w:tc>
        <w:tc>
          <w:tcPr>
            <w:tcW w:w="1219" w:type="dxa"/>
            <w:shd w:val="clear" w:color="auto" w:fill="CCEDFF"/>
          </w:tcPr>
          <w:p w14:paraId="7326C221" w14:textId="77777777" w:rsidR="00EF3DFB" w:rsidRDefault="00D27C17">
            <w:pPr>
              <w:pStyle w:val="TableParagraph"/>
              <w:spacing w:before="37"/>
              <w:ind w:right="79"/>
              <w:jc w:val="right"/>
              <w:rPr>
                <w:sz w:val="20"/>
              </w:rPr>
            </w:pPr>
            <w:r>
              <w:rPr>
                <w:sz w:val="20"/>
              </w:rPr>
              <w:t>42</w:t>
            </w:r>
          </w:p>
        </w:tc>
      </w:tr>
      <w:tr w:rsidR="00EF3DFB" w14:paraId="7326C227" w14:textId="77777777">
        <w:trPr>
          <w:trHeight w:val="290"/>
        </w:trPr>
        <w:tc>
          <w:tcPr>
            <w:tcW w:w="6870" w:type="dxa"/>
          </w:tcPr>
          <w:p w14:paraId="7326C223" w14:textId="77777777" w:rsidR="00EF3DFB" w:rsidRDefault="00D27C17">
            <w:pPr>
              <w:pStyle w:val="TableParagraph"/>
              <w:spacing w:before="37"/>
              <w:ind w:left="52"/>
              <w:rPr>
                <w:sz w:val="20"/>
              </w:rPr>
            </w:pPr>
            <w:r>
              <w:rPr>
                <w:sz w:val="20"/>
              </w:rPr>
              <w:t>Derivative financial instruments</w:t>
            </w:r>
          </w:p>
        </w:tc>
        <w:tc>
          <w:tcPr>
            <w:tcW w:w="1256" w:type="dxa"/>
            <w:tcBorders>
              <w:bottom w:val="single" w:sz="8" w:space="0" w:color="000000"/>
            </w:tcBorders>
          </w:tcPr>
          <w:p w14:paraId="7326C224" w14:textId="77777777" w:rsidR="00EF3DFB" w:rsidRDefault="00D27C17">
            <w:pPr>
              <w:pStyle w:val="TableParagraph"/>
              <w:spacing w:before="37"/>
              <w:ind w:right="70"/>
              <w:jc w:val="right"/>
              <w:rPr>
                <w:sz w:val="20"/>
              </w:rPr>
            </w:pPr>
            <w:r>
              <w:rPr>
                <w:sz w:val="20"/>
              </w:rPr>
              <w:t>(1)</w:t>
            </w:r>
          </w:p>
        </w:tc>
        <w:tc>
          <w:tcPr>
            <w:tcW w:w="1275" w:type="dxa"/>
            <w:tcBorders>
              <w:bottom w:val="single" w:sz="8" w:space="0" w:color="000000"/>
            </w:tcBorders>
          </w:tcPr>
          <w:p w14:paraId="7326C225" w14:textId="77777777" w:rsidR="00EF3DFB" w:rsidRDefault="00D27C17">
            <w:pPr>
              <w:pStyle w:val="TableParagraph"/>
              <w:spacing w:before="37"/>
              <w:ind w:right="70"/>
              <w:jc w:val="right"/>
              <w:rPr>
                <w:sz w:val="20"/>
              </w:rPr>
            </w:pPr>
            <w:r>
              <w:rPr>
                <w:sz w:val="20"/>
              </w:rPr>
              <w:t>(20)</w:t>
            </w:r>
          </w:p>
        </w:tc>
        <w:tc>
          <w:tcPr>
            <w:tcW w:w="1219" w:type="dxa"/>
            <w:tcBorders>
              <w:bottom w:val="single" w:sz="8" w:space="0" w:color="000000"/>
            </w:tcBorders>
          </w:tcPr>
          <w:p w14:paraId="7326C226" w14:textId="77777777" w:rsidR="00EF3DFB" w:rsidRDefault="00D27C17">
            <w:pPr>
              <w:pStyle w:val="TableParagraph"/>
              <w:spacing w:before="37"/>
              <w:ind w:right="79"/>
              <w:jc w:val="right"/>
              <w:rPr>
                <w:sz w:val="20"/>
              </w:rPr>
            </w:pPr>
            <w:r>
              <w:rPr>
                <w:sz w:val="20"/>
              </w:rPr>
              <w:t>45</w:t>
            </w:r>
          </w:p>
        </w:tc>
      </w:tr>
      <w:tr w:rsidR="00EF3DFB" w14:paraId="7326C22C" w14:textId="77777777">
        <w:trPr>
          <w:trHeight w:val="280"/>
        </w:trPr>
        <w:tc>
          <w:tcPr>
            <w:tcW w:w="6870" w:type="dxa"/>
            <w:shd w:val="clear" w:color="auto" w:fill="CCEDFF"/>
          </w:tcPr>
          <w:p w14:paraId="7326C228" w14:textId="77777777" w:rsidR="00EF3DFB" w:rsidRDefault="00D27C17">
            <w:pPr>
              <w:pStyle w:val="TableParagraph"/>
              <w:spacing w:before="27"/>
              <w:ind w:left="52"/>
              <w:rPr>
                <w:sz w:val="20"/>
              </w:rPr>
            </w:pPr>
            <w:r>
              <w:rPr>
                <w:sz w:val="20"/>
              </w:rPr>
              <w:t>Total other comprehensive income (loss), net of tax</w:t>
            </w:r>
          </w:p>
        </w:tc>
        <w:tc>
          <w:tcPr>
            <w:tcW w:w="1256" w:type="dxa"/>
            <w:tcBorders>
              <w:top w:val="single" w:sz="8" w:space="0" w:color="000000"/>
              <w:bottom w:val="single" w:sz="8" w:space="0" w:color="000000"/>
            </w:tcBorders>
            <w:shd w:val="clear" w:color="auto" w:fill="CCEDFF"/>
          </w:tcPr>
          <w:p w14:paraId="7326C229" w14:textId="77777777" w:rsidR="00EF3DFB" w:rsidRDefault="00D27C17">
            <w:pPr>
              <w:pStyle w:val="TableParagraph"/>
              <w:spacing w:before="27"/>
              <w:ind w:right="135"/>
              <w:jc w:val="right"/>
              <w:rPr>
                <w:sz w:val="20"/>
              </w:rPr>
            </w:pPr>
            <w:r>
              <w:rPr>
                <w:sz w:val="20"/>
              </w:rPr>
              <w:t>40</w:t>
            </w:r>
          </w:p>
        </w:tc>
        <w:tc>
          <w:tcPr>
            <w:tcW w:w="1275" w:type="dxa"/>
            <w:tcBorders>
              <w:top w:val="single" w:sz="8" w:space="0" w:color="000000"/>
              <w:bottom w:val="single" w:sz="8" w:space="0" w:color="000000"/>
            </w:tcBorders>
            <w:shd w:val="clear" w:color="auto" w:fill="CCEDFF"/>
          </w:tcPr>
          <w:p w14:paraId="7326C22A" w14:textId="77777777" w:rsidR="00EF3DFB" w:rsidRDefault="00D27C17">
            <w:pPr>
              <w:pStyle w:val="TableParagraph"/>
              <w:spacing w:before="27"/>
              <w:ind w:right="70"/>
              <w:jc w:val="right"/>
              <w:rPr>
                <w:sz w:val="20"/>
              </w:rPr>
            </w:pPr>
            <w:r>
              <w:rPr>
                <w:sz w:val="20"/>
              </w:rPr>
              <w:t>(7)</w:t>
            </w:r>
          </w:p>
        </w:tc>
        <w:tc>
          <w:tcPr>
            <w:tcW w:w="1219" w:type="dxa"/>
            <w:tcBorders>
              <w:top w:val="single" w:sz="8" w:space="0" w:color="000000"/>
              <w:bottom w:val="single" w:sz="8" w:space="0" w:color="000000"/>
            </w:tcBorders>
            <w:shd w:val="clear" w:color="auto" w:fill="CCEDFF"/>
          </w:tcPr>
          <w:p w14:paraId="7326C22B" w14:textId="77777777" w:rsidR="00EF3DFB" w:rsidRDefault="00D27C17">
            <w:pPr>
              <w:pStyle w:val="TableParagraph"/>
              <w:spacing w:before="27"/>
              <w:ind w:right="14"/>
              <w:jc w:val="right"/>
              <w:rPr>
                <w:sz w:val="20"/>
              </w:rPr>
            </w:pPr>
            <w:r>
              <w:rPr>
                <w:sz w:val="20"/>
              </w:rPr>
              <w:t>(87)</w:t>
            </w:r>
          </w:p>
        </w:tc>
      </w:tr>
      <w:tr w:rsidR="00EF3DFB" w14:paraId="7326C231" w14:textId="77777777">
        <w:trPr>
          <w:trHeight w:val="290"/>
        </w:trPr>
        <w:tc>
          <w:tcPr>
            <w:tcW w:w="6870" w:type="dxa"/>
          </w:tcPr>
          <w:p w14:paraId="7326C22D" w14:textId="77777777" w:rsidR="00EF3DFB" w:rsidRDefault="00D27C17">
            <w:pPr>
              <w:pStyle w:val="TableParagraph"/>
              <w:spacing w:before="27"/>
              <w:ind w:left="52"/>
              <w:rPr>
                <w:b/>
                <w:sz w:val="20"/>
              </w:rPr>
            </w:pPr>
            <w:r>
              <w:rPr>
                <w:b/>
                <w:sz w:val="20"/>
              </w:rPr>
              <w:t>Comprehensive income (loss) including noncontrolling interest</w:t>
            </w:r>
          </w:p>
        </w:tc>
        <w:tc>
          <w:tcPr>
            <w:tcW w:w="1256" w:type="dxa"/>
            <w:tcBorders>
              <w:top w:val="single" w:sz="8" w:space="0" w:color="000000"/>
            </w:tcBorders>
          </w:tcPr>
          <w:p w14:paraId="7326C22E" w14:textId="77777777" w:rsidR="00EF3DFB" w:rsidRDefault="00D27C17">
            <w:pPr>
              <w:pStyle w:val="TableParagraph"/>
              <w:spacing w:before="27"/>
              <w:ind w:right="70"/>
              <w:jc w:val="right"/>
              <w:rPr>
                <w:b/>
                <w:sz w:val="20"/>
              </w:rPr>
            </w:pPr>
            <w:r>
              <w:rPr>
                <w:b/>
                <w:sz w:val="20"/>
              </w:rPr>
              <w:t>(730)</w:t>
            </w:r>
          </w:p>
        </w:tc>
        <w:tc>
          <w:tcPr>
            <w:tcW w:w="1275" w:type="dxa"/>
            <w:tcBorders>
              <w:top w:val="single" w:sz="8" w:space="0" w:color="000000"/>
            </w:tcBorders>
          </w:tcPr>
          <w:p w14:paraId="7326C22F" w14:textId="77777777" w:rsidR="00EF3DFB" w:rsidRDefault="00D27C17">
            <w:pPr>
              <w:pStyle w:val="TableParagraph"/>
              <w:spacing w:before="27"/>
              <w:ind w:right="135"/>
              <w:jc w:val="right"/>
              <w:rPr>
                <w:b/>
                <w:sz w:val="20"/>
              </w:rPr>
            </w:pPr>
            <w:r>
              <w:rPr>
                <w:b/>
                <w:sz w:val="20"/>
              </w:rPr>
              <w:t>100</w:t>
            </w:r>
          </w:p>
        </w:tc>
        <w:tc>
          <w:tcPr>
            <w:tcW w:w="1219" w:type="dxa"/>
            <w:tcBorders>
              <w:top w:val="single" w:sz="8" w:space="0" w:color="000000"/>
            </w:tcBorders>
          </w:tcPr>
          <w:p w14:paraId="7326C230" w14:textId="77777777" w:rsidR="00EF3DFB" w:rsidRDefault="00D27C17">
            <w:pPr>
              <w:pStyle w:val="TableParagraph"/>
              <w:spacing w:before="27"/>
              <w:ind w:right="14"/>
              <w:jc w:val="right"/>
              <w:rPr>
                <w:b/>
                <w:sz w:val="20"/>
              </w:rPr>
            </w:pPr>
            <w:r>
              <w:rPr>
                <w:b/>
                <w:sz w:val="20"/>
              </w:rPr>
              <w:t>(7,029)</w:t>
            </w:r>
          </w:p>
        </w:tc>
      </w:tr>
      <w:tr w:rsidR="00EF3DFB" w14:paraId="7326C236" w14:textId="77777777">
        <w:trPr>
          <w:trHeight w:val="290"/>
        </w:trPr>
        <w:tc>
          <w:tcPr>
            <w:tcW w:w="6870" w:type="dxa"/>
            <w:shd w:val="clear" w:color="auto" w:fill="CCEDFF"/>
          </w:tcPr>
          <w:p w14:paraId="7326C232" w14:textId="77777777" w:rsidR="00EF3DFB" w:rsidRDefault="00D27C17">
            <w:pPr>
              <w:pStyle w:val="TableParagraph"/>
              <w:spacing w:before="37"/>
              <w:ind w:left="52"/>
              <w:rPr>
                <w:sz w:val="20"/>
              </w:rPr>
            </w:pPr>
            <w:r>
              <w:rPr>
                <w:sz w:val="20"/>
              </w:rPr>
              <w:t>Total comprehensive income (loss) attributable to noncontrolling interests</w:t>
            </w:r>
          </w:p>
        </w:tc>
        <w:tc>
          <w:tcPr>
            <w:tcW w:w="1256" w:type="dxa"/>
            <w:tcBorders>
              <w:bottom w:val="single" w:sz="8" w:space="0" w:color="000000"/>
            </w:tcBorders>
            <w:shd w:val="clear" w:color="auto" w:fill="CCEDFF"/>
          </w:tcPr>
          <w:p w14:paraId="7326C233" w14:textId="77777777" w:rsidR="00EF3DFB" w:rsidRDefault="00D27C17">
            <w:pPr>
              <w:pStyle w:val="TableParagraph"/>
              <w:spacing w:before="37"/>
              <w:ind w:right="70"/>
              <w:jc w:val="right"/>
              <w:rPr>
                <w:sz w:val="20"/>
              </w:rPr>
            </w:pPr>
            <w:r>
              <w:rPr>
                <w:sz w:val="20"/>
              </w:rPr>
              <w:t>(4)</w:t>
            </w:r>
          </w:p>
        </w:tc>
        <w:tc>
          <w:tcPr>
            <w:tcW w:w="1275" w:type="dxa"/>
            <w:tcBorders>
              <w:bottom w:val="single" w:sz="8" w:space="0" w:color="000000"/>
            </w:tcBorders>
            <w:shd w:val="clear" w:color="auto" w:fill="CCEDFF"/>
          </w:tcPr>
          <w:p w14:paraId="7326C234" w14:textId="77777777" w:rsidR="00EF3DFB" w:rsidRDefault="00D27C17">
            <w:pPr>
              <w:pStyle w:val="TableParagraph"/>
              <w:spacing w:before="37"/>
              <w:ind w:right="135"/>
              <w:jc w:val="right"/>
              <w:rPr>
                <w:sz w:val="20"/>
              </w:rPr>
            </w:pPr>
            <w:r>
              <w:rPr>
                <w:sz w:val="20"/>
              </w:rPr>
              <w:t>1</w:t>
            </w:r>
          </w:p>
        </w:tc>
        <w:tc>
          <w:tcPr>
            <w:tcW w:w="1219" w:type="dxa"/>
            <w:tcBorders>
              <w:bottom w:val="single" w:sz="8" w:space="0" w:color="000000"/>
            </w:tcBorders>
            <w:shd w:val="clear" w:color="auto" w:fill="CCEDFF"/>
          </w:tcPr>
          <w:p w14:paraId="7326C235" w14:textId="77777777" w:rsidR="00EF3DFB" w:rsidRDefault="00D27C17">
            <w:pPr>
              <w:pStyle w:val="TableParagraph"/>
              <w:spacing w:before="37"/>
              <w:ind w:right="14"/>
              <w:jc w:val="right"/>
              <w:rPr>
                <w:sz w:val="20"/>
              </w:rPr>
            </w:pPr>
            <w:r>
              <w:rPr>
                <w:sz w:val="20"/>
              </w:rPr>
              <w:t>(2)</w:t>
            </w:r>
          </w:p>
        </w:tc>
      </w:tr>
      <w:tr w:rsidR="00EF3DFB" w14:paraId="7326C23B" w14:textId="77777777">
        <w:trPr>
          <w:trHeight w:val="300"/>
        </w:trPr>
        <w:tc>
          <w:tcPr>
            <w:tcW w:w="6870" w:type="dxa"/>
          </w:tcPr>
          <w:p w14:paraId="7326C237" w14:textId="77777777" w:rsidR="00EF3DFB" w:rsidRDefault="00D27C17">
            <w:pPr>
              <w:pStyle w:val="TableParagraph"/>
              <w:spacing w:before="27"/>
              <w:ind w:left="52"/>
              <w:rPr>
                <w:b/>
                <w:sz w:val="20"/>
              </w:rPr>
            </w:pPr>
            <w:r>
              <w:rPr>
                <w:b/>
                <w:sz w:val="20"/>
              </w:rPr>
              <w:t>Total comprehensive income (loss) attributable to parent</w:t>
            </w:r>
          </w:p>
        </w:tc>
        <w:tc>
          <w:tcPr>
            <w:tcW w:w="1256" w:type="dxa"/>
            <w:tcBorders>
              <w:top w:val="single" w:sz="8" w:space="0" w:color="000000"/>
              <w:bottom w:val="single" w:sz="8" w:space="0" w:color="000000"/>
            </w:tcBorders>
          </w:tcPr>
          <w:p w14:paraId="7326C238" w14:textId="77777777" w:rsidR="00EF3DFB" w:rsidRDefault="00D27C17">
            <w:pPr>
              <w:pStyle w:val="TableParagraph"/>
              <w:tabs>
                <w:tab w:val="left" w:pos="699"/>
              </w:tabs>
              <w:spacing w:before="27"/>
              <w:ind w:right="70"/>
              <w:jc w:val="right"/>
              <w:rPr>
                <w:b/>
                <w:sz w:val="20"/>
              </w:rPr>
            </w:pPr>
            <w:r>
              <w:rPr>
                <w:b/>
                <w:sz w:val="20"/>
                <w:u w:val="single"/>
              </w:rPr>
              <w:t>$</w:t>
            </w:r>
            <w:r>
              <w:rPr>
                <w:b/>
                <w:sz w:val="20"/>
                <w:u w:val="single"/>
              </w:rPr>
              <w:tab/>
              <w:t>(726)</w:t>
            </w:r>
          </w:p>
        </w:tc>
        <w:tc>
          <w:tcPr>
            <w:tcW w:w="1275" w:type="dxa"/>
            <w:tcBorders>
              <w:top w:val="single" w:sz="8" w:space="0" w:color="000000"/>
              <w:bottom w:val="single" w:sz="8" w:space="0" w:color="000000"/>
            </w:tcBorders>
          </w:tcPr>
          <w:p w14:paraId="7326C239" w14:textId="77777777" w:rsidR="00EF3DFB" w:rsidRDefault="00D27C17">
            <w:pPr>
              <w:pStyle w:val="TableParagraph"/>
              <w:tabs>
                <w:tab w:val="left" w:pos="937"/>
              </w:tabs>
              <w:spacing w:before="27"/>
              <w:ind w:left="71"/>
              <w:rPr>
                <w:b/>
                <w:sz w:val="20"/>
              </w:rPr>
            </w:pPr>
            <w:r>
              <w:rPr>
                <w:b/>
                <w:sz w:val="20"/>
                <w:u w:val="single"/>
              </w:rPr>
              <w:t>$</w:t>
            </w:r>
            <w:r>
              <w:rPr>
                <w:b/>
                <w:sz w:val="20"/>
                <w:u w:val="single"/>
              </w:rPr>
              <w:tab/>
              <w:t>99</w:t>
            </w:r>
          </w:p>
        </w:tc>
        <w:tc>
          <w:tcPr>
            <w:tcW w:w="1219" w:type="dxa"/>
            <w:tcBorders>
              <w:top w:val="single" w:sz="8" w:space="0" w:color="000000"/>
              <w:bottom w:val="single" w:sz="8" w:space="0" w:color="000000"/>
            </w:tcBorders>
          </w:tcPr>
          <w:p w14:paraId="7326C23A" w14:textId="77777777" w:rsidR="00EF3DFB" w:rsidRDefault="00D27C17">
            <w:pPr>
              <w:pStyle w:val="TableParagraph"/>
              <w:tabs>
                <w:tab w:val="left" w:pos="549"/>
              </w:tabs>
              <w:spacing w:before="27"/>
              <w:ind w:right="14"/>
              <w:jc w:val="right"/>
              <w:rPr>
                <w:b/>
                <w:sz w:val="20"/>
              </w:rPr>
            </w:pPr>
            <w:r>
              <w:rPr>
                <w:b/>
                <w:sz w:val="20"/>
                <w:u w:val="single"/>
              </w:rPr>
              <w:t>$</w:t>
            </w:r>
            <w:r>
              <w:rPr>
                <w:b/>
                <w:sz w:val="20"/>
                <w:u w:val="single"/>
              </w:rPr>
              <w:tab/>
            </w:r>
            <w:r>
              <w:rPr>
                <w:b/>
                <w:spacing w:val="-1"/>
                <w:sz w:val="20"/>
                <w:u w:val="single"/>
              </w:rPr>
              <w:t>(7,027)</w:t>
            </w:r>
          </w:p>
        </w:tc>
      </w:tr>
      <w:tr w:rsidR="00EF3DFB" w14:paraId="7326C241" w14:textId="77777777">
        <w:trPr>
          <w:trHeight w:val="492"/>
        </w:trPr>
        <w:tc>
          <w:tcPr>
            <w:tcW w:w="6870" w:type="dxa"/>
          </w:tcPr>
          <w:p w14:paraId="7326C23C" w14:textId="77777777" w:rsidR="00EF3DFB" w:rsidRDefault="00EF3DFB">
            <w:pPr>
              <w:pStyle w:val="TableParagraph"/>
              <w:spacing w:before="6"/>
            </w:pPr>
          </w:p>
          <w:p w14:paraId="7326C23D" w14:textId="77777777" w:rsidR="00EF3DFB" w:rsidRDefault="00D27C17">
            <w:pPr>
              <w:pStyle w:val="TableParagraph"/>
              <w:spacing w:line="213" w:lineRule="exact"/>
              <w:rPr>
                <w:i/>
                <w:sz w:val="20"/>
              </w:rPr>
            </w:pPr>
            <w:r>
              <w:rPr>
                <w:i/>
                <w:sz w:val="20"/>
              </w:rPr>
              <w:t>See Notes to Consolidated Financial Statements.</w:t>
            </w:r>
          </w:p>
        </w:tc>
        <w:tc>
          <w:tcPr>
            <w:tcW w:w="1256" w:type="dxa"/>
            <w:tcBorders>
              <w:top w:val="single" w:sz="8" w:space="0" w:color="000000"/>
            </w:tcBorders>
          </w:tcPr>
          <w:p w14:paraId="7326C23E" w14:textId="77777777" w:rsidR="00EF3DFB" w:rsidRDefault="00EF3DFB">
            <w:pPr>
              <w:pStyle w:val="TableParagraph"/>
              <w:rPr>
                <w:sz w:val="18"/>
              </w:rPr>
            </w:pPr>
          </w:p>
        </w:tc>
        <w:tc>
          <w:tcPr>
            <w:tcW w:w="1275" w:type="dxa"/>
            <w:tcBorders>
              <w:top w:val="single" w:sz="8" w:space="0" w:color="000000"/>
            </w:tcBorders>
          </w:tcPr>
          <w:p w14:paraId="7326C23F" w14:textId="77777777" w:rsidR="00EF3DFB" w:rsidRDefault="00EF3DFB">
            <w:pPr>
              <w:pStyle w:val="TableParagraph"/>
              <w:rPr>
                <w:sz w:val="18"/>
              </w:rPr>
            </w:pPr>
          </w:p>
        </w:tc>
        <w:tc>
          <w:tcPr>
            <w:tcW w:w="1219" w:type="dxa"/>
            <w:tcBorders>
              <w:top w:val="single" w:sz="8" w:space="0" w:color="000000"/>
            </w:tcBorders>
          </w:tcPr>
          <w:p w14:paraId="7326C240" w14:textId="77777777" w:rsidR="00EF3DFB" w:rsidRDefault="00EF3DFB">
            <w:pPr>
              <w:pStyle w:val="TableParagraph"/>
              <w:rPr>
                <w:sz w:val="18"/>
              </w:rPr>
            </w:pPr>
          </w:p>
        </w:tc>
      </w:tr>
    </w:tbl>
    <w:p w14:paraId="7326C242" w14:textId="77777777" w:rsidR="00EF3DFB" w:rsidRDefault="00EF3DFB">
      <w:pPr>
        <w:rPr>
          <w:sz w:val="18"/>
        </w:rPr>
        <w:sectPr w:rsidR="00EF3DFB">
          <w:pgSz w:w="12240" w:h="15840"/>
          <w:pgMar w:top="68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270"/>
        <w:gridCol w:w="3097"/>
        <w:gridCol w:w="1251"/>
      </w:tblGrid>
      <w:tr w:rsidR="00EF3DFB" w14:paraId="7326C246" w14:textId="77777777">
        <w:trPr>
          <w:trHeight w:val="472"/>
        </w:trPr>
        <w:tc>
          <w:tcPr>
            <w:tcW w:w="6270" w:type="dxa"/>
          </w:tcPr>
          <w:p w14:paraId="7326C243" w14:textId="77777777" w:rsidR="00EF3DFB" w:rsidRDefault="00D27C17">
            <w:pPr>
              <w:pStyle w:val="TableParagraph"/>
              <w:spacing w:line="219" w:lineRule="exact"/>
              <w:rPr>
                <w:b/>
                <w:sz w:val="20"/>
              </w:rPr>
            </w:pPr>
            <w:bookmarkStart w:id="45" w:name="Consolidated_Balance_Sheets"/>
            <w:bookmarkEnd w:id="45"/>
            <w:r>
              <w:rPr>
                <w:b/>
                <w:sz w:val="20"/>
              </w:rPr>
              <w:lastRenderedPageBreak/>
              <w:t>NEWELL BRANDS INC. AND SUBSIDIARIES</w:t>
            </w:r>
          </w:p>
          <w:p w14:paraId="7326C244" w14:textId="77777777" w:rsidR="00EF3DFB" w:rsidRDefault="00D27C17">
            <w:pPr>
              <w:pStyle w:val="TableParagraph"/>
              <w:spacing w:before="10" w:line="224" w:lineRule="exact"/>
              <w:rPr>
                <w:b/>
                <w:sz w:val="20"/>
              </w:rPr>
            </w:pPr>
            <w:r>
              <w:rPr>
                <w:b/>
                <w:sz w:val="20"/>
              </w:rPr>
              <w:t>CONSOLIDATED BALANCE SHEETS</w:t>
            </w:r>
          </w:p>
        </w:tc>
        <w:tc>
          <w:tcPr>
            <w:tcW w:w="4348" w:type="dxa"/>
            <w:gridSpan w:val="2"/>
          </w:tcPr>
          <w:p w14:paraId="7326C245" w14:textId="77777777" w:rsidR="00EF3DFB" w:rsidRDefault="00EF3DFB">
            <w:pPr>
              <w:pStyle w:val="TableParagraph"/>
              <w:rPr>
                <w:sz w:val="18"/>
              </w:rPr>
            </w:pPr>
          </w:p>
        </w:tc>
      </w:tr>
      <w:tr w:rsidR="00EF3DFB" w14:paraId="7326C250" w14:textId="77777777">
        <w:trPr>
          <w:trHeight w:val="635"/>
        </w:trPr>
        <w:tc>
          <w:tcPr>
            <w:tcW w:w="6270" w:type="dxa"/>
          </w:tcPr>
          <w:p w14:paraId="7326C247" w14:textId="77777777" w:rsidR="00EF3DFB" w:rsidRDefault="00D27C17">
            <w:pPr>
              <w:pStyle w:val="TableParagraph"/>
              <w:spacing w:line="230" w:lineRule="exact"/>
              <w:rPr>
                <w:i/>
                <w:sz w:val="20"/>
              </w:rPr>
            </w:pPr>
            <w:r>
              <w:rPr>
                <w:i/>
                <w:sz w:val="20"/>
              </w:rPr>
              <w:t>(Amounts in millions, except par values)</w:t>
            </w:r>
          </w:p>
          <w:p w14:paraId="7326C248" w14:textId="77777777" w:rsidR="00EF3DFB" w:rsidRDefault="00EF3DFB">
            <w:pPr>
              <w:pStyle w:val="TableParagraph"/>
              <w:spacing w:before="3"/>
              <w:rPr>
                <w:sz w:val="17"/>
              </w:rPr>
            </w:pPr>
          </w:p>
          <w:p w14:paraId="7326C249" w14:textId="77777777" w:rsidR="00EF3DFB" w:rsidRDefault="00D27C17">
            <w:pPr>
              <w:pStyle w:val="TableParagraph"/>
              <w:ind w:left="52"/>
              <w:rPr>
                <w:b/>
                <w:sz w:val="16"/>
              </w:rPr>
            </w:pPr>
            <w:r>
              <w:rPr>
                <w:b/>
                <w:sz w:val="16"/>
              </w:rPr>
              <w:t>December 31,</w:t>
            </w:r>
          </w:p>
        </w:tc>
        <w:tc>
          <w:tcPr>
            <w:tcW w:w="3097" w:type="dxa"/>
            <w:tcBorders>
              <w:bottom w:val="single" w:sz="8" w:space="0" w:color="000000"/>
            </w:tcBorders>
          </w:tcPr>
          <w:p w14:paraId="7326C24A" w14:textId="77777777" w:rsidR="00EF3DFB" w:rsidRDefault="00EF3DFB">
            <w:pPr>
              <w:pStyle w:val="TableParagraph"/>
              <w:rPr>
                <w:sz w:val="18"/>
              </w:rPr>
            </w:pPr>
          </w:p>
          <w:p w14:paraId="7326C24B" w14:textId="77777777" w:rsidR="00EF3DFB" w:rsidRDefault="00EF3DFB">
            <w:pPr>
              <w:pStyle w:val="TableParagraph"/>
              <w:spacing w:before="3"/>
              <w:rPr>
                <w:sz w:val="19"/>
              </w:rPr>
            </w:pPr>
          </w:p>
          <w:p w14:paraId="7326C24C" w14:textId="77777777" w:rsidR="00EF3DFB" w:rsidRDefault="00D27C17">
            <w:pPr>
              <w:pStyle w:val="TableParagraph"/>
              <w:ind w:right="461"/>
              <w:jc w:val="right"/>
              <w:rPr>
                <w:b/>
                <w:sz w:val="16"/>
              </w:rPr>
            </w:pPr>
            <w:r>
              <w:rPr>
                <w:b/>
                <w:sz w:val="16"/>
              </w:rPr>
              <w:t>2020</w:t>
            </w:r>
          </w:p>
        </w:tc>
        <w:tc>
          <w:tcPr>
            <w:tcW w:w="1251" w:type="dxa"/>
            <w:tcBorders>
              <w:bottom w:val="single" w:sz="8" w:space="0" w:color="000000"/>
            </w:tcBorders>
          </w:tcPr>
          <w:p w14:paraId="7326C24D" w14:textId="77777777" w:rsidR="00EF3DFB" w:rsidRDefault="00EF3DFB">
            <w:pPr>
              <w:pStyle w:val="TableParagraph"/>
              <w:rPr>
                <w:sz w:val="18"/>
              </w:rPr>
            </w:pPr>
          </w:p>
          <w:p w14:paraId="7326C24E" w14:textId="77777777" w:rsidR="00EF3DFB" w:rsidRDefault="00EF3DFB">
            <w:pPr>
              <w:pStyle w:val="TableParagraph"/>
              <w:spacing w:before="3"/>
              <w:rPr>
                <w:sz w:val="19"/>
              </w:rPr>
            </w:pPr>
          </w:p>
          <w:p w14:paraId="7326C24F" w14:textId="77777777" w:rsidR="00EF3DFB" w:rsidRDefault="00D27C17">
            <w:pPr>
              <w:pStyle w:val="TableParagraph"/>
              <w:ind w:left="473" w:right="418"/>
              <w:jc w:val="center"/>
              <w:rPr>
                <w:b/>
                <w:sz w:val="16"/>
              </w:rPr>
            </w:pPr>
            <w:r>
              <w:rPr>
                <w:b/>
                <w:sz w:val="16"/>
              </w:rPr>
              <w:t>2019</w:t>
            </w:r>
          </w:p>
        </w:tc>
      </w:tr>
      <w:tr w:rsidR="00EF3DFB" w14:paraId="7326C254" w14:textId="77777777">
        <w:trPr>
          <w:trHeight w:val="275"/>
        </w:trPr>
        <w:tc>
          <w:tcPr>
            <w:tcW w:w="6270" w:type="dxa"/>
            <w:shd w:val="clear" w:color="auto" w:fill="CCEDFF"/>
          </w:tcPr>
          <w:p w14:paraId="7326C251" w14:textId="77777777" w:rsidR="00EF3DFB" w:rsidRDefault="00D27C17">
            <w:pPr>
              <w:pStyle w:val="TableParagraph"/>
              <w:spacing w:before="12"/>
              <w:ind w:left="52"/>
              <w:rPr>
                <w:b/>
                <w:sz w:val="20"/>
              </w:rPr>
            </w:pPr>
            <w:r>
              <w:rPr>
                <w:b/>
                <w:sz w:val="20"/>
              </w:rPr>
              <w:t>Assets:</w:t>
            </w:r>
          </w:p>
        </w:tc>
        <w:tc>
          <w:tcPr>
            <w:tcW w:w="3097" w:type="dxa"/>
            <w:tcBorders>
              <w:top w:val="single" w:sz="8" w:space="0" w:color="000000"/>
            </w:tcBorders>
            <w:shd w:val="clear" w:color="auto" w:fill="CCEDFF"/>
          </w:tcPr>
          <w:p w14:paraId="7326C252" w14:textId="77777777" w:rsidR="00EF3DFB" w:rsidRDefault="00EF3DFB">
            <w:pPr>
              <w:pStyle w:val="TableParagraph"/>
              <w:rPr>
                <w:sz w:val="18"/>
              </w:rPr>
            </w:pPr>
          </w:p>
        </w:tc>
        <w:tc>
          <w:tcPr>
            <w:tcW w:w="1251" w:type="dxa"/>
            <w:tcBorders>
              <w:top w:val="single" w:sz="8" w:space="0" w:color="000000"/>
            </w:tcBorders>
            <w:shd w:val="clear" w:color="auto" w:fill="CCEDFF"/>
          </w:tcPr>
          <w:p w14:paraId="7326C253" w14:textId="77777777" w:rsidR="00EF3DFB" w:rsidRDefault="00EF3DFB">
            <w:pPr>
              <w:pStyle w:val="TableParagraph"/>
              <w:rPr>
                <w:sz w:val="18"/>
              </w:rPr>
            </w:pPr>
          </w:p>
        </w:tc>
      </w:tr>
      <w:tr w:rsidR="00EF3DFB" w14:paraId="7326C258" w14:textId="77777777">
        <w:trPr>
          <w:trHeight w:val="300"/>
        </w:trPr>
        <w:tc>
          <w:tcPr>
            <w:tcW w:w="6270" w:type="dxa"/>
          </w:tcPr>
          <w:p w14:paraId="7326C255" w14:textId="77777777" w:rsidR="00EF3DFB" w:rsidRDefault="00D27C17">
            <w:pPr>
              <w:pStyle w:val="TableParagraph"/>
              <w:spacing w:before="37"/>
              <w:ind w:left="52"/>
              <w:rPr>
                <w:sz w:val="20"/>
              </w:rPr>
            </w:pPr>
            <w:r>
              <w:rPr>
                <w:sz w:val="20"/>
              </w:rPr>
              <w:t>Cash and cash equivalents</w:t>
            </w:r>
          </w:p>
        </w:tc>
        <w:tc>
          <w:tcPr>
            <w:tcW w:w="3097" w:type="dxa"/>
          </w:tcPr>
          <w:p w14:paraId="7326C256" w14:textId="77777777" w:rsidR="00EF3DFB" w:rsidRDefault="00D27C17">
            <w:pPr>
              <w:pStyle w:val="TableParagraph"/>
              <w:tabs>
                <w:tab w:val="left" w:pos="765"/>
              </w:tabs>
              <w:spacing w:before="37"/>
              <w:ind w:right="101"/>
              <w:jc w:val="right"/>
              <w:rPr>
                <w:sz w:val="20"/>
              </w:rPr>
            </w:pPr>
            <w:r>
              <w:rPr>
                <w:sz w:val="20"/>
              </w:rPr>
              <w:t>$</w:t>
            </w:r>
            <w:r>
              <w:rPr>
                <w:sz w:val="20"/>
              </w:rPr>
              <w:tab/>
              <w:t>981</w:t>
            </w:r>
          </w:p>
        </w:tc>
        <w:tc>
          <w:tcPr>
            <w:tcW w:w="1251" w:type="dxa"/>
          </w:tcPr>
          <w:p w14:paraId="7326C257" w14:textId="77777777" w:rsidR="00EF3DFB" w:rsidRDefault="00D27C17">
            <w:pPr>
              <w:pStyle w:val="TableParagraph"/>
              <w:tabs>
                <w:tab w:val="left" w:pos="765"/>
              </w:tabs>
              <w:spacing w:before="37"/>
              <w:ind w:right="77"/>
              <w:jc w:val="right"/>
              <w:rPr>
                <w:sz w:val="20"/>
              </w:rPr>
            </w:pPr>
            <w:r>
              <w:rPr>
                <w:sz w:val="20"/>
              </w:rPr>
              <w:t>$</w:t>
            </w:r>
            <w:r>
              <w:rPr>
                <w:sz w:val="20"/>
              </w:rPr>
              <w:tab/>
              <w:t>349</w:t>
            </w:r>
          </w:p>
        </w:tc>
      </w:tr>
      <w:tr w:rsidR="00EF3DFB" w14:paraId="7326C25C" w14:textId="77777777">
        <w:trPr>
          <w:trHeight w:val="300"/>
        </w:trPr>
        <w:tc>
          <w:tcPr>
            <w:tcW w:w="6270" w:type="dxa"/>
            <w:shd w:val="clear" w:color="auto" w:fill="CCEDFF"/>
          </w:tcPr>
          <w:p w14:paraId="7326C259" w14:textId="77777777" w:rsidR="00EF3DFB" w:rsidRDefault="00D27C17">
            <w:pPr>
              <w:pStyle w:val="TableParagraph"/>
              <w:spacing w:before="37"/>
              <w:ind w:left="52"/>
              <w:rPr>
                <w:sz w:val="20"/>
              </w:rPr>
            </w:pPr>
            <w:r>
              <w:rPr>
                <w:sz w:val="20"/>
              </w:rPr>
              <w:t>Accounts receivable, net</w:t>
            </w:r>
          </w:p>
        </w:tc>
        <w:tc>
          <w:tcPr>
            <w:tcW w:w="3097" w:type="dxa"/>
            <w:shd w:val="clear" w:color="auto" w:fill="CCEDFF"/>
          </w:tcPr>
          <w:p w14:paraId="7326C25A" w14:textId="77777777" w:rsidR="00EF3DFB" w:rsidRDefault="00D27C17">
            <w:pPr>
              <w:pStyle w:val="TableParagraph"/>
              <w:spacing w:before="37"/>
              <w:ind w:right="101"/>
              <w:jc w:val="right"/>
              <w:rPr>
                <w:sz w:val="20"/>
              </w:rPr>
            </w:pPr>
            <w:r>
              <w:rPr>
                <w:sz w:val="20"/>
              </w:rPr>
              <w:t>1,678</w:t>
            </w:r>
          </w:p>
        </w:tc>
        <w:tc>
          <w:tcPr>
            <w:tcW w:w="1251" w:type="dxa"/>
            <w:shd w:val="clear" w:color="auto" w:fill="CCEDFF"/>
          </w:tcPr>
          <w:p w14:paraId="7326C25B" w14:textId="77777777" w:rsidR="00EF3DFB" w:rsidRDefault="00D27C17">
            <w:pPr>
              <w:pStyle w:val="TableParagraph"/>
              <w:spacing w:before="37"/>
              <w:ind w:right="77"/>
              <w:jc w:val="right"/>
              <w:rPr>
                <w:sz w:val="20"/>
              </w:rPr>
            </w:pPr>
            <w:r>
              <w:rPr>
                <w:sz w:val="20"/>
              </w:rPr>
              <w:t>1,842</w:t>
            </w:r>
          </w:p>
        </w:tc>
      </w:tr>
      <w:tr w:rsidR="00EF3DFB" w14:paraId="7326C260" w14:textId="77777777">
        <w:trPr>
          <w:trHeight w:val="300"/>
        </w:trPr>
        <w:tc>
          <w:tcPr>
            <w:tcW w:w="6270" w:type="dxa"/>
          </w:tcPr>
          <w:p w14:paraId="7326C25D" w14:textId="77777777" w:rsidR="00EF3DFB" w:rsidRDefault="00D27C17">
            <w:pPr>
              <w:pStyle w:val="TableParagraph"/>
              <w:spacing w:before="37"/>
              <w:ind w:left="52"/>
              <w:rPr>
                <w:sz w:val="20"/>
              </w:rPr>
            </w:pPr>
            <w:r>
              <w:rPr>
                <w:sz w:val="20"/>
              </w:rPr>
              <w:t>Inventories</w:t>
            </w:r>
          </w:p>
        </w:tc>
        <w:tc>
          <w:tcPr>
            <w:tcW w:w="3097" w:type="dxa"/>
          </w:tcPr>
          <w:p w14:paraId="7326C25E" w14:textId="77777777" w:rsidR="00EF3DFB" w:rsidRDefault="00D27C17">
            <w:pPr>
              <w:pStyle w:val="TableParagraph"/>
              <w:spacing w:before="37"/>
              <w:ind w:right="101"/>
              <w:jc w:val="right"/>
              <w:rPr>
                <w:sz w:val="20"/>
              </w:rPr>
            </w:pPr>
            <w:r>
              <w:rPr>
                <w:sz w:val="20"/>
              </w:rPr>
              <w:t>1,638</w:t>
            </w:r>
          </w:p>
        </w:tc>
        <w:tc>
          <w:tcPr>
            <w:tcW w:w="1251" w:type="dxa"/>
          </w:tcPr>
          <w:p w14:paraId="7326C25F" w14:textId="77777777" w:rsidR="00EF3DFB" w:rsidRDefault="00D27C17">
            <w:pPr>
              <w:pStyle w:val="TableParagraph"/>
              <w:spacing w:before="37"/>
              <w:ind w:right="77"/>
              <w:jc w:val="right"/>
              <w:rPr>
                <w:sz w:val="20"/>
              </w:rPr>
            </w:pPr>
            <w:r>
              <w:rPr>
                <w:sz w:val="20"/>
              </w:rPr>
              <w:t>1,606</w:t>
            </w:r>
          </w:p>
        </w:tc>
      </w:tr>
      <w:tr w:rsidR="00EF3DFB" w14:paraId="7326C264" w14:textId="77777777">
        <w:trPr>
          <w:trHeight w:val="290"/>
        </w:trPr>
        <w:tc>
          <w:tcPr>
            <w:tcW w:w="6270" w:type="dxa"/>
            <w:shd w:val="clear" w:color="auto" w:fill="CCEDFF"/>
          </w:tcPr>
          <w:p w14:paraId="7326C261" w14:textId="77777777" w:rsidR="00EF3DFB" w:rsidRDefault="00D27C17">
            <w:pPr>
              <w:pStyle w:val="TableParagraph"/>
              <w:spacing w:before="37"/>
              <w:ind w:left="52"/>
              <w:rPr>
                <w:sz w:val="20"/>
              </w:rPr>
            </w:pPr>
            <w:r>
              <w:rPr>
                <w:sz w:val="20"/>
              </w:rPr>
              <w:t>Prepaid expenses and other current assets</w:t>
            </w:r>
          </w:p>
        </w:tc>
        <w:tc>
          <w:tcPr>
            <w:tcW w:w="3097" w:type="dxa"/>
            <w:tcBorders>
              <w:bottom w:val="single" w:sz="8" w:space="0" w:color="000000"/>
            </w:tcBorders>
            <w:shd w:val="clear" w:color="auto" w:fill="CCEDFF"/>
          </w:tcPr>
          <w:p w14:paraId="7326C262" w14:textId="77777777" w:rsidR="00EF3DFB" w:rsidRDefault="00D27C17">
            <w:pPr>
              <w:pStyle w:val="TableParagraph"/>
              <w:spacing w:before="37"/>
              <w:ind w:right="101"/>
              <w:jc w:val="right"/>
              <w:rPr>
                <w:sz w:val="20"/>
              </w:rPr>
            </w:pPr>
            <w:r>
              <w:rPr>
                <w:sz w:val="20"/>
              </w:rPr>
              <w:t>331</w:t>
            </w:r>
          </w:p>
        </w:tc>
        <w:tc>
          <w:tcPr>
            <w:tcW w:w="1251" w:type="dxa"/>
            <w:tcBorders>
              <w:bottom w:val="single" w:sz="8" w:space="0" w:color="000000"/>
            </w:tcBorders>
            <w:shd w:val="clear" w:color="auto" w:fill="CCEDFF"/>
          </w:tcPr>
          <w:p w14:paraId="7326C263" w14:textId="77777777" w:rsidR="00EF3DFB" w:rsidRDefault="00D27C17">
            <w:pPr>
              <w:pStyle w:val="TableParagraph"/>
              <w:spacing w:before="37"/>
              <w:ind w:right="77"/>
              <w:jc w:val="right"/>
              <w:rPr>
                <w:sz w:val="20"/>
              </w:rPr>
            </w:pPr>
            <w:r>
              <w:rPr>
                <w:sz w:val="20"/>
              </w:rPr>
              <w:t>313</w:t>
            </w:r>
          </w:p>
        </w:tc>
      </w:tr>
      <w:tr w:rsidR="00EF3DFB" w14:paraId="7326C268" w14:textId="77777777">
        <w:trPr>
          <w:trHeight w:val="290"/>
        </w:trPr>
        <w:tc>
          <w:tcPr>
            <w:tcW w:w="6270" w:type="dxa"/>
          </w:tcPr>
          <w:p w14:paraId="7326C265" w14:textId="77777777" w:rsidR="00EF3DFB" w:rsidRDefault="00D27C17">
            <w:pPr>
              <w:pStyle w:val="TableParagraph"/>
              <w:spacing w:before="27"/>
              <w:ind w:left="412"/>
              <w:rPr>
                <w:sz w:val="20"/>
              </w:rPr>
            </w:pPr>
            <w:r>
              <w:rPr>
                <w:sz w:val="20"/>
              </w:rPr>
              <w:t>Total current assets</w:t>
            </w:r>
          </w:p>
        </w:tc>
        <w:tc>
          <w:tcPr>
            <w:tcW w:w="3097" w:type="dxa"/>
            <w:tcBorders>
              <w:top w:val="single" w:sz="8" w:space="0" w:color="000000"/>
            </w:tcBorders>
          </w:tcPr>
          <w:p w14:paraId="7326C266" w14:textId="77777777" w:rsidR="00EF3DFB" w:rsidRDefault="00D27C17">
            <w:pPr>
              <w:pStyle w:val="TableParagraph"/>
              <w:spacing w:before="27"/>
              <w:ind w:right="101"/>
              <w:jc w:val="right"/>
              <w:rPr>
                <w:sz w:val="20"/>
              </w:rPr>
            </w:pPr>
            <w:r>
              <w:rPr>
                <w:sz w:val="20"/>
              </w:rPr>
              <w:t>4,628</w:t>
            </w:r>
          </w:p>
        </w:tc>
        <w:tc>
          <w:tcPr>
            <w:tcW w:w="1251" w:type="dxa"/>
            <w:tcBorders>
              <w:top w:val="single" w:sz="8" w:space="0" w:color="000000"/>
            </w:tcBorders>
          </w:tcPr>
          <w:p w14:paraId="7326C267" w14:textId="77777777" w:rsidR="00EF3DFB" w:rsidRDefault="00D27C17">
            <w:pPr>
              <w:pStyle w:val="TableParagraph"/>
              <w:spacing w:before="27"/>
              <w:ind w:right="77"/>
              <w:jc w:val="right"/>
              <w:rPr>
                <w:sz w:val="20"/>
              </w:rPr>
            </w:pPr>
            <w:r>
              <w:rPr>
                <w:sz w:val="20"/>
              </w:rPr>
              <w:t>4,110</w:t>
            </w:r>
          </w:p>
        </w:tc>
      </w:tr>
      <w:tr w:rsidR="00EF3DFB" w14:paraId="7326C26C" w14:textId="77777777">
        <w:trPr>
          <w:trHeight w:val="300"/>
        </w:trPr>
        <w:tc>
          <w:tcPr>
            <w:tcW w:w="6270" w:type="dxa"/>
            <w:shd w:val="clear" w:color="auto" w:fill="CCEDFF"/>
          </w:tcPr>
          <w:p w14:paraId="7326C269" w14:textId="77777777" w:rsidR="00EF3DFB" w:rsidRDefault="00D27C17">
            <w:pPr>
              <w:pStyle w:val="TableParagraph"/>
              <w:spacing w:before="37"/>
              <w:ind w:left="52"/>
              <w:rPr>
                <w:sz w:val="20"/>
              </w:rPr>
            </w:pPr>
            <w:r>
              <w:rPr>
                <w:sz w:val="20"/>
              </w:rPr>
              <w:t>Property, plant and equipment, net</w:t>
            </w:r>
          </w:p>
        </w:tc>
        <w:tc>
          <w:tcPr>
            <w:tcW w:w="3097" w:type="dxa"/>
            <w:shd w:val="clear" w:color="auto" w:fill="CCEDFF"/>
          </w:tcPr>
          <w:p w14:paraId="7326C26A" w14:textId="77777777" w:rsidR="00EF3DFB" w:rsidRDefault="00D27C17">
            <w:pPr>
              <w:pStyle w:val="TableParagraph"/>
              <w:spacing w:before="37"/>
              <w:ind w:right="101"/>
              <w:jc w:val="right"/>
              <w:rPr>
                <w:sz w:val="20"/>
              </w:rPr>
            </w:pPr>
            <w:r>
              <w:rPr>
                <w:sz w:val="20"/>
              </w:rPr>
              <w:t>1,176</w:t>
            </w:r>
          </w:p>
        </w:tc>
        <w:tc>
          <w:tcPr>
            <w:tcW w:w="1251" w:type="dxa"/>
            <w:shd w:val="clear" w:color="auto" w:fill="CCEDFF"/>
          </w:tcPr>
          <w:p w14:paraId="7326C26B" w14:textId="77777777" w:rsidR="00EF3DFB" w:rsidRDefault="00D27C17">
            <w:pPr>
              <w:pStyle w:val="TableParagraph"/>
              <w:spacing w:before="37"/>
              <w:ind w:right="77"/>
              <w:jc w:val="right"/>
              <w:rPr>
                <w:sz w:val="20"/>
              </w:rPr>
            </w:pPr>
            <w:r>
              <w:rPr>
                <w:sz w:val="20"/>
              </w:rPr>
              <w:t>1,155</w:t>
            </w:r>
          </w:p>
        </w:tc>
      </w:tr>
      <w:tr w:rsidR="00EF3DFB" w14:paraId="7326C270" w14:textId="77777777">
        <w:trPr>
          <w:trHeight w:val="300"/>
        </w:trPr>
        <w:tc>
          <w:tcPr>
            <w:tcW w:w="6270" w:type="dxa"/>
          </w:tcPr>
          <w:p w14:paraId="7326C26D" w14:textId="77777777" w:rsidR="00EF3DFB" w:rsidRDefault="00D27C17">
            <w:pPr>
              <w:pStyle w:val="TableParagraph"/>
              <w:spacing w:before="37"/>
              <w:ind w:left="52"/>
              <w:rPr>
                <w:sz w:val="20"/>
              </w:rPr>
            </w:pPr>
            <w:r>
              <w:rPr>
                <w:sz w:val="20"/>
              </w:rPr>
              <w:t>Operating lease assets</w:t>
            </w:r>
          </w:p>
        </w:tc>
        <w:tc>
          <w:tcPr>
            <w:tcW w:w="3097" w:type="dxa"/>
          </w:tcPr>
          <w:p w14:paraId="7326C26E" w14:textId="77777777" w:rsidR="00EF3DFB" w:rsidRDefault="00D27C17">
            <w:pPr>
              <w:pStyle w:val="TableParagraph"/>
              <w:spacing w:before="37"/>
              <w:ind w:right="101"/>
              <w:jc w:val="right"/>
              <w:rPr>
                <w:sz w:val="20"/>
              </w:rPr>
            </w:pPr>
            <w:r>
              <w:rPr>
                <w:sz w:val="20"/>
              </w:rPr>
              <w:t>530</w:t>
            </w:r>
          </w:p>
        </w:tc>
        <w:tc>
          <w:tcPr>
            <w:tcW w:w="1251" w:type="dxa"/>
          </w:tcPr>
          <w:p w14:paraId="7326C26F" w14:textId="77777777" w:rsidR="00EF3DFB" w:rsidRDefault="00D27C17">
            <w:pPr>
              <w:pStyle w:val="TableParagraph"/>
              <w:spacing w:before="37"/>
              <w:ind w:right="77"/>
              <w:jc w:val="right"/>
              <w:rPr>
                <w:sz w:val="20"/>
              </w:rPr>
            </w:pPr>
            <w:r>
              <w:rPr>
                <w:sz w:val="20"/>
              </w:rPr>
              <w:t>615</w:t>
            </w:r>
          </w:p>
        </w:tc>
      </w:tr>
      <w:tr w:rsidR="00EF3DFB" w14:paraId="7326C274" w14:textId="77777777">
        <w:trPr>
          <w:trHeight w:val="300"/>
        </w:trPr>
        <w:tc>
          <w:tcPr>
            <w:tcW w:w="6270" w:type="dxa"/>
            <w:shd w:val="clear" w:color="auto" w:fill="CCEDFF"/>
          </w:tcPr>
          <w:p w14:paraId="7326C271" w14:textId="77777777" w:rsidR="00EF3DFB" w:rsidRDefault="00D27C17">
            <w:pPr>
              <w:pStyle w:val="TableParagraph"/>
              <w:spacing w:before="37"/>
              <w:ind w:left="52"/>
              <w:rPr>
                <w:sz w:val="20"/>
              </w:rPr>
            </w:pPr>
            <w:r>
              <w:rPr>
                <w:sz w:val="20"/>
              </w:rPr>
              <w:t>Goodwill</w:t>
            </w:r>
          </w:p>
        </w:tc>
        <w:tc>
          <w:tcPr>
            <w:tcW w:w="3097" w:type="dxa"/>
            <w:shd w:val="clear" w:color="auto" w:fill="CCEDFF"/>
          </w:tcPr>
          <w:p w14:paraId="7326C272" w14:textId="77777777" w:rsidR="00EF3DFB" w:rsidRDefault="00D27C17">
            <w:pPr>
              <w:pStyle w:val="TableParagraph"/>
              <w:spacing w:before="37"/>
              <w:ind w:right="101"/>
              <w:jc w:val="right"/>
              <w:rPr>
                <w:sz w:val="20"/>
              </w:rPr>
            </w:pPr>
            <w:r>
              <w:rPr>
                <w:sz w:val="20"/>
              </w:rPr>
              <w:t>3,553</w:t>
            </w:r>
          </w:p>
        </w:tc>
        <w:tc>
          <w:tcPr>
            <w:tcW w:w="1251" w:type="dxa"/>
            <w:shd w:val="clear" w:color="auto" w:fill="CCEDFF"/>
          </w:tcPr>
          <w:p w14:paraId="7326C273" w14:textId="77777777" w:rsidR="00EF3DFB" w:rsidRDefault="00D27C17">
            <w:pPr>
              <w:pStyle w:val="TableParagraph"/>
              <w:spacing w:before="37"/>
              <w:ind w:right="77"/>
              <w:jc w:val="right"/>
              <w:rPr>
                <w:sz w:val="20"/>
              </w:rPr>
            </w:pPr>
            <w:r>
              <w:rPr>
                <w:sz w:val="20"/>
              </w:rPr>
              <w:t>3,709</w:t>
            </w:r>
          </w:p>
        </w:tc>
      </w:tr>
      <w:tr w:rsidR="00EF3DFB" w14:paraId="7326C278" w14:textId="77777777">
        <w:trPr>
          <w:trHeight w:val="300"/>
        </w:trPr>
        <w:tc>
          <w:tcPr>
            <w:tcW w:w="6270" w:type="dxa"/>
          </w:tcPr>
          <w:p w14:paraId="7326C275" w14:textId="77777777" w:rsidR="00EF3DFB" w:rsidRDefault="00D27C17">
            <w:pPr>
              <w:pStyle w:val="TableParagraph"/>
              <w:spacing w:before="37"/>
              <w:ind w:left="52"/>
              <w:rPr>
                <w:sz w:val="20"/>
              </w:rPr>
            </w:pPr>
            <w:r>
              <w:rPr>
                <w:sz w:val="20"/>
              </w:rPr>
              <w:t>Other intangible assets, net</w:t>
            </w:r>
          </w:p>
        </w:tc>
        <w:tc>
          <w:tcPr>
            <w:tcW w:w="3097" w:type="dxa"/>
          </w:tcPr>
          <w:p w14:paraId="7326C276" w14:textId="77777777" w:rsidR="00EF3DFB" w:rsidRDefault="00D27C17">
            <w:pPr>
              <w:pStyle w:val="TableParagraph"/>
              <w:spacing w:before="37"/>
              <w:ind w:right="101"/>
              <w:jc w:val="right"/>
              <w:rPr>
                <w:sz w:val="20"/>
              </w:rPr>
            </w:pPr>
            <w:r>
              <w:rPr>
                <w:sz w:val="20"/>
              </w:rPr>
              <w:t>3,564</w:t>
            </w:r>
          </w:p>
        </w:tc>
        <w:tc>
          <w:tcPr>
            <w:tcW w:w="1251" w:type="dxa"/>
          </w:tcPr>
          <w:p w14:paraId="7326C277" w14:textId="77777777" w:rsidR="00EF3DFB" w:rsidRDefault="00D27C17">
            <w:pPr>
              <w:pStyle w:val="TableParagraph"/>
              <w:spacing w:before="37"/>
              <w:ind w:right="77"/>
              <w:jc w:val="right"/>
              <w:rPr>
                <w:sz w:val="20"/>
              </w:rPr>
            </w:pPr>
            <w:r>
              <w:rPr>
                <w:sz w:val="20"/>
              </w:rPr>
              <w:t>4,916</w:t>
            </w:r>
          </w:p>
        </w:tc>
      </w:tr>
      <w:tr w:rsidR="00EF3DFB" w14:paraId="7326C27C" w14:textId="77777777">
        <w:trPr>
          <w:trHeight w:val="300"/>
        </w:trPr>
        <w:tc>
          <w:tcPr>
            <w:tcW w:w="6270" w:type="dxa"/>
            <w:shd w:val="clear" w:color="auto" w:fill="CCEDFF"/>
          </w:tcPr>
          <w:p w14:paraId="7326C279" w14:textId="77777777" w:rsidR="00EF3DFB" w:rsidRDefault="00D27C17">
            <w:pPr>
              <w:pStyle w:val="TableParagraph"/>
              <w:spacing w:before="37"/>
              <w:ind w:left="52"/>
              <w:rPr>
                <w:sz w:val="20"/>
              </w:rPr>
            </w:pPr>
            <w:r>
              <w:rPr>
                <w:sz w:val="20"/>
              </w:rPr>
              <w:t>Deferred income taxes</w:t>
            </w:r>
          </w:p>
        </w:tc>
        <w:tc>
          <w:tcPr>
            <w:tcW w:w="3097" w:type="dxa"/>
            <w:shd w:val="clear" w:color="auto" w:fill="CCEDFF"/>
          </w:tcPr>
          <w:p w14:paraId="7326C27A" w14:textId="77777777" w:rsidR="00EF3DFB" w:rsidRDefault="00D27C17">
            <w:pPr>
              <w:pStyle w:val="TableParagraph"/>
              <w:spacing w:before="37"/>
              <w:ind w:right="101"/>
              <w:jc w:val="right"/>
              <w:rPr>
                <w:sz w:val="20"/>
              </w:rPr>
            </w:pPr>
            <w:r>
              <w:rPr>
                <w:sz w:val="20"/>
              </w:rPr>
              <w:t>838</w:t>
            </w:r>
          </w:p>
        </w:tc>
        <w:tc>
          <w:tcPr>
            <w:tcW w:w="1251" w:type="dxa"/>
            <w:shd w:val="clear" w:color="auto" w:fill="CCEDFF"/>
          </w:tcPr>
          <w:p w14:paraId="7326C27B" w14:textId="77777777" w:rsidR="00EF3DFB" w:rsidRDefault="00D27C17">
            <w:pPr>
              <w:pStyle w:val="TableParagraph"/>
              <w:spacing w:before="37"/>
              <w:ind w:right="77"/>
              <w:jc w:val="right"/>
              <w:rPr>
                <w:sz w:val="20"/>
              </w:rPr>
            </w:pPr>
            <w:r>
              <w:rPr>
                <w:sz w:val="20"/>
              </w:rPr>
              <w:t>776</w:t>
            </w:r>
          </w:p>
        </w:tc>
      </w:tr>
      <w:tr w:rsidR="00EF3DFB" w14:paraId="7326C280" w14:textId="77777777">
        <w:trPr>
          <w:trHeight w:val="290"/>
        </w:trPr>
        <w:tc>
          <w:tcPr>
            <w:tcW w:w="6270" w:type="dxa"/>
          </w:tcPr>
          <w:p w14:paraId="7326C27D" w14:textId="77777777" w:rsidR="00EF3DFB" w:rsidRDefault="00D27C17">
            <w:pPr>
              <w:pStyle w:val="TableParagraph"/>
              <w:spacing w:before="37"/>
              <w:ind w:left="52"/>
              <w:rPr>
                <w:sz w:val="20"/>
              </w:rPr>
            </w:pPr>
            <w:r>
              <w:rPr>
                <w:sz w:val="20"/>
              </w:rPr>
              <w:t>Other assets</w:t>
            </w:r>
          </w:p>
        </w:tc>
        <w:tc>
          <w:tcPr>
            <w:tcW w:w="3097" w:type="dxa"/>
            <w:tcBorders>
              <w:bottom w:val="single" w:sz="8" w:space="0" w:color="000000"/>
            </w:tcBorders>
          </w:tcPr>
          <w:p w14:paraId="7326C27E" w14:textId="77777777" w:rsidR="00EF3DFB" w:rsidRDefault="00D27C17">
            <w:pPr>
              <w:pStyle w:val="TableParagraph"/>
              <w:spacing w:before="37"/>
              <w:ind w:right="101"/>
              <w:jc w:val="right"/>
              <w:rPr>
                <w:sz w:val="20"/>
              </w:rPr>
            </w:pPr>
            <w:r>
              <w:rPr>
                <w:sz w:val="20"/>
              </w:rPr>
              <w:t>411</w:t>
            </w:r>
          </w:p>
        </w:tc>
        <w:tc>
          <w:tcPr>
            <w:tcW w:w="1251" w:type="dxa"/>
            <w:tcBorders>
              <w:bottom w:val="single" w:sz="8" w:space="0" w:color="000000"/>
            </w:tcBorders>
          </w:tcPr>
          <w:p w14:paraId="7326C27F" w14:textId="77777777" w:rsidR="00EF3DFB" w:rsidRDefault="00D27C17">
            <w:pPr>
              <w:pStyle w:val="TableParagraph"/>
              <w:spacing w:before="37"/>
              <w:ind w:right="77"/>
              <w:jc w:val="right"/>
              <w:rPr>
                <w:sz w:val="20"/>
              </w:rPr>
            </w:pPr>
            <w:r>
              <w:rPr>
                <w:sz w:val="20"/>
              </w:rPr>
              <w:t>361</w:t>
            </w:r>
          </w:p>
        </w:tc>
      </w:tr>
      <w:tr w:rsidR="00EF3DFB" w14:paraId="7326C284" w14:textId="77777777">
        <w:trPr>
          <w:trHeight w:val="300"/>
        </w:trPr>
        <w:tc>
          <w:tcPr>
            <w:tcW w:w="6270" w:type="dxa"/>
            <w:shd w:val="clear" w:color="auto" w:fill="CCEDFF"/>
          </w:tcPr>
          <w:p w14:paraId="7326C281" w14:textId="77777777" w:rsidR="00EF3DFB" w:rsidRDefault="00D27C17">
            <w:pPr>
              <w:pStyle w:val="TableParagraph"/>
              <w:spacing w:before="27"/>
              <w:ind w:left="412"/>
              <w:rPr>
                <w:sz w:val="20"/>
              </w:rPr>
            </w:pPr>
            <w:r>
              <w:rPr>
                <w:sz w:val="20"/>
              </w:rPr>
              <w:t>Total assets</w:t>
            </w:r>
          </w:p>
        </w:tc>
        <w:tc>
          <w:tcPr>
            <w:tcW w:w="3097" w:type="dxa"/>
            <w:tcBorders>
              <w:top w:val="single" w:sz="8" w:space="0" w:color="000000"/>
              <w:bottom w:val="single" w:sz="8" w:space="0" w:color="000000"/>
            </w:tcBorders>
            <w:shd w:val="clear" w:color="auto" w:fill="CCEDFF"/>
          </w:tcPr>
          <w:p w14:paraId="7326C282" w14:textId="77777777" w:rsidR="00EF3DFB" w:rsidRDefault="00D27C17">
            <w:pPr>
              <w:pStyle w:val="TableParagraph"/>
              <w:tabs>
                <w:tab w:val="left" w:pos="515"/>
              </w:tabs>
              <w:spacing w:before="27"/>
              <w:ind w:right="101"/>
              <w:jc w:val="right"/>
              <w:rPr>
                <w:sz w:val="20"/>
              </w:rPr>
            </w:pPr>
            <w:r>
              <w:rPr>
                <w:sz w:val="20"/>
                <w:u w:val="single"/>
              </w:rPr>
              <w:t>$</w:t>
            </w:r>
            <w:r>
              <w:rPr>
                <w:sz w:val="20"/>
                <w:u w:val="single"/>
              </w:rPr>
              <w:tab/>
              <w:t>14,700</w:t>
            </w:r>
          </w:p>
        </w:tc>
        <w:tc>
          <w:tcPr>
            <w:tcW w:w="1251" w:type="dxa"/>
            <w:tcBorders>
              <w:top w:val="single" w:sz="8" w:space="0" w:color="000000"/>
              <w:bottom w:val="single" w:sz="8" w:space="0" w:color="000000"/>
            </w:tcBorders>
            <w:shd w:val="clear" w:color="auto" w:fill="CCEDFF"/>
          </w:tcPr>
          <w:p w14:paraId="7326C283" w14:textId="77777777" w:rsidR="00EF3DFB" w:rsidRDefault="00D27C17">
            <w:pPr>
              <w:pStyle w:val="TableParagraph"/>
              <w:tabs>
                <w:tab w:val="left" w:pos="515"/>
              </w:tabs>
              <w:spacing w:before="27"/>
              <w:ind w:right="77"/>
              <w:jc w:val="right"/>
              <w:rPr>
                <w:sz w:val="20"/>
              </w:rPr>
            </w:pPr>
            <w:r>
              <w:rPr>
                <w:sz w:val="20"/>
                <w:u w:val="single"/>
              </w:rPr>
              <w:t>$</w:t>
            </w:r>
            <w:r>
              <w:rPr>
                <w:sz w:val="20"/>
                <w:u w:val="single"/>
              </w:rPr>
              <w:tab/>
              <w:t>15,642</w:t>
            </w:r>
          </w:p>
        </w:tc>
      </w:tr>
      <w:tr w:rsidR="00EF3DFB" w14:paraId="7326C288" w14:textId="77777777">
        <w:trPr>
          <w:trHeight w:val="255"/>
        </w:trPr>
        <w:tc>
          <w:tcPr>
            <w:tcW w:w="6270" w:type="dxa"/>
          </w:tcPr>
          <w:p w14:paraId="7326C285" w14:textId="77777777" w:rsidR="00EF3DFB" w:rsidRDefault="00D27C17">
            <w:pPr>
              <w:pStyle w:val="TableParagraph"/>
              <w:spacing w:line="222" w:lineRule="exact"/>
              <w:ind w:left="52"/>
              <w:rPr>
                <w:b/>
                <w:sz w:val="20"/>
              </w:rPr>
            </w:pPr>
            <w:r>
              <w:rPr>
                <w:b/>
                <w:sz w:val="20"/>
              </w:rPr>
              <w:t>Liabilities:</w:t>
            </w:r>
          </w:p>
        </w:tc>
        <w:tc>
          <w:tcPr>
            <w:tcW w:w="3097" w:type="dxa"/>
            <w:tcBorders>
              <w:top w:val="single" w:sz="8" w:space="0" w:color="000000"/>
            </w:tcBorders>
          </w:tcPr>
          <w:p w14:paraId="7326C286" w14:textId="77777777" w:rsidR="00EF3DFB" w:rsidRDefault="00EF3DFB">
            <w:pPr>
              <w:pStyle w:val="TableParagraph"/>
              <w:rPr>
                <w:sz w:val="18"/>
              </w:rPr>
            </w:pPr>
          </w:p>
        </w:tc>
        <w:tc>
          <w:tcPr>
            <w:tcW w:w="1251" w:type="dxa"/>
            <w:tcBorders>
              <w:top w:val="single" w:sz="8" w:space="0" w:color="000000"/>
            </w:tcBorders>
          </w:tcPr>
          <w:p w14:paraId="7326C287" w14:textId="77777777" w:rsidR="00EF3DFB" w:rsidRDefault="00EF3DFB">
            <w:pPr>
              <w:pStyle w:val="TableParagraph"/>
              <w:rPr>
                <w:sz w:val="18"/>
              </w:rPr>
            </w:pPr>
          </w:p>
        </w:tc>
      </w:tr>
      <w:tr w:rsidR="00EF3DFB" w14:paraId="7326C28C" w14:textId="77777777">
        <w:trPr>
          <w:trHeight w:val="300"/>
        </w:trPr>
        <w:tc>
          <w:tcPr>
            <w:tcW w:w="6270" w:type="dxa"/>
            <w:shd w:val="clear" w:color="auto" w:fill="CCEDFF"/>
          </w:tcPr>
          <w:p w14:paraId="7326C289" w14:textId="77777777" w:rsidR="00EF3DFB" w:rsidRDefault="00D27C17">
            <w:pPr>
              <w:pStyle w:val="TableParagraph"/>
              <w:spacing w:before="37"/>
              <w:ind w:left="52"/>
              <w:rPr>
                <w:sz w:val="20"/>
              </w:rPr>
            </w:pPr>
            <w:r>
              <w:rPr>
                <w:sz w:val="20"/>
              </w:rPr>
              <w:t>Accounts payable</w:t>
            </w:r>
          </w:p>
        </w:tc>
        <w:tc>
          <w:tcPr>
            <w:tcW w:w="3097" w:type="dxa"/>
            <w:shd w:val="clear" w:color="auto" w:fill="CCEDFF"/>
          </w:tcPr>
          <w:p w14:paraId="7326C28A" w14:textId="77777777" w:rsidR="00EF3DFB" w:rsidRDefault="00D27C17">
            <w:pPr>
              <w:pStyle w:val="TableParagraph"/>
              <w:tabs>
                <w:tab w:val="left" w:pos="615"/>
              </w:tabs>
              <w:spacing w:before="37"/>
              <w:ind w:right="101"/>
              <w:jc w:val="right"/>
              <w:rPr>
                <w:sz w:val="20"/>
              </w:rPr>
            </w:pPr>
            <w:r>
              <w:rPr>
                <w:sz w:val="20"/>
              </w:rPr>
              <w:t>$</w:t>
            </w:r>
            <w:r>
              <w:rPr>
                <w:sz w:val="20"/>
              </w:rPr>
              <w:tab/>
              <w:t>1,526</w:t>
            </w:r>
          </w:p>
        </w:tc>
        <w:tc>
          <w:tcPr>
            <w:tcW w:w="1251" w:type="dxa"/>
            <w:shd w:val="clear" w:color="auto" w:fill="CCEDFF"/>
          </w:tcPr>
          <w:p w14:paraId="7326C28B" w14:textId="77777777" w:rsidR="00EF3DFB" w:rsidRDefault="00D27C17">
            <w:pPr>
              <w:pStyle w:val="TableParagraph"/>
              <w:tabs>
                <w:tab w:val="left" w:pos="615"/>
              </w:tabs>
              <w:spacing w:before="37"/>
              <w:ind w:right="77"/>
              <w:jc w:val="right"/>
              <w:rPr>
                <w:sz w:val="20"/>
              </w:rPr>
            </w:pPr>
            <w:r>
              <w:rPr>
                <w:sz w:val="20"/>
              </w:rPr>
              <w:t>$</w:t>
            </w:r>
            <w:r>
              <w:rPr>
                <w:sz w:val="20"/>
              </w:rPr>
              <w:tab/>
              <w:t>1,102</w:t>
            </w:r>
          </w:p>
        </w:tc>
      </w:tr>
      <w:tr w:rsidR="00EF3DFB" w14:paraId="7326C290" w14:textId="77777777">
        <w:trPr>
          <w:trHeight w:val="300"/>
        </w:trPr>
        <w:tc>
          <w:tcPr>
            <w:tcW w:w="6270" w:type="dxa"/>
          </w:tcPr>
          <w:p w14:paraId="7326C28D" w14:textId="77777777" w:rsidR="00EF3DFB" w:rsidRDefault="00D27C17">
            <w:pPr>
              <w:pStyle w:val="TableParagraph"/>
              <w:spacing w:before="37"/>
              <w:ind w:left="52"/>
              <w:rPr>
                <w:sz w:val="20"/>
              </w:rPr>
            </w:pPr>
            <w:r>
              <w:rPr>
                <w:sz w:val="20"/>
              </w:rPr>
              <w:t>Accrued compensation</w:t>
            </w:r>
          </w:p>
        </w:tc>
        <w:tc>
          <w:tcPr>
            <w:tcW w:w="3097" w:type="dxa"/>
          </w:tcPr>
          <w:p w14:paraId="7326C28E" w14:textId="77777777" w:rsidR="00EF3DFB" w:rsidRDefault="00D27C17">
            <w:pPr>
              <w:pStyle w:val="TableParagraph"/>
              <w:spacing w:before="37"/>
              <w:ind w:right="101"/>
              <w:jc w:val="right"/>
              <w:rPr>
                <w:sz w:val="20"/>
              </w:rPr>
            </w:pPr>
            <w:r>
              <w:rPr>
                <w:sz w:val="20"/>
              </w:rPr>
              <w:t>236</w:t>
            </w:r>
          </w:p>
        </w:tc>
        <w:tc>
          <w:tcPr>
            <w:tcW w:w="1251" w:type="dxa"/>
          </w:tcPr>
          <w:p w14:paraId="7326C28F" w14:textId="77777777" w:rsidR="00EF3DFB" w:rsidRDefault="00D27C17">
            <w:pPr>
              <w:pStyle w:val="TableParagraph"/>
              <w:spacing w:before="37"/>
              <w:ind w:right="77"/>
              <w:jc w:val="right"/>
              <w:rPr>
                <w:sz w:val="20"/>
              </w:rPr>
            </w:pPr>
            <w:r>
              <w:rPr>
                <w:sz w:val="20"/>
              </w:rPr>
              <w:t>204</w:t>
            </w:r>
          </w:p>
        </w:tc>
      </w:tr>
      <w:tr w:rsidR="00EF3DFB" w14:paraId="7326C294" w14:textId="77777777">
        <w:trPr>
          <w:trHeight w:val="300"/>
        </w:trPr>
        <w:tc>
          <w:tcPr>
            <w:tcW w:w="6270" w:type="dxa"/>
            <w:shd w:val="clear" w:color="auto" w:fill="CCEDFF"/>
          </w:tcPr>
          <w:p w14:paraId="7326C291" w14:textId="77777777" w:rsidR="00EF3DFB" w:rsidRDefault="00D27C17">
            <w:pPr>
              <w:pStyle w:val="TableParagraph"/>
              <w:spacing w:before="37"/>
              <w:ind w:left="52"/>
              <w:rPr>
                <w:sz w:val="20"/>
              </w:rPr>
            </w:pPr>
            <w:r>
              <w:rPr>
                <w:sz w:val="20"/>
              </w:rPr>
              <w:t>Other accrued liabilities</w:t>
            </w:r>
          </w:p>
        </w:tc>
        <w:tc>
          <w:tcPr>
            <w:tcW w:w="3097" w:type="dxa"/>
            <w:shd w:val="clear" w:color="auto" w:fill="CCEDFF"/>
          </w:tcPr>
          <w:p w14:paraId="7326C292" w14:textId="77777777" w:rsidR="00EF3DFB" w:rsidRDefault="00D27C17">
            <w:pPr>
              <w:pStyle w:val="TableParagraph"/>
              <w:spacing w:before="37"/>
              <w:ind w:right="101"/>
              <w:jc w:val="right"/>
              <w:rPr>
                <w:sz w:val="20"/>
              </w:rPr>
            </w:pPr>
            <w:r>
              <w:rPr>
                <w:sz w:val="20"/>
              </w:rPr>
              <w:t>1,393</w:t>
            </w:r>
          </w:p>
        </w:tc>
        <w:tc>
          <w:tcPr>
            <w:tcW w:w="1251" w:type="dxa"/>
            <w:shd w:val="clear" w:color="auto" w:fill="CCEDFF"/>
          </w:tcPr>
          <w:p w14:paraId="7326C293" w14:textId="77777777" w:rsidR="00EF3DFB" w:rsidRDefault="00D27C17">
            <w:pPr>
              <w:pStyle w:val="TableParagraph"/>
              <w:spacing w:before="37"/>
              <w:ind w:right="77"/>
              <w:jc w:val="right"/>
              <w:rPr>
                <w:sz w:val="20"/>
              </w:rPr>
            </w:pPr>
            <w:r>
              <w:rPr>
                <w:sz w:val="20"/>
              </w:rPr>
              <w:t>1,340</w:t>
            </w:r>
          </w:p>
        </w:tc>
      </w:tr>
      <w:tr w:rsidR="00EF3DFB" w14:paraId="7326C298" w14:textId="77777777">
        <w:trPr>
          <w:trHeight w:val="290"/>
        </w:trPr>
        <w:tc>
          <w:tcPr>
            <w:tcW w:w="6270" w:type="dxa"/>
          </w:tcPr>
          <w:p w14:paraId="7326C295" w14:textId="77777777" w:rsidR="00EF3DFB" w:rsidRDefault="00D27C17">
            <w:pPr>
              <w:pStyle w:val="TableParagraph"/>
              <w:spacing w:before="37"/>
              <w:ind w:left="52"/>
              <w:rPr>
                <w:sz w:val="20"/>
              </w:rPr>
            </w:pPr>
            <w:r>
              <w:rPr>
                <w:sz w:val="20"/>
              </w:rPr>
              <w:t>Short-term debt and current portion of long-term debt</w:t>
            </w:r>
          </w:p>
        </w:tc>
        <w:tc>
          <w:tcPr>
            <w:tcW w:w="3097" w:type="dxa"/>
            <w:tcBorders>
              <w:bottom w:val="single" w:sz="8" w:space="0" w:color="000000"/>
            </w:tcBorders>
          </w:tcPr>
          <w:p w14:paraId="7326C296" w14:textId="77777777" w:rsidR="00EF3DFB" w:rsidRDefault="00D27C17">
            <w:pPr>
              <w:pStyle w:val="TableParagraph"/>
              <w:spacing w:before="37"/>
              <w:ind w:right="101"/>
              <w:jc w:val="right"/>
              <w:rPr>
                <w:sz w:val="20"/>
              </w:rPr>
            </w:pPr>
            <w:r>
              <w:rPr>
                <w:sz w:val="20"/>
              </w:rPr>
              <w:t>466</w:t>
            </w:r>
          </w:p>
        </w:tc>
        <w:tc>
          <w:tcPr>
            <w:tcW w:w="1251" w:type="dxa"/>
            <w:tcBorders>
              <w:bottom w:val="single" w:sz="8" w:space="0" w:color="000000"/>
            </w:tcBorders>
          </w:tcPr>
          <w:p w14:paraId="7326C297" w14:textId="77777777" w:rsidR="00EF3DFB" w:rsidRDefault="00D27C17">
            <w:pPr>
              <w:pStyle w:val="TableParagraph"/>
              <w:spacing w:before="37"/>
              <w:ind w:right="77"/>
              <w:jc w:val="right"/>
              <w:rPr>
                <w:sz w:val="20"/>
              </w:rPr>
            </w:pPr>
            <w:r>
              <w:rPr>
                <w:sz w:val="20"/>
              </w:rPr>
              <w:t>332</w:t>
            </w:r>
          </w:p>
        </w:tc>
      </w:tr>
      <w:tr w:rsidR="00EF3DFB" w14:paraId="7326C29C" w14:textId="77777777">
        <w:trPr>
          <w:trHeight w:val="305"/>
        </w:trPr>
        <w:tc>
          <w:tcPr>
            <w:tcW w:w="6270" w:type="dxa"/>
            <w:shd w:val="clear" w:color="auto" w:fill="CCEDFF"/>
          </w:tcPr>
          <w:p w14:paraId="7326C299" w14:textId="77777777" w:rsidR="00EF3DFB" w:rsidRDefault="00D27C17">
            <w:pPr>
              <w:pStyle w:val="TableParagraph"/>
              <w:spacing w:before="42"/>
              <w:ind w:left="412"/>
              <w:rPr>
                <w:sz w:val="20"/>
              </w:rPr>
            </w:pPr>
            <w:r>
              <w:rPr>
                <w:sz w:val="20"/>
              </w:rPr>
              <w:t>Total current liabilities</w:t>
            </w:r>
          </w:p>
        </w:tc>
        <w:tc>
          <w:tcPr>
            <w:tcW w:w="3097" w:type="dxa"/>
            <w:tcBorders>
              <w:top w:val="single" w:sz="8" w:space="0" w:color="000000"/>
            </w:tcBorders>
            <w:shd w:val="clear" w:color="auto" w:fill="CCEDFF"/>
          </w:tcPr>
          <w:p w14:paraId="7326C29A" w14:textId="77777777" w:rsidR="00EF3DFB" w:rsidRDefault="00D27C17">
            <w:pPr>
              <w:pStyle w:val="TableParagraph"/>
              <w:spacing w:before="42"/>
              <w:ind w:right="101"/>
              <w:jc w:val="right"/>
              <w:rPr>
                <w:sz w:val="20"/>
              </w:rPr>
            </w:pPr>
            <w:r>
              <w:rPr>
                <w:sz w:val="20"/>
              </w:rPr>
              <w:t>3,621</w:t>
            </w:r>
          </w:p>
        </w:tc>
        <w:tc>
          <w:tcPr>
            <w:tcW w:w="1251" w:type="dxa"/>
            <w:tcBorders>
              <w:top w:val="single" w:sz="8" w:space="0" w:color="000000"/>
            </w:tcBorders>
            <w:shd w:val="clear" w:color="auto" w:fill="CCEDFF"/>
          </w:tcPr>
          <w:p w14:paraId="7326C29B" w14:textId="77777777" w:rsidR="00EF3DFB" w:rsidRDefault="00D27C17">
            <w:pPr>
              <w:pStyle w:val="TableParagraph"/>
              <w:spacing w:before="42"/>
              <w:ind w:right="77"/>
              <w:jc w:val="right"/>
              <w:rPr>
                <w:sz w:val="20"/>
              </w:rPr>
            </w:pPr>
            <w:r>
              <w:rPr>
                <w:sz w:val="20"/>
              </w:rPr>
              <w:t>2,978</w:t>
            </w:r>
          </w:p>
        </w:tc>
      </w:tr>
      <w:tr w:rsidR="00EF3DFB" w14:paraId="7326C2A0" w14:textId="77777777">
        <w:trPr>
          <w:trHeight w:val="300"/>
        </w:trPr>
        <w:tc>
          <w:tcPr>
            <w:tcW w:w="6270" w:type="dxa"/>
          </w:tcPr>
          <w:p w14:paraId="7326C29D" w14:textId="77777777" w:rsidR="00EF3DFB" w:rsidRDefault="00D27C17">
            <w:pPr>
              <w:pStyle w:val="TableParagraph"/>
              <w:spacing w:before="37"/>
              <w:ind w:left="52"/>
              <w:rPr>
                <w:sz w:val="20"/>
              </w:rPr>
            </w:pPr>
            <w:r>
              <w:rPr>
                <w:sz w:val="20"/>
              </w:rPr>
              <w:t>Long-term debt</w:t>
            </w:r>
          </w:p>
        </w:tc>
        <w:tc>
          <w:tcPr>
            <w:tcW w:w="3097" w:type="dxa"/>
          </w:tcPr>
          <w:p w14:paraId="7326C29E" w14:textId="77777777" w:rsidR="00EF3DFB" w:rsidRDefault="00D27C17">
            <w:pPr>
              <w:pStyle w:val="TableParagraph"/>
              <w:spacing w:before="37"/>
              <w:ind w:right="101"/>
              <w:jc w:val="right"/>
              <w:rPr>
                <w:sz w:val="20"/>
              </w:rPr>
            </w:pPr>
            <w:r>
              <w:rPr>
                <w:sz w:val="20"/>
              </w:rPr>
              <w:t>5,141</w:t>
            </w:r>
          </w:p>
        </w:tc>
        <w:tc>
          <w:tcPr>
            <w:tcW w:w="1251" w:type="dxa"/>
          </w:tcPr>
          <w:p w14:paraId="7326C29F" w14:textId="77777777" w:rsidR="00EF3DFB" w:rsidRDefault="00D27C17">
            <w:pPr>
              <w:pStyle w:val="TableParagraph"/>
              <w:spacing w:before="37"/>
              <w:ind w:right="77"/>
              <w:jc w:val="right"/>
              <w:rPr>
                <w:sz w:val="20"/>
              </w:rPr>
            </w:pPr>
            <w:r>
              <w:rPr>
                <w:sz w:val="20"/>
              </w:rPr>
              <w:t>5,391</w:t>
            </w:r>
          </w:p>
        </w:tc>
      </w:tr>
      <w:tr w:rsidR="00EF3DFB" w14:paraId="7326C2A4" w14:textId="77777777">
        <w:trPr>
          <w:trHeight w:val="300"/>
        </w:trPr>
        <w:tc>
          <w:tcPr>
            <w:tcW w:w="6270" w:type="dxa"/>
            <w:shd w:val="clear" w:color="auto" w:fill="CCEDFF"/>
          </w:tcPr>
          <w:p w14:paraId="7326C2A1" w14:textId="77777777" w:rsidR="00EF3DFB" w:rsidRDefault="00D27C17">
            <w:pPr>
              <w:pStyle w:val="TableParagraph"/>
              <w:spacing w:before="37"/>
              <w:ind w:left="52"/>
              <w:rPr>
                <w:sz w:val="20"/>
              </w:rPr>
            </w:pPr>
            <w:r>
              <w:rPr>
                <w:sz w:val="20"/>
              </w:rPr>
              <w:t>Deferred income taxes</w:t>
            </w:r>
          </w:p>
        </w:tc>
        <w:tc>
          <w:tcPr>
            <w:tcW w:w="3097" w:type="dxa"/>
            <w:shd w:val="clear" w:color="auto" w:fill="CCEDFF"/>
          </w:tcPr>
          <w:p w14:paraId="7326C2A2" w14:textId="77777777" w:rsidR="00EF3DFB" w:rsidRDefault="00D27C17">
            <w:pPr>
              <w:pStyle w:val="TableParagraph"/>
              <w:spacing w:before="37"/>
              <w:ind w:right="101"/>
              <w:jc w:val="right"/>
              <w:rPr>
                <w:sz w:val="20"/>
              </w:rPr>
            </w:pPr>
            <w:r>
              <w:rPr>
                <w:sz w:val="20"/>
              </w:rPr>
              <w:t>414</w:t>
            </w:r>
          </w:p>
        </w:tc>
        <w:tc>
          <w:tcPr>
            <w:tcW w:w="1251" w:type="dxa"/>
            <w:shd w:val="clear" w:color="auto" w:fill="CCEDFF"/>
          </w:tcPr>
          <w:p w14:paraId="7326C2A3" w14:textId="77777777" w:rsidR="00EF3DFB" w:rsidRDefault="00D27C17">
            <w:pPr>
              <w:pStyle w:val="TableParagraph"/>
              <w:spacing w:before="37"/>
              <w:ind w:right="77"/>
              <w:jc w:val="right"/>
              <w:rPr>
                <w:sz w:val="20"/>
              </w:rPr>
            </w:pPr>
            <w:r>
              <w:rPr>
                <w:sz w:val="20"/>
              </w:rPr>
              <w:t>625</w:t>
            </w:r>
          </w:p>
        </w:tc>
      </w:tr>
      <w:tr w:rsidR="00EF3DFB" w14:paraId="7326C2A8" w14:textId="77777777">
        <w:trPr>
          <w:trHeight w:val="300"/>
        </w:trPr>
        <w:tc>
          <w:tcPr>
            <w:tcW w:w="6270" w:type="dxa"/>
          </w:tcPr>
          <w:p w14:paraId="7326C2A5" w14:textId="77777777" w:rsidR="00EF3DFB" w:rsidRDefault="00D27C17">
            <w:pPr>
              <w:pStyle w:val="TableParagraph"/>
              <w:spacing w:before="37"/>
              <w:ind w:left="52"/>
              <w:rPr>
                <w:sz w:val="20"/>
              </w:rPr>
            </w:pPr>
            <w:r>
              <w:rPr>
                <w:sz w:val="20"/>
              </w:rPr>
              <w:t>Operating lease liabilities</w:t>
            </w:r>
          </w:p>
        </w:tc>
        <w:tc>
          <w:tcPr>
            <w:tcW w:w="3097" w:type="dxa"/>
          </w:tcPr>
          <w:p w14:paraId="7326C2A6" w14:textId="77777777" w:rsidR="00EF3DFB" w:rsidRDefault="00D27C17">
            <w:pPr>
              <w:pStyle w:val="TableParagraph"/>
              <w:spacing w:before="37"/>
              <w:ind w:right="101"/>
              <w:jc w:val="right"/>
              <w:rPr>
                <w:sz w:val="20"/>
              </w:rPr>
            </w:pPr>
            <w:r>
              <w:rPr>
                <w:sz w:val="20"/>
              </w:rPr>
              <w:t>472</w:t>
            </w:r>
          </w:p>
        </w:tc>
        <w:tc>
          <w:tcPr>
            <w:tcW w:w="1251" w:type="dxa"/>
          </w:tcPr>
          <w:p w14:paraId="7326C2A7" w14:textId="77777777" w:rsidR="00EF3DFB" w:rsidRDefault="00D27C17">
            <w:pPr>
              <w:pStyle w:val="TableParagraph"/>
              <w:spacing w:before="37"/>
              <w:ind w:right="77"/>
              <w:jc w:val="right"/>
              <w:rPr>
                <w:sz w:val="20"/>
              </w:rPr>
            </w:pPr>
            <w:r>
              <w:rPr>
                <w:sz w:val="20"/>
              </w:rPr>
              <w:t>541</w:t>
            </w:r>
          </w:p>
        </w:tc>
      </w:tr>
      <w:tr w:rsidR="00EF3DFB" w14:paraId="7326C2AC" w14:textId="77777777">
        <w:trPr>
          <w:trHeight w:val="290"/>
        </w:trPr>
        <w:tc>
          <w:tcPr>
            <w:tcW w:w="6270" w:type="dxa"/>
            <w:shd w:val="clear" w:color="auto" w:fill="CCEDFF"/>
          </w:tcPr>
          <w:p w14:paraId="7326C2A9" w14:textId="77777777" w:rsidR="00EF3DFB" w:rsidRDefault="00D27C17">
            <w:pPr>
              <w:pStyle w:val="TableParagraph"/>
              <w:spacing w:before="37"/>
              <w:ind w:left="52"/>
              <w:rPr>
                <w:sz w:val="20"/>
              </w:rPr>
            </w:pPr>
            <w:r>
              <w:rPr>
                <w:sz w:val="20"/>
              </w:rPr>
              <w:t>Other noncurrent liabilities</w:t>
            </w:r>
          </w:p>
        </w:tc>
        <w:tc>
          <w:tcPr>
            <w:tcW w:w="3097" w:type="dxa"/>
            <w:tcBorders>
              <w:bottom w:val="single" w:sz="8" w:space="0" w:color="000000"/>
            </w:tcBorders>
            <w:shd w:val="clear" w:color="auto" w:fill="CCEDFF"/>
          </w:tcPr>
          <w:p w14:paraId="7326C2AA" w14:textId="77777777" w:rsidR="00EF3DFB" w:rsidRDefault="00D27C17">
            <w:pPr>
              <w:pStyle w:val="TableParagraph"/>
              <w:spacing w:before="37"/>
              <w:ind w:right="101"/>
              <w:jc w:val="right"/>
              <w:rPr>
                <w:sz w:val="20"/>
              </w:rPr>
            </w:pPr>
            <w:r>
              <w:rPr>
                <w:sz w:val="20"/>
              </w:rPr>
              <w:t>1,152</w:t>
            </w:r>
          </w:p>
        </w:tc>
        <w:tc>
          <w:tcPr>
            <w:tcW w:w="1251" w:type="dxa"/>
            <w:tcBorders>
              <w:bottom w:val="single" w:sz="8" w:space="0" w:color="000000"/>
            </w:tcBorders>
            <w:shd w:val="clear" w:color="auto" w:fill="CCEDFF"/>
          </w:tcPr>
          <w:p w14:paraId="7326C2AB" w14:textId="77777777" w:rsidR="00EF3DFB" w:rsidRDefault="00D27C17">
            <w:pPr>
              <w:pStyle w:val="TableParagraph"/>
              <w:spacing w:before="37"/>
              <w:ind w:right="77"/>
              <w:jc w:val="right"/>
              <w:rPr>
                <w:sz w:val="20"/>
              </w:rPr>
            </w:pPr>
            <w:r>
              <w:rPr>
                <w:sz w:val="20"/>
              </w:rPr>
              <w:t>1,111</w:t>
            </w:r>
          </w:p>
        </w:tc>
      </w:tr>
      <w:tr w:rsidR="00EF3DFB" w14:paraId="7326C2B0" w14:textId="77777777">
        <w:trPr>
          <w:trHeight w:val="260"/>
        </w:trPr>
        <w:tc>
          <w:tcPr>
            <w:tcW w:w="6270" w:type="dxa"/>
          </w:tcPr>
          <w:p w14:paraId="7326C2AD" w14:textId="77777777" w:rsidR="00EF3DFB" w:rsidRDefault="00D27C17">
            <w:pPr>
              <w:pStyle w:val="TableParagraph"/>
              <w:spacing w:before="27" w:line="213" w:lineRule="exact"/>
              <w:ind w:left="412"/>
              <w:rPr>
                <w:sz w:val="20"/>
              </w:rPr>
            </w:pPr>
            <w:r>
              <w:rPr>
                <w:sz w:val="20"/>
              </w:rPr>
              <w:t>Total liabilities</w:t>
            </w:r>
          </w:p>
        </w:tc>
        <w:tc>
          <w:tcPr>
            <w:tcW w:w="3097" w:type="dxa"/>
            <w:tcBorders>
              <w:top w:val="single" w:sz="8" w:space="0" w:color="000000"/>
            </w:tcBorders>
          </w:tcPr>
          <w:p w14:paraId="7326C2AE" w14:textId="77777777" w:rsidR="00EF3DFB" w:rsidRDefault="00D27C17">
            <w:pPr>
              <w:pStyle w:val="TableParagraph"/>
              <w:spacing w:before="27" w:line="213" w:lineRule="exact"/>
              <w:ind w:right="101"/>
              <w:jc w:val="right"/>
              <w:rPr>
                <w:sz w:val="20"/>
              </w:rPr>
            </w:pPr>
            <w:r>
              <w:rPr>
                <w:sz w:val="20"/>
              </w:rPr>
              <w:t>10,800</w:t>
            </w:r>
          </w:p>
        </w:tc>
        <w:tc>
          <w:tcPr>
            <w:tcW w:w="1251" w:type="dxa"/>
            <w:tcBorders>
              <w:top w:val="single" w:sz="8" w:space="0" w:color="000000"/>
            </w:tcBorders>
          </w:tcPr>
          <w:p w14:paraId="7326C2AF" w14:textId="77777777" w:rsidR="00EF3DFB" w:rsidRDefault="00D27C17">
            <w:pPr>
              <w:pStyle w:val="TableParagraph"/>
              <w:spacing w:before="27" w:line="213" w:lineRule="exact"/>
              <w:ind w:right="77"/>
              <w:jc w:val="right"/>
              <w:rPr>
                <w:sz w:val="20"/>
              </w:rPr>
            </w:pPr>
            <w:r>
              <w:rPr>
                <w:sz w:val="20"/>
              </w:rPr>
              <w:t>10,646</w:t>
            </w:r>
          </w:p>
        </w:tc>
      </w:tr>
      <w:tr w:rsidR="00EF3DFB" w14:paraId="7326C2B2" w14:textId="77777777">
        <w:trPr>
          <w:trHeight w:val="329"/>
        </w:trPr>
        <w:tc>
          <w:tcPr>
            <w:tcW w:w="10618" w:type="dxa"/>
            <w:gridSpan w:val="3"/>
            <w:shd w:val="clear" w:color="auto" w:fill="CCEDFF"/>
          </w:tcPr>
          <w:p w14:paraId="7326C2B1" w14:textId="77777777" w:rsidR="00EF3DFB" w:rsidRDefault="00D27C17">
            <w:pPr>
              <w:pStyle w:val="TableParagraph"/>
              <w:spacing w:before="67"/>
              <w:ind w:left="52"/>
              <w:rPr>
                <w:sz w:val="20"/>
              </w:rPr>
            </w:pPr>
            <w:r>
              <w:rPr>
                <w:sz w:val="20"/>
              </w:rPr>
              <w:t>Commitments and contingencies (Footnote 18)</w:t>
            </w:r>
          </w:p>
        </w:tc>
      </w:tr>
    </w:tbl>
    <w:p w14:paraId="7326C2B3" w14:textId="6DD90A89" w:rsidR="00EF3DFB" w:rsidRDefault="00D27C17">
      <w:pPr>
        <w:pStyle w:val="Heading2"/>
        <w:spacing w:before="22"/>
        <w:ind w:left="242"/>
        <w:jc w:val="left"/>
      </w:pPr>
      <w:r>
        <w:rPr>
          <w:noProof/>
        </w:rPr>
        <mc:AlternateContent>
          <mc:Choice Requires="wps">
            <w:drawing>
              <wp:anchor distT="0" distB="0" distL="114300" distR="114300" simplePos="0" relativeHeight="502905632" behindDoc="1" locked="0" layoutInCell="1" allowOverlap="1" wp14:anchorId="7326D701" wp14:editId="52A3B80F">
                <wp:simplePos x="0" y="0"/>
                <wp:positionH relativeFrom="page">
                  <wp:posOffset>514350</wp:posOffset>
                </wp:positionH>
                <wp:positionV relativeFrom="paragraph">
                  <wp:posOffset>179070</wp:posOffset>
                </wp:positionV>
                <wp:extent cx="6743700" cy="314325"/>
                <wp:effectExtent l="0" t="0" r="0" b="4445"/>
                <wp:wrapNone/>
                <wp:docPr id="479"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1432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CB9EF" id="Rectangle 462" o:spid="_x0000_s1026" style="position:absolute;margin-left:40.5pt;margin-top:14.1pt;width:531pt;height:24.75pt;z-index:-41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" fillcolor="#ccedff" stroked="f">
                <w10:wrap anchorx="page"/>
              </v:rect>
            </w:pict>
          </mc:Fallback>
        </mc:AlternateContent>
      </w:r>
      <w:r>
        <w:t>Stockholders' equity:</w:t>
      </w:r>
    </w:p>
    <w:p w14:paraId="7326C2B4" w14:textId="77777777" w:rsidR="00EF3DFB" w:rsidRDefault="00D27C17">
      <w:pPr>
        <w:pStyle w:val="BodyText"/>
        <w:spacing w:before="65" w:line="215" w:lineRule="exact"/>
        <w:ind w:left="242"/>
      </w:pPr>
      <w:r>
        <w:t>Preferred stock (10.0 authorized shares, $1.00 par value, no shares issued at December 31, 2020 and</w:t>
      </w:r>
    </w:p>
    <w:p w14:paraId="7326C2B5" w14:textId="77777777" w:rsidR="00EF3DFB" w:rsidRDefault="00D27C17">
      <w:pPr>
        <w:pStyle w:val="BodyText"/>
        <w:tabs>
          <w:tab w:val="left" w:pos="9253"/>
          <w:tab w:val="left" w:pos="10528"/>
        </w:tabs>
        <w:spacing w:line="215" w:lineRule="exact"/>
        <w:ind w:left="242"/>
      </w:pPr>
      <w:r>
        <w:t>2019)</w:t>
      </w:r>
      <w:r>
        <w:tab/>
        <w:t>—</w:t>
      </w:r>
      <w:r>
        <w:tab/>
        <w:t>—</w:t>
      </w:r>
    </w:p>
    <w:p w14:paraId="7326C2B6" w14:textId="77777777" w:rsidR="00EF3DFB" w:rsidRDefault="00D27C17">
      <w:pPr>
        <w:pStyle w:val="BodyText"/>
        <w:spacing w:before="65"/>
        <w:ind w:left="242"/>
      </w:pPr>
      <w:r>
        <w:t>Common stock (800.0 authorized shares, $1.00 par value, 448.4 shares and 447.1 shares issued at</w:t>
      </w:r>
    </w:p>
    <w:tbl>
      <w:tblPr>
        <w:tblW w:w="0" w:type="auto"/>
        <w:tblInd w:w="190" w:type="dxa"/>
        <w:tblLayout w:type="fixed"/>
        <w:tblCellMar>
          <w:left w:w="0" w:type="dxa"/>
          <w:right w:w="0" w:type="dxa"/>
        </w:tblCellMar>
        <w:tblLook w:val="01E0" w:firstRow="1" w:lastRow="1" w:firstColumn="1" w:lastColumn="1" w:noHBand="0" w:noVBand="0"/>
      </w:tblPr>
      <w:tblGrid>
        <w:gridCol w:w="7736"/>
        <w:gridCol w:w="1666"/>
        <w:gridCol w:w="1219"/>
      </w:tblGrid>
      <w:tr w:rsidR="00EF3DFB" w14:paraId="7326C2BA" w14:textId="77777777">
        <w:trPr>
          <w:trHeight w:val="251"/>
        </w:trPr>
        <w:tc>
          <w:tcPr>
            <w:tcW w:w="7736" w:type="dxa"/>
          </w:tcPr>
          <w:p w14:paraId="7326C2B7" w14:textId="77777777" w:rsidR="00EF3DFB" w:rsidRDefault="00D27C17">
            <w:pPr>
              <w:pStyle w:val="TableParagraph"/>
              <w:spacing w:line="200" w:lineRule="exact"/>
              <w:ind w:left="52"/>
              <w:rPr>
                <w:sz w:val="20"/>
              </w:rPr>
            </w:pPr>
            <w:r>
              <w:rPr>
                <w:sz w:val="20"/>
              </w:rPr>
              <w:t>December 31, 2020 and 2019, respectively)</w:t>
            </w:r>
          </w:p>
        </w:tc>
        <w:tc>
          <w:tcPr>
            <w:tcW w:w="1666" w:type="dxa"/>
          </w:tcPr>
          <w:p w14:paraId="7326C2B8" w14:textId="77777777" w:rsidR="00EF3DFB" w:rsidRDefault="00D27C17">
            <w:pPr>
              <w:pStyle w:val="TableParagraph"/>
              <w:spacing w:line="200" w:lineRule="exact"/>
              <w:ind w:right="136"/>
              <w:jc w:val="right"/>
              <w:rPr>
                <w:sz w:val="20"/>
              </w:rPr>
            </w:pPr>
            <w:r>
              <w:rPr>
                <w:sz w:val="20"/>
              </w:rPr>
              <w:t>448</w:t>
            </w:r>
          </w:p>
        </w:tc>
        <w:tc>
          <w:tcPr>
            <w:tcW w:w="1219" w:type="dxa"/>
          </w:tcPr>
          <w:p w14:paraId="7326C2B9" w14:textId="77777777" w:rsidR="00EF3DFB" w:rsidRDefault="00D27C17">
            <w:pPr>
              <w:pStyle w:val="TableParagraph"/>
              <w:spacing w:line="200" w:lineRule="exact"/>
              <w:ind w:right="80"/>
              <w:jc w:val="right"/>
              <w:rPr>
                <w:sz w:val="20"/>
              </w:rPr>
            </w:pPr>
            <w:r>
              <w:rPr>
                <w:sz w:val="20"/>
              </w:rPr>
              <w:t>447</w:t>
            </w:r>
          </w:p>
        </w:tc>
      </w:tr>
      <w:tr w:rsidR="00EF3DFB" w14:paraId="7326C2BE" w14:textId="77777777">
        <w:trPr>
          <w:trHeight w:val="300"/>
        </w:trPr>
        <w:tc>
          <w:tcPr>
            <w:tcW w:w="7736" w:type="dxa"/>
            <w:shd w:val="clear" w:color="auto" w:fill="CCEDFF"/>
          </w:tcPr>
          <w:p w14:paraId="7326C2BB" w14:textId="77777777" w:rsidR="00EF3DFB" w:rsidRDefault="00D27C17">
            <w:pPr>
              <w:pStyle w:val="TableParagraph"/>
              <w:spacing w:before="19"/>
              <w:ind w:left="52"/>
              <w:rPr>
                <w:sz w:val="20"/>
              </w:rPr>
            </w:pPr>
            <w:r>
              <w:rPr>
                <w:sz w:val="20"/>
              </w:rPr>
              <w:t>Treasury stock, at cost 24.0 and 23.6 shares at December 31, 2020 and 2019, respectively)</w:t>
            </w:r>
          </w:p>
        </w:tc>
        <w:tc>
          <w:tcPr>
            <w:tcW w:w="1666" w:type="dxa"/>
            <w:shd w:val="clear" w:color="auto" w:fill="CCEDFF"/>
          </w:tcPr>
          <w:p w14:paraId="7326C2BC" w14:textId="77777777" w:rsidR="00EF3DFB" w:rsidRDefault="00D27C17">
            <w:pPr>
              <w:pStyle w:val="TableParagraph"/>
              <w:spacing w:before="19"/>
              <w:ind w:right="71"/>
              <w:jc w:val="right"/>
              <w:rPr>
                <w:sz w:val="20"/>
              </w:rPr>
            </w:pPr>
            <w:r>
              <w:rPr>
                <w:sz w:val="20"/>
              </w:rPr>
              <w:t>(598)</w:t>
            </w:r>
          </w:p>
        </w:tc>
        <w:tc>
          <w:tcPr>
            <w:tcW w:w="1219" w:type="dxa"/>
            <w:shd w:val="clear" w:color="auto" w:fill="CCEDFF"/>
          </w:tcPr>
          <w:p w14:paraId="7326C2BD" w14:textId="77777777" w:rsidR="00EF3DFB" w:rsidRDefault="00D27C17">
            <w:pPr>
              <w:pStyle w:val="TableParagraph"/>
              <w:spacing w:before="19"/>
              <w:ind w:right="15"/>
              <w:jc w:val="right"/>
              <w:rPr>
                <w:sz w:val="20"/>
              </w:rPr>
            </w:pPr>
            <w:r>
              <w:rPr>
                <w:sz w:val="20"/>
              </w:rPr>
              <w:t>(590)</w:t>
            </w:r>
          </w:p>
        </w:tc>
      </w:tr>
      <w:tr w:rsidR="00EF3DFB" w14:paraId="7326C2C2" w14:textId="77777777">
        <w:trPr>
          <w:trHeight w:val="300"/>
        </w:trPr>
        <w:tc>
          <w:tcPr>
            <w:tcW w:w="7736" w:type="dxa"/>
          </w:tcPr>
          <w:p w14:paraId="7326C2BF" w14:textId="77777777" w:rsidR="00EF3DFB" w:rsidRDefault="00D27C17">
            <w:pPr>
              <w:pStyle w:val="TableParagraph"/>
              <w:spacing w:before="19"/>
              <w:ind w:left="52"/>
              <w:rPr>
                <w:sz w:val="20"/>
              </w:rPr>
            </w:pPr>
            <w:r>
              <w:rPr>
                <w:sz w:val="20"/>
              </w:rPr>
              <w:t>Additional paid-in capital</w:t>
            </w:r>
          </w:p>
        </w:tc>
        <w:tc>
          <w:tcPr>
            <w:tcW w:w="1666" w:type="dxa"/>
          </w:tcPr>
          <w:p w14:paraId="7326C2C0" w14:textId="77777777" w:rsidR="00EF3DFB" w:rsidRDefault="00D27C17">
            <w:pPr>
              <w:pStyle w:val="TableParagraph"/>
              <w:spacing w:before="19"/>
              <w:ind w:right="136"/>
              <w:jc w:val="right"/>
              <w:rPr>
                <w:sz w:val="20"/>
              </w:rPr>
            </w:pPr>
            <w:r>
              <w:rPr>
                <w:sz w:val="20"/>
              </w:rPr>
              <w:t>8,078</w:t>
            </w:r>
          </w:p>
        </w:tc>
        <w:tc>
          <w:tcPr>
            <w:tcW w:w="1219" w:type="dxa"/>
          </w:tcPr>
          <w:p w14:paraId="7326C2C1" w14:textId="77777777" w:rsidR="00EF3DFB" w:rsidRDefault="00D27C17">
            <w:pPr>
              <w:pStyle w:val="TableParagraph"/>
              <w:spacing w:before="19"/>
              <w:ind w:right="80"/>
              <w:jc w:val="right"/>
              <w:rPr>
                <w:sz w:val="20"/>
              </w:rPr>
            </w:pPr>
            <w:r>
              <w:rPr>
                <w:sz w:val="20"/>
              </w:rPr>
              <w:t>8,430</w:t>
            </w:r>
          </w:p>
        </w:tc>
      </w:tr>
      <w:tr w:rsidR="00EF3DFB" w14:paraId="7326C2C6" w14:textId="77777777">
        <w:trPr>
          <w:trHeight w:val="300"/>
        </w:trPr>
        <w:tc>
          <w:tcPr>
            <w:tcW w:w="7736" w:type="dxa"/>
            <w:shd w:val="clear" w:color="auto" w:fill="CCEDFF"/>
          </w:tcPr>
          <w:p w14:paraId="7326C2C3" w14:textId="77777777" w:rsidR="00EF3DFB" w:rsidRDefault="00D27C17">
            <w:pPr>
              <w:pStyle w:val="TableParagraph"/>
              <w:spacing w:before="19"/>
              <w:ind w:left="52"/>
              <w:rPr>
                <w:sz w:val="20"/>
              </w:rPr>
            </w:pPr>
            <w:r>
              <w:rPr>
                <w:sz w:val="20"/>
              </w:rPr>
              <w:t>Retained deficit</w:t>
            </w:r>
          </w:p>
        </w:tc>
        <w:tc>
          <w:tcPr>
            <w:tcW w:w="1666" w:type="dxa"/>
            <w:shd w:val="clear" w:color="auto" w:fill="CCEDFF"/>
          </w:tcPr>
          <w:p w14:paraId="7326C2C4" w14:textId="77777777" w:rsidR="00EF3DFB" w:rsidRDefault="00D27C17">
            <w:pPr>
              <w:pStyle w:val="TableParagraph"/>
              <w:spacing w:before="19"/>
              <w:ind w:right="71"/>
              <w:jc w:val="right"/>
              <w:rPr>
                <w:sz w:val="20"/>
              </w:rPr>
            </w:pPr>
            <w:r>
              <w:rPr>
                <w:sz w:val="20"/>
              </w:rPr>
              <w:t>(3,174)</w:t>
            </w:r>
          </w:p>
        </w:tc>
        <w:tc>
          <w:tcPr>
            <w:tcW w:w="1219" w:type="dxa"/>
            <w:shd w:val="clear" w:color="auto" w:fill="CCEDFF"/>
          </w:tcPr>
          <w:p w14:paraId="7326C2C5" w14:textId="77777777" w:rsidR="00EF3DFB" w:rsidRDefault="00D27C17">
            <w:pPr>
              <w:pStyle w:val="TableParagraph"/>
              <w:spacing w:before="19"/>
              <w:ind w:right="15"/>
              <w:jc w:val="right"/>
              <w:rPr>
                <w:sz w:val="20"/>
              </w:rPr>
            </w:pPr>
            <w:r>
              <w:rPr>
                <w:sz w:val="20"/>
              </w:rPr>
              <w:t>(2,404)</w:t>
            </w:r>
          </w:p>
        </w:tc>
      </w:tr>
      <w:tr w:rsidR="00EF3DFB" w14:paraId="7326C2CA" w14:textId="77777777">
        <w:trPr>
          <w:trHeight w:val="290"/>
        </w:trPr>
        <w:tc>
          <w:tcPr>
            <w:tcW w:w="7736" w:type="dxa"/>
          </w:tcPr>
          <w:p w14:paraId="7326C2C7" w14:textId="77777777" w:rsidR="00EF3DFB" w:rsidRDefault="00D27C17">
            <w:pPr>
              <w:pStyle w:val="TableParagraph"/>
              <w:spacing w:before="19"/>
              <w:ind w:left="52"/>
              <w:rPr>
                <w:sz w:val="20"/>
              </w:rPr>
            </w:pPr>
            <w:r>
              <w:rPr>
                <w:sz w:val="20"/>
              </w:rPr>
              <w:t>Accumulated other comprehensive loss</w:t>
            </w:r>
          </w:p>
        </w:tc>
        <w:tc>
          <w:tcPr>
            <w:tcW w:w="1666" w:type="dxa"/>
            <w:tcBorders>
              <w:bottom w:val="single" w:sz="8" w:space="0" w:color="000000"/>
            </w:tcBorders>
          </w:tcPr>
          <w:p w14:paraId="7326C2C8" w14:textId="77777777" w:rsidR="00EF3DFB" w:rsidRDefault="00D27C17">
            <w:pPr>
              <w:pStyle w:val="TableParagraph"/>
              <w:spacing w:before="19"/>
              <w:ind w:right="71"/>
              <w:jc w:val="right"/>
              <w:rPr>
                <w:sz w:val="20"/>
              </w:rPr>
            </w:pPr>
            <w:r>
              <w:rPr>
                <w:sz w:val="20"/>
              </w:rPr>
              <w:t>(880)</w:t>
            </w:r>
          </w:p>
        </w:tc>
        <w:tc>
          <w:tcPr>
            <w:tcW w:w="1219" w:type="dxa"/>
            <w:tcBorders>
              <w:bottom w:val="single" w:sz="8" w:space="0" w:color="000000"/>
            </w:tcBorders>
          </w:tcPr>
          <w:p w14:paraId="7326C2C9" w14:textId="77777777" w:rsidR="00EF3DFB" w:rsidRDefault="00D27C17">
            <w:pPr>
              <w:pStyle w:val="TableParagraph"/>
              <w:spacing w:before="19"/>
              <w:ind w:right="15"/>
              <w:jc w:val="right"/>
              <w:rPr>
                <w:sz w:val="20"/>
              </w:rPr>
            </w:pPr>
            <w:r>
              <w:rPr>
                <w:sz w:val="20"/>
              </w:rPr>
              <w:t>(920)</w:t>
            </w:r>
          </w:p>
        </w:tc>
      </w:tr>
      <w:tr w:rsidR="00EF3DFB" w14:paraId="7326C2CE" w14:textId="77777777">
        <w:trPr>
          <w:trHeight w:val="290"/>
        </w:trPr>
        <w:tc>
          <w:tcPr>
            <w:tcW w:w="7736" w:type="dxa"/>
            <w:shd w:val="clear" w:color="auto" w:fill="CCEDFF"/>
          </w:tcPr>
          <w:p w14:paraId="7326C2CB" w14:textId="77777777" w:rsidR="00EF3DFB" w:rsidRDefault="00D27C17">
            <w:pPr>
              <w:pStyle w:val="TableParagraph"/>
              <w:spacing w:before="9"/>
              <w:ind w:left="52"/>
              <w:rPr>
                <w:sz w:val="20"/>
              </w:rPr>
            </w:pPr>
            <w:r>
              <w:rPr>
                <w:sz w:val="20"/>
              </w:rPr>
              <w:t>Stockholders' equity attributable to parent</w:t>
            </w:r>
          </w:p>
        </w:tc>
        <w:tc>
          <w:tcPr>
            <w:tcW w:w="1666" w:type="dxa"/>
            <w:tcBorders>
              <w:top w:val="single" w:sz="8" w:space="0" w:color="000000"/>
            </w:tcBorders>
            <w:shd w:val="clear" w:color="auto" w:fill="CCEDFF"/>
          </w:tcPr>
          <w:p w14:paraId="7326C2CC" w14:textId="77777777" w:rsidR="00EF3DFB" w:rsidRDefault="00D27C17">
            <w:pPr>
              <w:pStyle w:val="TableParagraph"/>
              <w:spacing w:before="9"/>
              <w:ind w:right="136"/>
              <w:jc w:val="right"/>
              <w:rPr>
                <w:sz w:val="20"/>
              </w:rPr>
            </w:pPr>
            <w:r>
              <w:rPr>
                <w:sz w:val="20"/>
              </w:rPr>
              <w:t>3,874</w:t>
            </w:r>
          </w:p>
        </w:tc>
        <w:tc>
          <w:tcPr>
            <w:tcW w:w="1219" w:type="dxa"/>
            <w:tcBorders>
              <w:top w:val="single" w:sz="8" w:space="0" w:color="000000"/>
            </w:tcBorders>
            <w:shd w:val="clear" w:color="auto" w:fill="CCEDFF"/>
          </w:tcPr>
          <w:p w14:paraId="7326C2CD" w14:textId="77777777" w:rsidR="00EF3DFB" w:rsidRDefault="00D27C17">
            <w:pPr>
              <w:pStyle w:val="TableParagraph"/>
              <w:spacing w:before="9"/>
              <w:ind w:right="80"/>
              <w:jc w:val="right"/>
              <w:rPr>
                <w:sz w:val="20"/>
              </w:rPr>
            </w:pPr>
            <w:r>
              <w:rPr>
                <w:sz w:val="20"/>
              </w:rPr>
              <w:t>4,963</w:t>
            </w:r>
          </w:p>
        </w:tc>
      </w:tr>
      <w:tr w:rsidR="00EF3DFB" w14:paraId="7326C2D2" w14:textId="77777777">
        <w:trPr>
          <w:trHeight w:val="290"/>
        </w:trPr>
        <w:tc>
          <w:tcPr>
            <w:tcW w:w="7736" w:type="dxa"/>
          </w:tcPr>
          <w:p w14:paraId="7326C2CF" w14:textId="77777777" w:rsidR="00EF3DFB" w:rsidRDefault="00D27C17">
            <w:pPr>
              <w:pStyle w:val="TableParagraph"/>
              <w:spacing w:before="19"/>
              <w:ind w:left="52"/>
              <w:rPr>
                <w:sz w:val="20"/>
              </w:rPr>
            </w:pPr>
            <w:r>
              <w:rPr>
                <w:sz w:val="20"/>
              </w:rPr>
              <w:t>Stockholders' equity attributable to minority interests</w:t>
            </w:r>
          </w:p>
        </w:tc>
        <w:tc>
          <w:tcPr>
            <w:tcW w:w="1666" w:type="dxa"/>
            <w:tcBorders>
              <w:bottom w:val="single" w:sz="8" w:space="0" w:color="000000"/>
            </w:tcBorders>
          </w:tcPr>
          <w:p w14:paraId="7326C2D0" w14:textId="77777777" w:rsidR="00EF3DFB" w:rsidRDefault="00D27C17">
            <w:pPr>
              <w:pStyle w:val="TableParagraph"/>
              <w:spacing w:before="19"/>
              <w:ind w:right="136"/>
              <w:jc w:val="right"/>
              <w:rPr>
                <w:sz w:val="20"/>
              </w:rPr>
            </w:pPr>
            <w:r>
              <w:rPr>
                <w:sz w:val="20"/>
              </w:rPr>
              <w:t>26</w:t>
            </w:r>
          </w:p>
        </w:tc>
        <w:tc>
          <w:tcPr>
            <w:tcW w:w="1219" w:type="dxa"/>
            <w:tcBorders>
              <w:bottom w:val="single" w:sz="8" w:space="0" w:color="000000"/>
            </w:tcBorders>
          </w:tcPr>
          <w:p w14:paraId="7326C2D1" w14:textId="77777777" w:rsidR="00EF3DFB" w:rsidRDefault="00D27C17">
            <w:pPr>
              <w:pStyle w:val="TableParagraph"/>
              <w:spacing w:before="19"/>
              <w:ind w:right="80"/>
              <w:jc w:val="right"/>
              <w:rPr>
                <w:sz w:val="20"/>
              </w:rPr>
            </w:pPr>
            <w:r>
              <w:rPr>
                <w:sz w:val="20"/>
              </w:rPr>
              <w:t>33</w:t>
            </w:r>
          </w:p>
        </w:tc>
      </w:tr>
      <w:tr w:rsidR="00EF3DFB" w14:paraId="7326C2D6" w14:textId="77777777">
        <w:trPr>
          <w:trHeight w:val="280"/>
        </w:trPr>
        <w:tc>
          <w:tcPr>
            <w:tcW w:w="7736" w:type="dxa"/>
            <w:shd w:val="clear" w:color="auto" w:fill="CCEDFF"/>
          </w:tcPr>
          <w:p w14:paraId="7326C2D3" w14:textId="77777777" w:rsidR="00EF3DFB" w:rsidRDefault="00D27C17">
            <w:pPr>
              <w:pStyle w:val="TableParagraph"/>
              <w:spacing w:before="9"/>
              <w:ind w:left="412"/>
              <w:rPr>
                <w:sz w:val="20"/>
              </w:rPr>
            </w:pPr>
            <w:r>
              <w:rPr>
                <w:sz w:val="20"/>
              </w:rPr>
              <w:t>Total stockholders' equity</w:t>
            </w:r>
          </w:p>
        </w:tc>
        <w:tc>
          <w:tcPr>
            <w:tcW w:w="1666" w:type="dxa"/>
            <w:tcBorders>
              <w:top w:val="single" w:sz="8" w:space="0" w:color="000000"/>
              <w:bottom w:val="single" w:sz="8" w:space="0" w:color="000000"/>
            </w:tcBorders>
            <w:shd w:val="clear" w:color="auto" w:fill="CCEDFF"/>
          </w:tcPr>
          <w:p w14:paraId="7326C2D4" w14:textId="77777777" w:rsidR="00EF3DFB" w:rsidRDefault="00D27C17">
            <w:pPr>
              <w:pStyle w:val="TableParagraph"/>
              <w:spacing w:before="9"/>
              <w:ind w:right="136"/>
              <w:jc w:val="right"/>
              <w:rPr>
                <w:sz w:val="20"/>
              </w:rPr>
            </w:pPr>
            <w:r>
              <w:rPr>
                <w:sz w:val="20"/>
              </w:rPr>
              <w:t>3,900</w:t>
            </w:r>
          </w:p>
        </w:tc>
        <w:tc>
          <w:tcPr>
            <w:tcW w:w="1219" w:type="dxa"/>
            <w:tcBorders>
              <w:top w:val="single" w:sz="8" w:space="0" w:color="000000"/>
              <w:bottom w:val="single" w:sz="8" w:space="0" w:color="000000"/>
            </w:tcBorders>
            <w:shd w:val="clear" w:color="auto" w:fill="CCEDFF"/>
          </w:tcPr>
          <w:p w14:paraId="7326C2D5" w14:textId="77777777" w:rsidR="00EF3DFB" w:rsidRDefault="00D27C17">
            <w:pPr>
              <w:pStyle w:val="TableParagraph"/>
              <w:spacing w:before="9"/>
              <w:ind w:right="80"/>
              <w:jc w:val="right"/>
              <w:rPr>
                <w:sz w:val="20"/>
              </w:rPr>
            </w:pPr>
            <w:r>
              <w:rPr>
                <w:sz w:val="20"/>
              </w:rPr>
              <w:t>4,996</w:t>
            </w:r>
          </w:p>
        </w:tc>
      </w:tr>
      <w:tr w:rsidR="00EF3DFB" w14:paraId="7326C2DA" w14:textId="77777777">
        <w:trPr>
          <w:trHeight w:val="320"/>
        </w:trPr>
        <w:tc>
          <w:tcPr>
            <w:tcW w:w="7736" w:type="dxa"/>
          </w:tcPr>
          <w:p w14:paraId="7326C2D7" w14:textId="77777777" w:rsidR="00EF3DFB" w:rsidRDefault="00D27C17">
            <w:pPr>
              <w:pStyle w:val="TableParagraph"/>
              <w:spacing w:before="9"/>
              <w:ind w:left="412"/>
              <w:rPr>
                <w:sz w:val="20"/>
              </w:rPr>
            </w:pPr>
            <w:r>
              <w:rPr>
                <w:sz w:val="20"/>
              </w:rPr>
              <w:t>Total liabilities and stockholders' equity</w:t>
            </w:r>
          </w:p>
        </w:tc>
        <w:tc>
          <w:tcPr>
            <w:tcW w:w="1666" w:type="dxa"/>
            <w:tcBorders>
              <w:top w:val="single" w:sz="8" w:space="0" w:color="000000"/>
            </w:tcBorders>
          </w:tcPr>
          <w:p w14:paraId="7326C2D8" w14:textId="77777777" w:rsidR="00EF3DFB" w:rsidRDefault="00D27C17">
            <w:pPr>
              <w:pStyle w:val="TableParagraph"/>
              <w:tabs>
                <w:tab w:val="left" w:pos="515"/>
              </w:tabs>
              <w:spacing w:before="9"/>
              <w:ind w:right="136"/>
              <w:jc w:val="right"/>
              <w:rPr>
                <w:sz w:val="20"/>
              </w:rPr>
            </w:pPr>
            <w:r>
              <w:rPr>
                <w:sz w:val="20"/>
                <w:u w:val="single"/>
              </w:rPr>
              <w:t>$</w:t>
            </w:r>
            <w:r>
              <w:rPr>
                <w:sz w:val="20"/>
                <w:u w:val="single"/>
              </w:rPr>
              <w:tab/>
              <w:t>14,700</w:t>
            </w:r>
          </w:p>
        </w:tc>
        <w:tc>
          <w:tcPr>
            <w:tcW w:w="1219" w:type="dxa"/>
            <w:tcBorders>
              <w:top w:val="single" w:sz="8" w:space="0" w:color="000000"/>
            </w:tcBorders>
          </w:tcPr>
          <w:p w14:paraId="7326C2D9" w14:textId="77777777" w:rsidR="00EF3DFB" w:rsidRDefault="00D27C17">
            <w:pPr>
              <w:pStyle w:val="TableParagraph"/>
              <w:tabs>
                <w:tab w:val="left" w:pos="586"/>
              </w:tabs>
              <w:spacing w:before="9"/>
              <w:ind w:left="70"/>
              <w:rPr>
                <w:sz w:val="20"/>
              </w:rPr>
            </w:pPr>
            <w:r>
              <w:rPr>
                <w:sz w:val="20"/>
                <w:u w:val="single"/>
              </w:rPr>
              <w:t>$</w:t>
            </w:r>
            <w:r>
              <w:rPr>
                <w:sz w:val="20"/>
                <w:u w:val="single"/>
              </w:rPr>
              <w:tab/>
              <w:t>15,642</w:t>
            </w:r>
          </w:p>
        </w:tc>
      </w:tr>
    </w:tbl>
    <w:p w14:paraId="7326C2DB" w14:textId="77777777" w:rsidR="00EF3DFB" w:rsidRDefault="00EF3DFB">
      <w:pPr>
        <w:pStyle w:val="BodyText"/>
        <w:spacing w:before="11"/>
      </w:pPr>
    </w:p>
    <w:p w14:paraId="7326C2DC" w14:textId="17A5A863" w:rsidR="00EF3DFB" w:rsidRDefault="00D27C17">
      <w:pPr>
        <w:ind w:left="190"/>
        <w:rPr>
          <w:i/>
          <w:sz w:val="20"/>
        </w:rPr>
      </w:pPr>
      <w:r>
        <w:rPr>
          <w:noProof/>
        </w:rPr>
        <mc:AlternateContent>
          <mc:Choice Requires="wps">
            <w:drawing>
              <wp:anchor distT="0" distB="0" distL="114300" distR="114300" simplePos="0" relativeHeight="2080" behindDoc="0" locked="0" layoutInCell="1" allowOverlap="1" wp14:anchorId="7326D702" wp14:editId="30892037">
                <wp:simplePos x="0" y="0"/>
                <wp:positionH relativeFrom="page">
                  <wp:posOffset>5686425</wp:posOffset>
                </wp:positionH>
                <wp:positionV relativeFrom="paragraph">
                  <wp:posOffset>-172720</wp:posOffset>
                </wp:positionV>
                <wp:extent cx="762000" cy="0"/>
                <wp:effectExtent l="9525" t="8255" r="9525" b="10795"/>
                <wp:wrapNone/>
                <wp:docPr id="478"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BDED" id="Line 461" o:spid="_x0000_s1026" style="position:absolute;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7.75pt,-13.6pt" to="50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" strokeweight="1pt">
                <w10:wrap anchorx="page"/>
              </v:line>
            </w:pict>
          </mc:Fallback>
        </mc:AlternateContent>
      </w:r>
      <w:r>
        <w:rPr>
          <w:noProof/>
        </w:rPr>
        <mc:AlternateContent>
          <mc:Choice Requires="wps">
            <w:drawing>
              <wp:anchor distT="0" distB="0" distL="114300" distR="114300" simplePos="0" relativeHeight="2104" behindDoc="0" locked="0" layoutInCell="1" allowOverlap="1" wp14:anchorId="7326D703" wp14:editId="6C06F815">
                <wp:simplePos x="0" y="0"/>
                <wp:positionH relativeFrom="page">
                  <wp:posOffset>6496050</wp:posOffset>
                </wp:positionH>
                <wp:positionV relativeFrom="paragraph">
                  <wp:posOffset>-172720</wp:posOffset>
                </wp:positionV>
                <wp:extent cx="762000" cy="0"/>
                <wp:effectExtent l="9525" t="8255" r="9525" b="10795"/>
                <wp:wrapNone/>
                <wp:docPr id="477"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244C1" id="Line 460" o:spid="_x0000_s1026" style="position:absolute;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pt,-13.6pt" to="57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" strokeweight="1pt">
                <w10:wrap anchorx="page"/>
              </v:line>
            </w:pict>
          </mc:Fallback>
        </mc:AlternateContent>
      </w:r>
      <w:r>
        <w:rPr>
          <w:i/>
          <w:sz w:val="20"/>
        </w:rPr>
        <w:t>See Notes to Consolidated Financial Statements.</w:t>
      </w:r>
    </w:p>
    <w:p w14:paraId="7326C2DD" w14:textId="77777777" w:rsidR="00EF3DFB" w:rsidRDefault="00EF3DFB">
      <w:pPr>
        <w:rPr>
          <w:sz w:val="20"/>
        </w:rPr>
        <w:sectPr w:rsidR="00EF3DFB">
          <w:pgSz w:w="12240" w:h="15840"/>
          <w:pgMar w:top="68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6627"/>
        <w:gridCol w:w="1499"/>
        <w:gridCol w:w="1275"/>
        <w:gridCol w:w="1219"/>
      </w:tblGrid>
      <w:tr w:rsidR="00EF3DFB" w14:paraId="7326C2E1" w14:textId="77777777">
        <w:trPr>
          <w:trHeight w:val="472"/>
        </w:trPr>
        <w:tc>
          <w:tcPr>
            <w:tcW w:w="6627" w:type="dxa"/>
          </w:tcPr>
          <w:p w14:paraId="7326C2DE" w14:textId="77777777" w:rsidR="00EF3DFB" w:rsidRDefault="00D27C17">
            <w:pPr>
              <w:pStyle w:val="TableParagraph"/>
              <w:spacing w:line="219" w:lineRule="exact"/>
              <w:rPr>
                <w:b/>
                <w:sz w:val="20"/>
              </w:rPr>
            </w:pPr>
            <w:bookmarkStart w:id="46" w:name="Consolidated_Statements_of_Cash_Flows"/>
            <w:bookmarkEnd w:id="46"/>
            <w:r>
              <w:rPr>
                <w:b/>
                <w:sz w:val="20"/>
              </w:rPr>
              <w:lastRenderedPageBreak/>
              <w:t>NEWELL BRANDS INC. AND SUBSIDIARIES</w:t>
            </w:r>
          </w:p>
          <w:p w14:paraId="7326C2DF" w14:textId="77777777" w:rsidR="00EF3DFB" w:rsidRDefault="00D27C17">
            <w:pPr>
              <w:pStyle w:val="TableParagraph"/>
              <w:spacing w:before="10" w:line="224" w:lineRule="exact"/>
              <w:rPr>
                <w:b/>
                <w:sz w:val="20"/>
              </w:rPr>
            </w:pPr>
            <w:r>
              <w:rPr>
                <w:b/>
                <w:sz w:val="20"/>
              </w:rPr>
              <w:t>CONSOLIDATED STATEMENTS OF CASH FLOWS</w:t>
            </w:r>
          </w:p>
        </w:tc>
        <w:tc>
          <w:tcPr>
            <w:tcW w:w="3993" w:type="dxa"/>
            <w:gridSpan w:val="3"/>
            <w:vMerge w:val="restart"/>
          </w:tcPr>
          <w:p w14:paraId="7326C2E0" w14:textId="77777777" w:rsidR="00EF3DFB" w:rsidRDefault="00EF3DFB">
            <w:pPr>
              <w:pStyle w:val="TableParagraph"/>
              <w:rPr>
                <w:sz w:val="18"/>
              </w:rPr>
            </w:pPr>
          </w:p>
        </w:tc>
      </w:tr>
      <w:tr w:rsidR="00EF3DFB" w14:paraId="7326C2E4" w14:textId="77777777">
        <w:trPr>
          <w:trHeight w:val="327"/>
        </w:trPr>
        <w:tc>
          <w:tcPr>
            <w:tcW w:w="6627" w:type="dxa"/>
          </w:tcPr>
          <w:p w14:paraId="7326C2E2" w14:textId="77777777" w:rsidR="00EF3DFB" w:rsidRDefault="00D27C17">
            <w:pPr>
              <w:pStyle w:val="TableParagraph"/>
              <w:spacing w:line="230" w:lineRule="exact"/>
              <w:rPr>
                <w:i/>
                <w:sz w:val="20"/>
              </w:rPr>
            </w:pPr>
            <w:r>
              <w:rPr>
                <w:i/>
                <w:sz w:val="20"/>
              </w:rPr>
              <w:t>(Amounts in millions)</w:t>
            </w:r>
          </w:p>
        </w:tc>
        <w:tc>
          <w:tcPr>
            <w:tcW w:w="3993" w:type="dxa"/>
            <w:gridSpan w:val="3"/>
            <w:vMerge/>
            <w:tcBorders>
              <w:top w:val="nil"/>
            </w:tcBorders>
          </w:tcPr>
          <w:p w14:paraId="7326C2E3" w14:textId="77777777" w:rsidR="00EF3DFB" w:rsidRDefault="00EF3DFB">
            <w:pPr>
              <w:rPr>
                <w:sz w:val="2"/>
                <w:szCs w:val="2"/>
              </w:rPr>
            </w:pPr>
          </w:p>
        </w:tc>
      </w:tr>
      <w:tr w:rsidR="00EF3DFB" w14:paraId="7326C2E9" w14:textId="77777777">
        <w:trPr>
          <w:trHeight w:val="292"/>
        </w:trPr>
        <w:tc>
          <w:tcPr>
            <w:tcW w:w="6627" w:type="dxa"/>
          </w:tcPr>
          <w:p w14:paraId="7326C2E5" w14:textId="77777777" w:rsidR="00EF3DFB" w:rsidRDefault="00D27C17">
            <w:pPr>
              <w:pStyle w:val="TableParagraph"/>
              <w:spacing w:before="86"/>
              <w:ind w:left="52"/>
              <w:rPr>
                <w:b/>
                <w:sz w:val="16"/>
              </w:rPr>
            </w:pPr>
            <w:r>
              <w:rPr>
                <w:b/>
                <w:sz w:val="16"/>
              </w:rPr>
              <w:t>Year Ended December 31,</w:t>
            </w:r>
          </w:p>
        </w:tc>
        <w:tc>
          <w:tcPr>
            <w:tcW w:w="1499" w:type="dxa"/>
            <w:tcBorders>
              <w:bottom w:val="single" w:sz="8" w:space="0" w:color="000000"/>
            </w:tcBorders>
          </w:tcPr>
          <w:p w14:paraId="7326C2E6" w14:textId="77777777" w:rsidR="00EF3DFB" w:rsidRDefault="00D27C17">
            <w:pPr>
              <w:pStyle w:val="TableParagraph"/>
              <w:spacing w:before="86"/>
              <w:ind w:left="682"/>
              <w:rPr>
                <w:b/>
                <w:sz w:val="16"/>
              </w:rPr>
            </w:pPr>
            <w:r>
              <w:rPr>
                <w:b/>
                <w:sz w:val="16"/>
              </w:rPr>
              <w:t>2020</w:t>
            </w:r>
          </w:p>
        </w:tc>
        <w:tc>
          <w:tcPr>
            <w:tcW w:w="1275" w:type="dxa"/>
            <w:tcBorders>
              <w:bottom w:val="single" w:sz="8" w:space="0" w:color="000000"/>
            </w:tcBorders>
          </w:tcPr>
          <w:p w14:paraId="7326C2E7" w14:textId="77777777" w:rsidR="00EF3DFB" w:rsidRDefault="00D27C17">
            <w:pPr>
              <w:pStyle w:val="TableParagraph"/>
              <w:spacing w:before="86"/>
              <w:ind w:left="375" w:right="411"/>
              <w:jc w:val="center"/>
              <w:rPr>
                <w:b/>
                <w:sz w:val="16"/>
              </w:rPr>
            </w:pPr>
            <w:r>
              <w:rPr>
                <w:b/>
                <w:sz w:val="16"/>
              </w:rPr>
              <w:t>2019</w:t>
            </w:r>
          </w:p>
        </w:tc>
        <w:tc>
          <w:tcPr>
            <w:tcW w:w="1219" w:type="dxa"/>
            <w:tcBorders>
              <w:bottom w:val="single" w:sz="8" w:space="0" w:color="000000"/>
            </w:tcBorders>
          </w:tcPr>
          <w:p w14:paraId="7326C2E8" w14:textId="77777777" w:rsidR="00EF3DFB" w:rsidRDefault="00D27C17">
            <w:pPr>
              <w:pStyle w:val="TableParagraph"/>
              <w:spacing w:before="86"/>
              <w:ind w:left="438" w:right="419"/>
              <w:jc w:val="center"/>
              <w:rPr>
                <w:b/>
                <w:sz w:val="16"/>
              </w:rPr>
            </w:pPr>
            <w:r>
              <w:rPr>
                <w:b/>
                <w:sz w:val="16"/>
              </w:rPr>
              <w:t>2018</w:t>
            </w:r>
          </w:p>
        </w:tc>
      </w:tr>
      <w:tr w:rsidR="00EF3DFB" w14:paraId="7326C2EE" w14:textId="77777777">
        <w:trPr>
          <w:trHeight w:val="230"/>
        </w:trPr>
        <w:tc>
          <w:tcPr>
            <w:tcW w:w="6627" w:type="dxa"/>
            <w:shd w:val="clear" w:color="auto" w:fill="CCEDFF"/>
          </w:tcPr>
          <w:p w14:paraId="7326C2EA" w14:textId="77777777" w:rsidR="00EF3DFB" w:rsidRDefault="00D27C17">
            <w:pPr>
              <w:pStyle w:val="TableParagraph"/>
              <w:spacing w:line="197" w:lineRule="exact"/>
              <w:ind w:left="52"/>
              <w:rPr>
                <w:b/>
                <w:sz w:val="18"/>
              </w:rPr>
            </w:pPr>
            <w:r>
              <w:rPr>
                <w:b/>
                <w:sz w:val="18"/>
              </w:rPr>
              <w:t>Cash flows from operating activities:</w:t>
            </w:r>
          </w:p>
        </w:tc>
        <w:tc>
          <w:tcPr>
            <w:tcW w:w="1499" w:type="dxa"/>
            <w:tcBorders>
              <w:top w:val="single" w:sz="8" w:space="0" w:color="000000"/>
            </w:tcBorders>
            <w:shd w:val="clear" w:color="auto" w:fill="CCEDFF"/>
          </w:tcPr>
          <w:p w14:paraId="7326C2EB" w14:textId="77777777" w:rsidR="00EF3DFB" w:rsidRDefault="00EF3DFB">
            <w:pPr>
              <w:pStyle w:val="TableParagraph"/>
              <w:rPr>
                <w:sz w:val="16"/>
              </w:rPr>
            </w:pPr>
          </w:p>
        </w:tc>
        <w:tc>
          <w:tcPr>
            <w:tcW w:w="1275" w:type="dxa"/>
            <w:tcBorders>
              <w:top w:val="single" w:sz="8" w:space="0" w:color="000000"/>
            </w:tcBorders>
            <w:shd w:val="clear" w:color="auto" w:fill="CCEDFF"/>
          </w:tcPr>
          <w:p w14:paraId="7326C2EC" w14:textId="77777777" w:rsidR="00EF3DFB" w:rsidRDefault="00EF3DFB">
            <w:pPr>
              <w:pStyle w:val="TableParagraph"/>
              <w:rPr>
                <w:sz w:val="16"/>
              </w:rPr>
            </w:pPr>
          </w:p>
        </w:tc>
        <w:tc>
          <w:tcPr>
            <w:tcW w:w="1219" w:type="dxa"/>
            <w:tcBorders>
              <w:top w:val="single" w:sz="8" w:space="0" w:color="000000"/>
            </w:tcBorders>
            <w:shd w:val="clear" w:color="auto" w:fill="CCEDFF"/>
          </w:tcPr>
          <w:p w14:paraId="7326C2ED" w14:textId="77777777" w:rsidR="00EF3DFB" w:rsidRDefault="00EF3DFB">
            <w:pPr>
              <w:pStyle w:val="TableParagraph"/>
              <w:rPr>
                <w:sz w:val="16"/>
              </w:rPr>
            </w:pPr>
          </w:p>
        </w:tc>
      </w:tr>
      <w:tr w:rsidR="00EF3DFB" w14:paraId="7326C2F3" w14:textId="77777777">
        <w:trPr>
          <w:trHeight w:val="240"/>
        </w:trPr>
        <w:tc>
          <w:tcPr>
            <w:tcW w:w="6627" w:type="dxa"/>
          </w:tcPr>
          <w:p w14:paraId="7326C2EF" w14:textId="77777777" w:rsidR="00EF3DFB" w:rsidRDefault="00D27C17">
            <w:pPr>
              <w:pStyle w:val="TableParagraph"/>
              <w:ind w:left="52"/>
              <w:rPr>
                <w:sz w:val="18"/>
              </w:rPr>
            </w:pPr>
            <w:r>
              <w:rPr>
                <w:sz w:val="18"/>
              </w:rPr>
              <w:t>Net income (loss)</w:t>
            </w:r>
          </w:p>
        </w:tc>
        <w:tc>
          <w:tcPr>
            <w:tcW w:w="1499" w:type="dxa"/>
          </w:tcPr>
          <w:p w14:paraId="7326C2F0" w14:textId="77777777" w:rsidR="00EF3DFB" w:rsidRDefault="00D27C17">
            <w:pPr>
              <w:pStyle w:val="TableParagraph"/>
              <w:tabs>
                <w:tab w:val="left" w:pos="742"/>
              </w:tabs>
              <w:ind w:right="68"/>
              <w:jc w:val="right"/>
              <w:rPr>
                <w:sz w:val="18"/>
              </w:rPr>
            </w:pPr>
            <w:r>
              <w:rPr>
                <w:sz w:val="18"/>
              </w:rPr>
              <w:t>$</w:t>
            </w:r>
            <w:r>
              <w:rPr>
                <w:sz w:val="18"/>
              </w:rPr>
              <w:tab/>
              <w:t>(770)</w:t>
            </w:r>
          </w:p>
        </w:tc>
        <w:tc>
          <w:tcPr>
            <w:tcW w:w="1275" w:type="dxa"/>
          </w:tcPr>
          <w:p w14:paraId="7326C2F1" w14:textId="77777777" w:rsidR="00EF3DFB" w:rsidRDefault="00D27C17">
            <w:pPr>
              <w:pStyle w:val="TableParagraph"/>
              <w:tabs>
                <w:tab w:val="left" w:pos="802"/>
              </w:tabs>
              <w:ind w:right="128"/>
              <w:jc w:val="right"/>
              <w:rPr>
                <w:sz w:val="18"/>
              </w:rPr>
            </w:pPr>
            <w:r>
              <w:rPr>
                <w:sz w:val="18"/>
              </w:rPr>
              <w:t>$</w:t>
            </w:r>
            <w:r>
              <w:rPr>
                <w:sz w:val="18"/>
              </w:rPr>
              <w:tab/>
              <w:t>107</w:t>
            </w:r>
          </w:p>
        </w:tc>
        <w:tc>
          <w:tcPr>
            <w:tcW w:w="1219" w:type="dxa"/>
          </w:tcPr>
          <w:p w14:paraId="7326C2F2" w14:textId="77777777" w:rsidR="00EF3DFB" w:rsidRDefault="00D27C17">
            <w:pPr>
              <w:pStyle w:val="TableParagraph"/>
              <w:tabs>
                <w:tab w:val="left" w:pos="607"/>
              </w:tabs>
              <w:ind w:right="12"/>
              <w:jc w:val="right"/>
              <w:rPr>
                <w:sz w:val="18"/>
              </w:rPr>
            </w:pPr>
            <w:r>
              <w:rPr>
                <w:sz w:val="18"/>
              </w:rPr>
              <w:t>$</w:t>
            </w:r>
            <w:r>
              <w:rPr>
                <w:sz w:val="18"/>
              </w:rPr>
              <w:tab/>
              <w:t>(6,942)</w:t>
            </w:r>
          </w:p>
        </w:tc>
      </w:tr>
      <w:tr w:rsidR="00EF3DFB" w14:paraId="7326C2F8" w14:textId="77777777">
        <w:trPr>
          <w:trHeight w:val="240"/>
        </w:trPr>
        <w:tc>
          <w:tcPr>
            <w:tcW w:w="6627" w:type="dxa"/>
            <w:shd w:val="clear" w:color="auto" w:fill="CCEDFF"/>
          </w:tcPr>
          <w:p w14:paraId="7326C2F4" w14:textId="77777777" w:rsidR="00EF3DFB" w:rsidRDefault="00D27C17">
            <w:pPr>
              <w:pStyle w:val="TableParagraph"/>
              <w:ind w:left="52"/>
              <w:rPr>
                <w:sz w:val="18"/>
              </w:rPr>
            </w:pPr>
            <w:r>
              <w:rPr>
                <w:sz w:val="18"/>
              </w:rPr>
              <w:t>Adjustments to reconcile net income (loss) to net cash provided by operating activities:</w:t>
            </w:r>
          </w:p>
        </w:tc>
        <w:tc>
          <w:tcPr>
            <w:tcW w:w="1499" w:type="dxa"/>
            <w:shd w:val="clear" w:color="auto" w:fill="CCEDFF"/>
          </w:tcPr>
          <w:p w14:paraId="7326C2F5" w14:textId="77777777" w:rsidR="00EF3DFB" w:rsidRDefault="00EF3DFB">
            <w:pPr>
              <w:pStyle w:val="TableParagraph"/>
              <w:rPr>
                <w:sz w:val="16"/>
              </w:rPr>
            </w:pPr>
          </w:p>
        </w:tc>
        <w:tc>
          <w:tcPr>
            <w:tcW w:w="1275" w:type="dxa"/>
            <w:shd w:val="clear" w:color="auto" w:fill="CCEDFF"/>
          </w:tcPr>
          <w:p w14:paraId="7326C2F6" w14:textId="77777777" w:rsidR="00EF3DFB" w:rsidRDefault="00EF3DFB">
            <w:pPr>
              <w:pStyle w:val="TableParagraph"/>
              <w:rPr>
                <w:sz w:val="16"/>
              </w:rPr>
            </w:pPr>
          </w:p>
        </w:tc>
        <w:tc>
          <w:tcPr>
            <w:tcW w:w="1219" w:type="dxa"/>
            <w:shd w:val="clear" w:color="auto" w:fill="CCEDFF"/>
          </w:tcPr>
          <w:p w14:paraId="7326C2F7" w14:textId="77777777" w:rsidR="00EF3DFB" w:rsidRDefault="00EF3DFB">
            <w:pPr>
              <w:pStyle w:val="TableParagraph"/>
              <w:rPr>
                <w:sz w:val="16"/>
              </w:rPr>
            </w:pPr>
          </w:p>
        </w:tc>
      </w:tr>
      <w:tr w:rsidR="00EF3DFB" w14:paraId="7326C2FD" w14:textId="77777777">
        <w:trPr>
          <w:trHeight w:val="240"/>
        </w:trPr>
        <w:tc>
          <w:tcPr>
            <w:tcW w:w="6627" w:type="dxa"/>
          </w:tcPr>
          <w:p w14:paraId="7326C2F9" w14:textId="77777777" w:rsidR="00EF3DFB" w:rsidRDefault="00D27C17">
            <w:pPr>
              <w:pStyle w:val="TableParagraph"/>
              <w:ind w:left="52"/>
              <w:rPr>
                <w:sz w:val="18"/>
              </w:rPr>
            </w:pPr>
            <w:r>
              <w:rPr>
                <w:sz w:val="18"/>
              </w:rPr>
              <w:t>Depreciation and amortization</w:t>
            </w:r>
          </w:p>
        </w:tc>
        <w:tc>
          <w:tcPr>
            <w:tcW w:w="1499" w:type="dxa"/>
          </w:tcPr>
          <w:p w14:paraId="7326C2FA" w14:textId="77777777" w:rsidR="00EF3DFB" w:rsidRDefault="00D27C17">
            <w:pPr>
              <w:pStyle w:val="TableParagraph"/>
              <w:ind w:right="128"/>
              <w:jc w:val="right"/>
              <w:rPr>
                <w:sz w:val="18"/>
              </w:rPr>
            </w:pPr>
            <w:r>
              <w:rPr>
                <w:sz w:val="18"/>
              </w:rPr>
              <w:t>357</w:t>
            </w:r>
          </w:p>
        </w:tc>
        <w:tc>
          <w:tcPr>
            <w:tcW w:w="1275" w:type="dxa"/>
          </w:tcPr>
          <w:p w14:paraId="7326C2FB" w14:textId="77777777" w:rsidR="00EF3DFB" w:rsidRDefault="00D27C17">
            <w:pPr>
              <w:pStyle w:val="TableParagraph"/>
              <w:ind w:right="128"/>
              <w:jc w:val="right"/>
              <w:rPr>
                <w:sz w:val="18"/>
              </w:rPr>
            </w:pPr>
            <w:r>
              <w:rPr>
                <w:sz w:val="18"/>
              </w:rPr>
              <w:t>446</w:t>
            </w:r>
          </w:p>
        </w:tc>
        <w:tc>
          <w:tcPr>
            <w:tcW w:w="1219" w:type="dxa"/>
          </w:tcPr>
          <w:p w14:paraId="7326C2FC" w14:textId="77777777" w:rsidR="00EF3DFB" w:rsidRDefault="00D27C17">
            <w:pPr>
              <w:pStyle w:val="TableParagraph"/>
              <w:ind w:right="72"/>
              <w:jc w:val="right"/>
              <w:rPr>
                <w:sz w:val="18"/>
              </w:rPr>
            </w:pPr>
            <w:r>
              <w:rPr>
                <w:sz w:val="18"/>
              </w:rPr>
              <w:t>434</w:t>
            </w:r>
          </w:p>
        </w:tc>
      </w:tr>
      <w:tr w:rsidR="00EF3DFB" w14:paraId="7326C302" w14:textId="77777777">
        <w:trPr>
          <w:trHeight w:val="240"/>
        </w:trPr>
        <w:tc>
          <w:tcPr>
            <w:tcW w:w="6627" w:type="dxa"/>
            <w:shd w:val="clear" w:color="auto" w:fill="CCEDFF"/>
          </w:tcPr>
          <w:p w14:paraId="7326C2FE" w14:textId="77777777" w:rsidR="00EF3DFB" w:rsidRDefault="00D27C17">
            <w:pPr>
              <w:pStyle w:val="TableParagraph"/>
              <w:ind w:left="52"/>
              <w:rPr>
                <w:sz w:val="18"/>
              </w:rPr>
            </w:pPr>
            <w:r>
              <w:rPr>
                <w:sz w:val="18"/>
              </w:rPr>
              <w:t>Impairment of goodwill, intangibles and other assets</w:t>
            </w:r>
          </w:p>
        </w:tc>
        <w:tc>
          <w:tcPr>
            <w:tcW w:w="1499" w:type="dxa"/>
            <w:shd w:val="clear" w:color="auto" w:fill="CCEDFF"/>
          </w:tcPr>
          <w:p w14:paraId="7326C2FF" w14:textId="77777777" w:rsidR="00EF3DFB" w:rsidRDefault="00D27C17">
            <w:pPr>
              <w:pStyle w:val="TableParagraph"/>
              <w:ind w:right="128"/>
              <w:jc w:val="right"/>
              <w:rPr>
                <w:sz w:val="18"/>
              </w:rPr>
            </w:pPr>
            <w:r>
              <w:rPr>
                <w:sz w:val="18"/>
              </w:rPr>
              <w:t>1,503</w:t>
            </w:r>
          </w:p>
        </w:tc>
        <w:tc>
          <w:tcPr>
            <w:tcW w:w="1275" w:type="dxa"/>
            <w:shd w:val="clear" w:color="auto" w:fill="CCEDFF"/>
          </w:tcPr>
          <w:p w14:paraId="7326C300" w14:textId="77777777" w:rsidR="00EF3DFB" w:rsidRDefault="00D27C17">
            <w:pPr>
              <w:pStyle w:val="TableParagraph"/>
              <w:ind w:right="128"/>
              <w:jc w:val="right"/>
              <w:rPr>
                <w:sz w:val="18"/>
              </w:rPr>
            </w:pPr>
            <w:r>
              <w:rPr>
                <w:sz w:val="18"/>
              </w:rPr>
              <w:t>1,335</w:t>
            </w:r>
          </w:p>
        </w:tc>
        <w:tc>
          <w:tcPr>
            <w:tcW w:w="1219" w:type="dxa"/>
            <w:shd w:val="clear" w:color="auto" w:fill="CCEDFF"/>
          </w:tcPr>
          <w:p w14:paraId="7326C301" w14:textId="77777777" w:rsidR="00EF3DFB" w:rsidRDefault="00D27C17">
            <w:pPr>
              <w:pStyle w:val="TableParagraph"/>
              <w:ind w:right="72"/>
              <w:jc w:val="right"/>
              <w:rPr>
                <w:sz w:val="18"/>
              </w:rPr>
            </w:pPr>
            <w:r>
              <w:rPr>
                <w:sz w:val="18"/>
              </w:rPr>
              <w:t>9,801</w:t>
            </w:r>
          </w:p>
        </w:tc>
      </w:tr>
      <w:tr w:rsidR="00EF3DFB" w14:paraId="7326C307" w14:textId="77777777">
        <w:trPr>
          <w:trHeight w:val="240"/>
        </w:trPr>
        <w:tc>
          <w:tcPr>
            <w:tcW w:w="6627" w:type="dxa"/>
          </w:tcPr>
          <w:p w14:paraId="7326C303" w14:textId="77777777" w:rsidR="00EF3DFB" w:rsidRDefault="00D27C17">
            <w:pPr>
              <w:pStyle w:val="TableParagraph"/>
              <w:ind w:left="52"/>
              <w:rPr>
                <w:sz w:val="18"/>
              </w:rPr>
            </w:pPr>
            <w:r>
              <w:rPr>
                <w:sz w:val="18"/>
              </w:rPr>
              <w:t>(Gain) loss from sale of businesses, net</w:t>
            </w:r>
          </w:p>
        </w:tc>
        <w:tc>
          <w:tcPr>
            <w:tcW w:w="1499" w:type="dxa"/>
          </w:tcPr>
          <w:p w14:paraId="7326C304" w14:textId="77777777" w:rsidR="00EF3DFB" w:rsidRDefault="00D27C17">
            <w:pPr>
              <w:pStyle w:val="TableParagraph"/>
              <w:ind w:right="128"/>
              <w:jc w:val="right"/>
              <w:rPr>
                <w:sz w:val="18"/>
              </w:rPr>
            </w:pPr>
            <w:r>
              <w:rPr>
                <w:sz w:val="18"/>
              </w:rPr>
              <w:t>9</w:t>
            </w:r>
          </w:p>
        </w:tc>
        <w:tc>
          <w:tcPr>
            <w:tcW w:w="1275" w:type="dxa"/>
          </w:tcPr>
          <w:p w14:paraId="7326C305" w14:textId="77777777" w:rsidR="00EF3DFB" w:rsidRDefault="00D27C17">
            <w:pPr>
              <w:pStyle w:val="TableParagraph"/>
              <w:ind w:right="68"/>
              <w:jc w:val="right"/>
              <w:rPr>
                <w:sz w:val="18"/>
              </w:rPr>
            </w:pPr>
            <w:r>
              <w:rPr>
                <w:sz w:val="18"/>
              </w:rPr>
              <w:t>(7)</w:t>
            </w:r>
          </w:p>
        </w:tc>
        <w:tc>
          <w:tcPr>
            <w:tcW w:w="1219" w:type="dxa"/>
          </w:tcPr>
          <w:p w14:paraId="7326C306" w14:textId="77777777" w:rsidR="00EF3DFB" w:rsidRDefault="00D27C17">
            <w:pPr>
              <w:pStyle w:val="TableParagraph"/>
              <w:ind w:right="12"/>
              <w:jc w:val="right"/>
              <w:rPr>
                <w:sz w:val="18"/>
              </w:rPr>
            </w:pPr>
            <w:r>
              <w:rPr>
                <w:sz w:val="18"/>
              </w:rPr>
              <w:t>(833)</w:t>
            </w:r>
          </w:p>
        </w:tc>
      </w:tr>
      <w:tr w:rsidR="00EF3DFB" w14:paraId="7326C30C" w14:textId="77777777">
        <w:trPr>
          <w:trHeight w:val="240"/>
        </w:trPr>
        <w:tc>
          <w:tcPr>
            <w:tcW w:w="6627" w:type="dxa"/>
            <w:shd w:val="clear" w:color="auto" w:fill="CCEDFF"/>
          </w:tcPr>
          <w:p w14:paraId="7326C308" w14:textId="77777777" w:rsidR="00EF3DFB" w:rsidRDefault="00D27C17">
            <w:pPr>
              <w:pStyle w:val="TableParagraph"/>
              <w:ind w:left="52"/>
              <w:rPr>
                <w:sz w:val="18"/>
              </w:rPr>
            </w:pPr>
            <w:r>
              <w:rPr>
                <w:sz w:val="18"/>
              </w:rPr>
              <w:t>Deferred income taxes</w:t>
            </w:r>
          </w:p>
        </w:tc>
        <w:tc>
          <w:tcPr>
            <w:tcW w:w="1499" w:type="dxa"/>
            <w:shd w:val="clear" w:color="auto" w:fill="CCEDFF"/>
          </w:tcPr>
          <w:p w14:paraId="7326C309" w14:textId="77777777" w:rsidR="00EF3DFB" w:rsidRDefault="00D27C17">
            <w:pPr>
              <w:pStyle w:val="TableParagraph"/>
              <w:ind w:right="68"/>
              <w:jc w:val="right"/>
              <w:rPr>
                <w:sz w:val="18"/>
              </w:rPr>
            </w:pPr>
            <w:r>
              <w:rPr>
                <w:sz w:val="18"/>
              </w:rPr>
              <w:t>(261)</w:t>
            </w:r>
          </w:p>
        </w:tc>
        <w:tc>
          <w:tcPr>
            <w:tcW w:w="1275" w:type="dxa"/>
            <w:shd w:val="clear" w:color="auto" w:fill="CCEDFF"/>
          </w:tcPr>
          <w:p w14:paraId="7326C30A" w14:textId="77777777" w:rsidR="00EF3DFB" w:rsidRDefault="00D27C17">
            <w:pPr>
              <w:pStyle w:val="TableParagraph"/>
              <w:ind w:right="68"/>
              <w:jc w:val="right"/>
              <w:rPr>
                <w:sz w:val="18"/>
              </w:rPr>
            </w:pPr>
            <w:r>
              <w:rPr>
                <w:sz w:val="18"/>
              </w:rPr>
              <w:t>(1,068)</w:t>
            </w:r>
          </w:p>
        </w:tc>
        <w:tc>
          <w:tcPr>
            <w:tcW w:w="1219" w:type="dxa"/>
            <w:shd w:val="clear" w:color="auto" w:fill="CCEDFF"/>
          </w:tcPr>
          <w:p w14:paraId="7326C30B" w14:textId="77777777" w:rsidR="00EF3DFB" w:rsidRDefault="00D27C17">
            <w:pPr>
              <w:pStyle w:val="TableParagraph"/>
              <w:ind w:right="12"/>
              <w:jc w:val="right"/>
              <w:rPr>
                <w:sz w:val="18"/>
              </w:rPr>
            </w:pPr>
            <w:r>
              <w:rPr>
                <w:sz w:val="18"/>
              </w:rPr>
              <w:t>(1,585)</w:t>
            </w:r>
          </w:p>
        </w:tc>
      </w:tr>
      <w:tr w:rsidR="00EF3DFB" w14:paraId="7326C311" w14:textId="77777777">
        <w:trPr>
          <w:trHeight w:val="240"/>
        </w:trPr>
        <w:tc>
          <w:tcPr>
            <w:tcW w:w="6627" w:type="dxa"/>
          </w:tcPr>
          <w:p w14:paraId="7326C30D" w14:textId="77777777" w:rsidR="00EF3DFB" w:rsidRDefault="00D27C17">
            <w:pPr>
              <w:pStyle w:val="TableParagraph"/>
              <w:ind w:left="52"/>
              <w:rPr>
                <w:sz w:val="18"/>
              </w:rPr>
            </w:pPr>
            <w:r>
              <w:rPr>
                <w:sz w:val="18"/>
              </w:rPr>
              <w:t>Stock based compensation expense</w:t>
            </w:r>
          </w:p>
        </w:tc>
        <w:tc>
          <w:tcPr>
            <w:tcW w:w="1499" w:type="dxa"/>
          </w:tcPr>
          <w:p w14:paraId="7326C30E" w14:textId="77777777" w:rsidR="00EF3DFB" w:rsidRDefault="00D27C17">
            <w:pPr>
              <w:pStyle w:val="TableParagraph"/>
              <w:ind w:right="128"/>
              <w:jc w:val="right"/>
              <w:rPr>
                <w:sz w:val="18"/>
              </w:rPr>
            </w:pPr>
            <w:r>
              <w:rPr>
                <w:sz w:val="18"/>
              </w:rPr>
              <w:t>41</w:t>
            </w:r>
          </w:p>
        </w:tc>
        <w:tc>
          <w:tcPr>
            <w:tcW w:w="1275" w:type="dxa"/>
          </w:tcPr>
          <w:p w14:paraId="7326C30F" w14:textId="77777777" w:rsidR="00EF3DFB" w:rsidRDefault="00D27C17">
            <w:pPr>
              <w:pStyle w:val="TableParagraph"/>
              <w:ind w:right="128"/>
              <w:jc w:val="right"/>
              <w:rPr>
                <w:sz w:val="18"/>
              </w:rPr>
            </w:pPr>
            <w:r>
              <w:rPr>
                <w:sz w:val="18"/>
              </w:rPr>
              <w:t>42</w:t>
            </w:r>
          </w:p>
        </w:tc>
        <w:tc>
          <w:tcPr>
            <w:tcW w:w="1219" w:type="dxa"/>
          </w:tcPr>
          <w:p w14:paraId="7326C310" w14:textId="77777777" w:rsidR="00EF3DFB" w:rsidRDefault="00D27C17">
            <w:pPr>
              <w:pStyle w:val="TableParagraph"/>
              <w:ind w:right="72"/>
              <w:jc w:val="right"/>
              <w:rPr>
                <w:sz w:val="18"/>
              </w:rPr>
            </w:pPr>
            <w:r>
              <w:rPr>
                <w:sz w:val="18"/>
              </w:rPr>
              <w:t>76</w:t>
            </w:r>
          </w:p>
        </w:tc>
      </w:tr>
      <w:tr w:rsidR="00EF3DFB" w14:paraId="7326C316" w14:textId="77777777">
        <w:trPr>
          <w:trHeight w:val="240"/>
        </w:trPr>
        <w:tc>
          <w:tcPr>
            <w:tcW w:w="6627" w:type="dxa"/>
            <w:shd w:val="clear" w:color="auto" w:fill="CCEDFF"/>
          </w:tcPr>
          <w:p w14:paraId="7326C312" w14:textId="77777777" w:rsidR="00EF3DFB" w:rsidRDefault="00D27C17">
            <w:pPr>
              <w:pStyle w:val="TableParagraph"/>
              <w:ind w:left="52"/>
              <w:rPr>
                <w:sz w:val="18"/>
              </w:rPr>
            </w:pPr>
            <w:r>
              <w:rPr>
                <w:sz w:val="18"/>
              </w:rPr>
              <w:t>Pension settlement charge</w:t>
            </w:r>
          </w:p>
        </w:tc>
        <w:tc>
          <w:tcPr>
            <w:tcW w:w="1499" w:type="dxa"/>
            <w:shd w:val="clear" w:color="auto" w:fill="CCEDFF"/>
          </w:tcPr>
          <w:p w14:paraId="7326C313" w14:textId="77777777" w:rsidR="00EF3DFB" w:rsidRDefault="00D27C17">
            <w:pPr>
              <w:pStyle w:val="TableParagraph"/>
              <w:ind w:right="128"/>
              <w:jc w:val="right"/>
              <w:rPr>
                <w:sz w:val="18"/>
              </w:rPr>
            </w:pPr>
            <w:r>
              <w:rPr>
                <w:sz w:val="18"/>
              </w:rPr>
              <w:t>53</w:t>
            </w:r>
          </w:p>
        </w:tc>
        <w:tc>
          <w:tcPr>
            <w:tcW w:w="1275" w:type="dxa"/>
            <w:shd w:val="clear" w:color="auto" w:fill="CCEDFF"/>
          </w:tcPr>
          <w:p w14:paraId="7326C314" w14:textId="77777777" w:rsidR="00EF3DFB" w:rsidRDefault="00D27C17">
            <w:pPr>
              <w:pStyle w:val="TableParagraph"/>
              <w:ind w:right="128"/>
              <w:jc w:val="right"/>
              <w:rPr>
                <w:sz w:val="18"/>
              </w:rPr>
            </w:pPr>
            <w:r>
              <w:rPr>
                <w:sz w:val="18"/>
              </w:rPr>
              <w:t>1</w:t>
            </w:r>
          </w:p>
        </w:tc>
        <w:tc>
          <w:tcPr>
            <w:tcW w:w="1219" w:type="dxa"/>
            <w:shd w:val="clear" w:color="auto" w:fill="CCEDFF"/>
          </w:tcPr>
          <w:p w14:paraId="7326C315" w14:textId="77777777" w:rsidR="00EF3DFB" w:rsidRDefault="00D27C17">
            <w:pPr>
              <w:pStyle w:val="TableParagraph"/>
              <w:ind w:right="72"/>
              <w:jc w:val="right"/>
              <w:rPr>
                <w:sz w:val="18"/>
              </w:rPr>
            </w:pPr>
            <w:r>
              <w:rPr>
                <w:sz w:val="18"/>
              </w:rPr>
              <w:t>2</w:t>
            </w:r>
          </w:p>
        </w:tc>
      </w:tr>
      <w:tr w:rsidR="00EF3DFB" w14:paraId="7326C31B" w14:textId="77777777">
        <w:trPr>
          <w:trHeight w:val="240"/>
        </w:trPr>
        <w:tc>
          <w:tcPr>
            <w:tcW w:w="6627" w:type="dxa"/>
          </w:tcPr>
          <w:p w14:paraId="7326C317" w14:textId="77777777" w:rsidR="00EF3DFB" w:rsidRDefault="00D27C17">
            <w:pPr>
              <w:pStyle w:val="TableParagraph"/>
              <w:ind w:left="52"/>
              <w:rPr>
                <w:sz w:val="18"/>
              </w:rPr>
            </w:pPr>
            <w:r>
              <w:rPr>
                <w:sz w:val="18"/>
              </w:rPr>
              <w:t>Loss on extinguishment of debt</w:t>
            </w:r>
          </w:p>
        </w:tc>
        <w:tc>
          <w:tcPr>
            <w:tcW w:w="1499" w:type="dxa"/>
          </w:tcPr>
          <w:p w14:paraId="7326C318" w14:textId="77777777" w:rsidR="00EF3DFB" w:rsidRDefault="00D27C17">
            <w:pPr>
              <w:pStyle w:val="TableParagraph"/>
              <w:ind w:right="128"/>
              <w:jc w:val="right"/>
              <w:rPr>
                <w:sz w:val="18"/>
              </w:rPr>
            </w:pPr>
            <w:r>
              <w:rPr>
                <w:sz w:val="18"/>
              </w:rPr>
              <w:t>20</w:t>
            </w:r>
          </w:p>
        </w:tc>
        <w:tc>
          <w:tcPr>
            <w:tcW w:w="1275" w:type="dxa"/>
          </w:tcPr>
          <w:p w14:paraId="7326C319" w14:textId="77777777" w:rsidR="00EF3DFB" w:rsidRDefault="00D27C17">
            <w:pPr>
              <w:pStyle w:val="TableParagraph"/>
              <w:ind w:right="128"/>
              <w:jc w:val="right"/>
              <w:rPr>
                <w:sz w:val="18"/>
              </w:rPr>
            </w:pPr>
            <w:r>
              <w:rPr>
                <w:sz w:val="18"/>
              </w:rPr>
              <w:t>28</w:t>
            </w:r>
          </w:p>
        </w:tc>
        <w:tc>
          <w:tcPr>
            <w:tcW w:w="1219" w:type="dxa"/>
          </w:tcPr>
          <w:p w14:paraId="7326C31A" w14:textId="77777777" w:rsidR="00EF3DFB" w:rsidRDefault="00D27C17">
            <w:pPr>
              <w:pStyle w:val="TableParagraph"/>
              <w:ind w:right="72"/>
              <w:jc w:val="right"/>
              <w:rPr>
                <w:sz w:val="18"/>
              </w:rPr>
            </w:pPr>
            <w:r>
              <w:rPr>
                <w:sz w:val="18"/>
              </w:rPr>
              <w:t>4</w:t>
            </w:r>
          </w:p>
        </w:tc>
      </w:tr>
      <w:tr w:rsidR="00EF3DFB" w14:paraId="7326C320" w14:textId="77777777">
        <w:trPr>
          <w:trHeight w:val="240"/>
        </w:trPr>
        <w:tc>
          <w:tcPr>
            <w:tcW w:w="6627" w:type="dxa"/>
            <w:shd w:val="clear" w:color="auto" w:fill="CCEDFF"/>
          </w:tcPr>
          <w:p w14:paraId="7326C31C" w14:textId="77777777" w:rsidR="00EF3DFB" w:rsidRDefault="00D27C17">
            <w:pPr>
              <w:pStyle w:val="TableParagraph"/>
              <w:ind w:left="52"/>
              <w:rPr>
                <w:sz w:val="18"/>
              </w:rPr>
            </w:pPr>
            <w:r>
              <w:rPr>
                <w:sz w:val="18"/>
              </w:rPr>
              <w:t>Loss on change in fair value of investments</w:t>
            </w:r>
          </w:p>
        </w:tc>
        <w:tc>
          <w:tcPr>
            <w:tcW w:w="1499" w:type="dxa"/>
            <w:shd w:val="clear" w:color="auto" w:fill="CCEDFF"/>
          </w:tcPr>
          <w:p w14:paraId="7326C31D" w14:textId="77777777" w:rsidR="00EF3DFB" w:rsidRDefault="00D27C17">
            <w:pPr>
              <w:pStyle w:val="TableParagraph"/>
              <w:ind w:right="128"/>
              <w:jc w:val="right"/>
              <w:rPr>
                <w:sz w:val="18"/>
              </w:rPr>
            </w:pPr>
            <w:r>
              <w:rPr>
                <w:sz w:val="18"/>
              </w:rPr>
              <w:t>—</w:t>
            </w:r>
          </w:p>
        </w:tc>
        <w:tc>
          <w:tcPr>
            <w:tcW w:w="1275" w:type="dxa"/>
            <w:shd w:val="clear" w:color="auto" w:fill="CCEDFF"/>
          </w:tcPr>
          <w:p w14:paraId="7326C31E" w14:textId="77777777" w:rsidR="00EF3DFB" w:rsidRDefault="00D27C17">
            <w:pPr>
              <w:pStyle w:val="TableParagraph"/>
              <w:ind w:right="128"/>
              <w:jc w:val="right"/>
              <w:rPr>
                <w:sz w:val="18"/>
              </w:rPr>
            </w:pPr>
            <w:r>
              <w:rPr>
                <w:sz w:val="18"/>
              </w:rPr>
              <w:t>21</w:t>
            </w:r>
          </w:p>
        </w:tc>
        <w:tc>
          <w:tcPr>
            <w:tcW w:w="1219" w:type="dxa"/>
            <w:shd w:val="clear" w:color="auto" w:fill="CCEDFF"/>
          </w:tcPr>
          <w:p w14:paraId="7326C31F" w14:textId="77777777" w:rsidR="00EF3DFB" w:rsidRDefault="00D27C17">
            <w:pPr>
              <w:pStyle w:val="TableParagraph"/>
              <w:ind w:right="72"/>
              <w:jc w:val="right"/>
              <w:rPr>
                <w:sz w:val="18"/>
              </w:rPr>
            </w:pPr>
            <w:r>
              <w:rPr>
                <w:sz w:val="18"/>
              </w:rPr>
              <w:t>—</w:t>
            </w:r>
          </w:p>
        </w:tc>
      </w:tr>
      <w:tr w:rsidR="00EF3DFB" w14:paraId="7326C325" w14:textId="77777777">
        <w:trPr>
          <w:trHeight w:val="210"/>
        </w:trPr>
        <w:tc>
          <w:tcPr>
            <w:tcW w:w="6627" w:type="dxa"/>
          </w:tcPr>
          <w:p w14:paraId="7326C321" w14:textId="77777777" w:rsidR="00EF3DFB" w:rsidRDefault="00D27C17">
            <w:pPr>
              <w:pStyle w:val="TableParagraph"/>
              <w:spacing w:line="190" w:lineRule="exact"/>
              <w:ind w:left="52"/>
              <w:rPr>
                <w:sz w:val="18"/>
              </w:rPr>
            </w:pPr>
            <w:r>
              <w:rPr>
                <w:sz w:val="18"/>
              </w:rPr>
              <w:t>Other, net</w:t>
            </w:r>
          </w:p>
        </w:tc>
        <w:tc>
          <w:tcPr>
            <w:tcW w:w="1499" w:type="dxa"/>
          </w:tcPr>
          <w:p w14:paraId="7326C322" w14:textId="77777777" w:rsidR="00EF3DFB" w:rsidRDefault="00D27C17">
            <w:pPr>
              <w:pStyle w:val="TableParagraph"/>
              <w:spacing w:line="190" w:lineRule="exact"/>
              <w:ind w:right="128"/>
              <w:jc w:val="right"/>
              <w:rPr>
                <w:sz w:val="18"/>
              </w:rPr>
            </w:pPr>
            <w:r>
              <w:rPr>
                <w:sz w:val="18"/>
              </w:rPr>
              <w:t>1</w:t>
            </w:r>
          </w:p>
        </w:tc>
        <w:tc>
          <w:tcPr>
            <w:tcW w:w="1275" w:type="dxa"/>
          </w:tcPr>
          <w:p w14:paraId="7326C323" w14:textId="77777777" w:rsidR="00EF3DFB" w:rsidRDefault="00D27C17">
            <w:pPr>
              <w:pStyle w:val="TableParagraph"/>
              <w:spacing w:line="190" w:lineRule="exact"/>
              <w:ind w:right="128"/>
              <w:jc w:val="right"/>
              <w:rPr>
                <w:sz w:val="18"/>
              </w:rPr>
            </w:pPr>
            <w:r>
              <w:rPr>
                <w:sz w:val="18"/>
              </w:rPr>
              <w:t>4</w:t>
            </w:r>
          </w:p>
        </w:tc>
        <w:tc>
          <w:tcPr>
            <w:tcW w:w="1219" w:type="dxa"/>
          </w:tcPr>
          <w:p w14:paraId="7326C324" w14:textId="77777777" w:rsidR="00EF3DFB" w:rsidRDefault="00D27C17">
            <w:pPr>
              <w:pStyle w:val="TableParagraph"/>
              <w:spacing w:line="190" w:lineRule="exact"/>
              <w:ind w:right="72"/>
              <w:jc w:val="right"/>
              <w:rPr>
                <w:sz w:val="18"/>
              </w:rPr>
            </w:pPr>
            <w:r>
              <w:rPr>
                <w:sz w:val="18"/>
              </w:rPr>
              <w:t>3</w:t>
            </w:r>
          </w:p>
        </w:tc>
      </w:tr>
      <w:tr w:rsidR="00EF3DFB" w14:paraId="7326C327" w14:textId="77777777">
        <w:trPr>
          <w:trHeight w:val="305"/>
        </w:trPr>
        <w:tc>
          <w:tcPr>
            <w:tcW w:w="10620" w:type="dxa"/>
            <w:gridSpan w:val="4"/>
          </w:tcPr>
          <w:p w14:paraId="7326C326" w14:textId="77777777" w:rsidR="00EF3DFB" w:rsidRDefault="00D27C17">
            <w:pPr>
              <w:pStyle w:val="TableParagraph"/>
              <w:tabs>
                <w:tab w:val="left" w:pos="10619"/>
              </w:tabs>
              <w:spacing w:before="75"/>
              <w:ind w:left="52"/>
              <w:rPr>
                <w:sz w:val="18"/>
              </w:rPr>
            </w:pPr>
            <w:r>
              <w:rPr>
                <w:sz w:val="18"/>
                <w:shd w:val="clear" w:color="auto" w:fill="CCEDFF"/>
              </w:rPr>
              <w:t>Changes in operating accounts excluding the effects of</w:t>
            </w:r>
            <w:r>
              <w:rPr>
                <w:spacing w:val="-5"/>
                <w:sz w:val="18"/>
                <w:shd w:val="clear" w:color="auto" w:fill="CCEDFF"/>
              </w:rPr>
              <w:t xml:space="preserve"> </w:t>
            </w:r>
            <w:r>
              <w:rPr>
                <w:sz w:val="18"/>
                <w:shd w:val="clear" w:color="auto" w:fill="CCEDFF"/>
              </w:rPr>
              <w:t>divestitures:</w:t>
            </w:r>
            <w:r>
              <w:rPr>
                <w:sz w:val="18"/>
                <w:shd w:val="clear" w:color="auto" w:fill="CCEDFF"/>
              </w:rPr>
              <w:tab/>
            </w:r>
          </w:p>
        </w:tc>
      </w:tr>
      <w:tr w:rsidR="00EF3DFB" w14:paraId="7326C32C" w14:textId="77777777">
        <w:trPr>
          <w:trHeight w:val="249"/>
        </w:trPr>
        <w:tc>
          <w:tcPr>
            <w:tcW w:w="6627" w:type="dxa"/>
          </w:tcPr>
          <w:p w14:paraId="7326C328" w14:textId="77777777" w:rsidR="00EF3DFB" w:rsidRDefault="00D27C17">
            <w:pPr>
              <w:pStyle w:val="TableParagraph"/>
              <w:spacing w:before="10"/>
              <w:ind w:left="307"/>
              <w:rPr>
                <w:sz w:val="18"/>
              </w:rPr>
            </w:pPr>
            <w:r>
              <w:rPr>
                <w:sz w:val="18"/>
              </w:rPr>
              <w:t>Accounts receivable</w:t>
            </w:r>
          </w:p>
        </w:tc>
        <w:tc>
          <w:tcPr>
            <w:tcW w:w="1499" w:type="dxa"/>
          </w:tcPr>
          <w:p w14:paraId="7326C329" w14:textId="77777777" w:rsidR="00EF3DFB" w:rsidRDefault="00D27C17">
            <w:pPr>
              <w:pStyle w:val="TableParagraph"/>
              <w:spacing w:before="10"/>
              <w:ind w:right="128"/>
              <w:jc w:val="right"/>
              <w:rPr>
                <w:sz w:val="18"/>
              </w:rPr>
            </w:pPr>
            <w:r>
              <w:rPr>
                <w:sz w:val="18"/>
              </w:rPr>
              <w:t>168</w:t>
            </w:r>
          </w:p>
        </w:tc>
        <w:tc>
          <w:tcPr>
            <w:tcW w:w="1275" w:type="dxa"/>
          </w:tcPr>
          <w:p w14:paraId="7326C32A" w14:textId="77777777" w:rsidR="00EF3DFB" w:rsidRDefault="00D27C17">
            <w:pPr>
              <w:pStyle w:val="TableParagraph"/>
              <w:spacing w:before="10"/>
              <w:ind w:right="128"/>
              <w:jc w:val="right"/>
              <w:rPr>
                <w:sz w:val="18"/>
              </w:rPr>
            </w:pPr>
            <w:r>
              <w:rPr>
                <w:sz w:val="18"/>
              </w:rPr>
              <w:t>311</w:t>
            </w:r>
          </w:p>
        </w:tc>
        <w:tc>
          <w:tcPr>
            <w:tcW w:w="1219" w:type="dxa"/>
          </w:tcPr>
          <w:p w14:paraId="7326C32B" w14:textId="77777777" w:rsidR="00EF3DFB" w:rsidRDefault="00D27C17">
            <w:pPr>
              <w:pStyle w:val="TableParagraph"/>
              <w:spacing w:before="10"/>
              <w:ind w:right="72"/>
              <w:jc w:val="right"/>
              <w:rPr>
                <w:sz w:val="18"/>
              </w:rPr>
            </w:pPr>
            <w:r>
              <w:rPr>
                <w:sz w:val="18"/>
              </w:rPr>
              <w:t>162</w:t>
            </w:r>
          </w:p>
        </w:tc>
      </w:tr>
      <w:tr w:rsidR="00EF3DFB" w14:paraId="7326C331" w14:textId="77777777">
        <w:trPr>
          <w:trHeight w:val="240"/>
        </w:trPr>
        <w:tc>
          <w:tcPr>
            <w:tcW w:w="6627" w:type="dxa"/>
            <w:shd w:val="clear" w:color="auto" w:fill="CCEDFF"/>
          </w:tcPr>
          <w:p w14:paraId="7326C32D" w14:textId="77777777" w:rsidR="00EF3DFB" w:rsidRDefault="00D27C17">
            <w:pPr>
              <w:pStyle w:val="TableParagraph"/>
              <w:ind w:left="307"/>
              <w:rPr>
                <w:sz w:val="18"/>
              </w:rPr>
            </w:pPr>
            <w:r>
              <w:rPr>
                <w:sz w:val="18"/>
              </w:rPr>
              <w:t>Inventories</w:t>
            </w:r>
          </w:p>
        </w:tc>
        <w:tc>
          <w:tcPr>
            <w:tcW w:w="1499" w:type="dxa"/>
            <w:shd w:val="clear" w:color="auto" w:fill="CCEDFF"/>
          </w:tcPr>
          <w:p w14:paraId="7326C32E" w14:textId="77777777" w:rsidR="00EF3DFB" w:rsidRDefault="00D27C17">
            <w:pPr>
              <w:pStyle w:val="TableParagraph"/>
              <w:ind w:right="68"/>
              <w:jc w:val="right"/>
              <w:rPr>
                <w:sz w:val="18"/>
              </w:rPr>
            </w:pPr>
            <w:r>
              <w:rPr>
                <w:sz w:val="18"/>
              </w:rPr>
              <w:t>(29)</w:t>
            </w:r>
          </w:p>
        </w:tc>
        <w:tc>
          <w:tcPr>
            <w:tcW w:w="1275" w:type="dxa"/>
            <w:shd w:val="clear" w:color="auto" w:fill="CCEDFF"/>
          </w:tcPr>
          <w:p w14:paraId="7326C32F" w14:textId="77777777" w:rsidR="00EF3DFB" w:rsidRDefault="00D27C17">
            <w:pPr>
              <w:pStyle w:val="TableParagraph"/>
              <w:ind w:right="128"/>
              <w:jc w:val="right"/>
              <w:rPr>
                <w:sz w:val="18"/>
              </w:rPr>
            </w:pPr>
            <w:r>
              <w:rPr>
                <w:sz w:val="18"/>
              </w:rPr>
              <w:t>131</w:t>
            </w:r>
          </w:p>
        </w:tc>
        <w:tc>
          <w:tcPr>
            <w:tcW w:w="1219" w:type="dxa"/>
            <w:shd w:val="clear" w:color="auto" w:fill="CCEDFF"/>
          </w:tcPr>
          <w:p w14:paraId="7326C330" w14:textId="77777777" w:rsidR="00EF3DFB" w:rsidRDefault="00D27C17">
            <w:pPr>
              <w:pStyle w:val="TableParagraph"/>
              <w:ind w:right="72"/>
              <w:jc w:val="right"/>
              <w:rPr>
                <w:sz w:val="18"/>
              </w:rPr>
            </w:pPr>
            <w:r>
              <w:rPr>
                <w:sz w:val="18"/>
              </w:rPr>
              <w:t>126</w:t>
            </w:r>
          </w:p>
        </w:tc>
      </w:tr>
      <w:tr w:rsidR="00EF3DFB" w14:paraId="7326C336" w14:textId="77777777">
        <w:trPr>
          <w:trHeight w:val="240"/>
        </w:trPr>
        <w:tc>
          <w:tcPr>
            <w:tcW w:w="6627" w:type="dxa"/>
          </w:tcPr>
          <w:p w14:paraId="7326C332" w14:textId="77777777" w:rsidR="00EF3DFB" w:rsidRDefault="00D27C17">
            <w:pPr>
              <w:pStyle w:val="TableParagraph"/>
              <w:ind w:left="307"/>
              <w:rPr>
                <w:sz w:val="18"/>
              </w:rPr>
            </w:pPr>
            <w:r>
              <w:rPr>
                <w:sz w:val="18"/>
              </w:rPr>
              <w:t>Accounts payable</w:t>
            </w:r>
          </w:p>
        </w:tc>
        <w:tc>
          <w:tcPr>
            <w:tcW w:w="1499" w:type="dxa"/>
          </w:tcPr>
          <w:p w14:paraId="7326C333" w14:textId="77777777" w:rsidR="00EF3DFB" w:rsidRDefault="00D27C17">
            <w:pPr>
              <w:pStyle w:val="TableParagraph"/>
              <w:ind w:right="128"/>
              <w:jc w:val="right"/>
              <w:rPr>
                <w:sz w:val="18"/>
              </w:rPr>
            </w:pPr>
            <w:r>
              <w:rPr>
                <w:sz w:val="18"/>
              </w:rPr>
              <w:t>415</w:t>
            </w:r>
          </w:p>
        </w:tc>
        <w:tc>
          <w:tcPr>
            <w:tcW w:w="1275" w:type="dxa"/>
          </w:tcPr>
          <w:p w14:paraId="7326C334" w14:textId="77777777" w:rsidR="00EF3DFB" w:rsidRDefault="00D27C17">
            <w:pPr>
              <w:pStyle w:val="TableParagraph"/>
              <w:ind w:right="68"/>
              <w:jc w:val="right"/>
              <w:rPr>
                <w:sz w:val="18"/>
              </w:rPr>
            </w:pPr>
            <w:r>
              <w:rPr>
                <w:sz w:val="18"/>
              </w:rPr>
              <w:t>(109)</w:t>
            </w:r>
          </w:p>
        </w:tc>
        <w:tc>
          <w:tcPr>
            <w:tcW w:w="1219" w:type="dxa"/>
          </w:tcPr>
          <w:p w14:paraId="7326C335" w14:textId="77777777" w:rsidR="00EF3DFB" w:rsidRDefault="00D27C17">
            <w:pPr>
              <w:pStyle w:val="TableParagraph"/>
              <w:ind w:right="12"/>
              <w:jc w:val="right"/>
              <w:rPr>
                <w:sz w:val="18"/>
              </w:rPr>
            </w:pPr>
            <w:r>
              <w:rPr>
                <w:sz w:val="18"/>
              </w:rPr>
              <w:t>(309)</w:t>
            </w:r>
          </w:p>
        </w:tc>
      </w:tr>
      <w:tr w:rsidR="00EF3DFB" w14:paraId="7326C33B" w14:textId="77777777">
        <w:trPr>
          <w:trHeight w:val="230"/>
        </w:trPr>
        <w:tc>
          <w:tcPr>
            <w:tcW w:w="6627" w:type="dxa"/>
            <w:shd w:val="clear" w:color="auto" w:fill="CCEDFF"/>
          </w:tcPr>
          <w:p w14:paraId="7326C337" w14:textId="77777777" w:rsidR="00EF3DFB" w:rsidRDefault="00D27C17">
            <w:pPr>
              <w:pStyle w:val="TableParagraph"/>
              <w:ind w:left="307"/>
              <w:rPr>
                <w:sz w:val="18"/>
              </w:rPr>
            </w:pPr>
            <w:r>
              <w:rPr>
                <w:sz w:val="18"/>
              </w:rPr>
              <w:t>Accrued liabilities and other</w:t>
            </w:r>
          </w:p>
        </w:tc>
        <w:tc>
          <w:tcPr>
            <w:tcW w:w="1499" w:type="dxa"/>
            <w:tcBorders>
              <w:bottom w:val="single" w:sz="8" w:space="0" w:color="000000"/>
            </w:tcBorders>
            <w:shd w:val="clear" w:color="auto" w:fill="CCEDFF"/>
          </w:tcPr>
          <w:p w14:paraId="7326C338" w14:textId="77777777" w:rsidR="00EF3DFB" w:rsidRDefault="00D27C17">
            <w:pPr>
              <w:pStyle w:val="TableParagraph"/>
              <w:ind w:right="68"/>
              <w:jc w:val="right"/>
              <w:rPr>
                <w:sz w:val="18"/>
              </w:rPr>
            </w:pPr>
            <w:r>
              <w:rPr>
                <w:sz w:val="18"/>
              </w:rPr>
              <w:t>(75)</w:t>
            </w:r>
          </w:p>
        </w:tc>
        <w:tc>
          <w:tcPr>
            <w:tcW w:w="1275" w:type="dxa"/>
            <w:tcBorders>
              <w:bottom w:val="single" w:sz="8" w:space="0" w:color="000000"/>
            </w:tcBorders>
            <w:shd w:val="clear" w:color="auto" w:fill="CCEDFF"/>
          </w:tcPr>
          <w:p w14:paraId="7326C339" w14:textId="77777777" w:rsidR="00EF3DFB" w:rsidRDefault="00D27C17">
            <w:pPr>
              <w:pStyle w:val="TableParagraph"/>
              <w:ind w:right="68"/>
              <w:jc w:val="right"/>
              <w:rPr>
                <w:sz w:val="18"/>
              </w:rPr>
            </w:pPr>
            <w:r>
              <w:rPr>
                <w:sz w:val="18"/>
              </w:rPr>
              <w:t>(198)</w:t>
            </w:r>
          </w:p>
        </w:tc>
        <w:tc>
          <w:tcPr>
            <w:tcW w:w="1219" w:type="dxa"/>
            <w:tcBorders>
              <w:bottom w:val="single" w:sz="8" w:space="0" w:color="000000"/>
            </w:tcBorders>
            <w:shd w:val="clear" w:color="auto" w:fill="CCEDFF"/>
          </w:tcPr>
          <w:p w14:paraId="7326C33A" w14:textId="77777777" w:rsidR="00EF3DFB" w:rsidRDefault="00D27C17">
            <w:pPr>
              <w:pStyle w:val="TableParagraph"/>
              <w:ind w:right="12"/>
              <w:jc w:val="right"/>
              <w:rPr>
                <w:sz w:val="18"/>
              </w:rPr>
            </w:pPr>
            <w:r>
              <w:rPr>
                <w:sz w:val="18"/>
              </w:rPr>
              <w:t>(259)</w:t>
            </w:r>
          </w:p>
        </w:tc>
      </w:tr>
      <w:tr w:rsidR="00EF3DFB" w14:paraId="7326C340" w14:textId="77777777">
        <w:trPr>
          <w:trHeight w:val="230"/>
        </w:trPr>
        <w:tc>
          <w:tcPr>
            <w:tcW w:w="6627" w:type="dxa"/>
          </w:tcPr>
          <w:p w14:paraId="7326C33C" w14:textId="77777777" w:rsidR="00EF3DFB" w:rsidRDefault="00D27C17">
            <w:pPr>
              <w:pStyle w:val="TableParagraph"/>
              <w:spacing w:line="197" w:lineRule="exact"/>
              <w:ind w:left="52"/>
              <w:rPr>
                <w:sz w:val="18"/>
              </w:rPr>
            </w:pPr>
            <w:r>
              <w:rPr>
                <w:sz w:val="18"/>
              </w:rPr>
              <w:t>Net cash provided by operating activities</w:t>
            </w:r>
          </w:p>
        </w:tc>
        <w:tc>
          <w:tcPr>
            <w:tcW w:w="1499" w:type="dxa"/>
            <w:tcBorders>
              <w:top w:val="single" w:sz="8" w:space="0" w:color="000000"/>
            </w:tcBorders>
          </w:tcPr>
          <w:p w14:paraId="7326C33D" w14:textId="77777777" w:rsidR="00EF3DFB" w:rsidRDefault="00D27C17">
            <w:pPr>
              <w:pStyle w:val="TableParagraph"/>
              <w:spacing w:line="197" w:lineRule="exact"/>
              <w:ind w:right="128"/>
              <w:jc w:val="right"/>
              <w:rPr>
                <w:sz w:val="18"/>
              </w:rPr>
            </w:pPr>
            <w:r>
              <w:rPr>
                <w:sz w:val="18"/>
              </w:rPr>
              <w:t>1,432</w:t>
            </w:r>
          </w:p>
        </w:tc>
        <w:tc>
          <w:tcPr>
            <w:tcW w:w="1275" w:type="dxa"/>
            <w:tcBorders>
              <w:top w:val="single" w:sz="8" w:space="0" w:color="000000"/>
            </w:tcBorders>
          </w:tcPr>
          <w:p w14:paraId="7326C33E" w14:textId="77777777" w:rsidR="00EF3DFB" w:rsidRDefault="00D27C17">
            <w:pPr>
              <w:pStyle w:val="TableParagraph"/>
              <w:spacing w:line="197" w:lineRule="exact"/>
              <w:ind w:right="128"/>
              <w:jc w:val="right"/>
              <w:rPr>
                <w:sz w:val="18"/>
              </w:rPr>
            </w:pPr>
            <w:r>
              <w:rPr>
                <w:sz w:val="18"/>
              </w:rPr>
              <w:t>1,044</w:t>
            </w:r>
          </w:p>
        </w:tc>
        <w:tc>
          <w:tcPr>
            <w:tcW w:w="1219" w:type="dxa"/>
            <w:tcBorders>
              <w:top w:val="single" w:sz="8" w:space="0" w:color="000000"/>
            </w:tcBorders>
          </w:tcPr>
          <w:p w14:paraId="7326C33F" w14:textId="77777777" w:rsidR="00EF3DFB" w:rsidRDefault="00D27C17">
            <w:pPr>
              <w:pStyle w:val="TableParagraph"/>
              <w:spacing w:line="197" w:lineRule="exact"/>
              <w:ind w:right="72"/>
              <w:jc w:val="right"/>
              <w:rPr>
                <w:sz w:val="18"/>
              </w:rPr>
            </w:pPr>
            <w:r>
              <w:rPr>
                <w:sz w:val="18"/>
              </w:rPr>
              <w:t>680</w:t>
            </w:r>
          </w:p>
        </w:tc>
      </w:tr>
      <w:tr w:rsidR="00EF3DFB" w14:paraId="7326C345" w14:textId="77777777">
        <w:trPr>
          <w:trHeight w:val="240"/>
        </w:trPr>
        <w:tc>
          <w:tcPr>
            <w:tcW w:w="6627" w:type="dxa"/>
            <w:shd w:val="clear" w:color="auto" w:fill="CCEDFF"/>
          </w:tcPr>
          <w:p w14:paraId="7326C341" w14:textId="77777777" w:rsidR="00EF3DFB" w:rsidRDefault="00D27C17">
            <w:pPr>
              <w:pStyle w:val="TableParagraph"/>
              <w:ind w:left="52"/>
              <w:rPr>
                <w:b/>
                <w:sz w:val="18"/>
              </w:rPr>
            </w:pPr>
            <w:r>
              <w:rPr>
                <w:b/>
                <w:sz w:val="18"/>
              </w:rPr>
              <w:t>Cash flows from investing activities:</w:t>
            </w:r>
          </w:p>
        </w:tc>
        <w:tc>
          <w:tcPr>
            <w:tcW w:w="1499" w:type="dxa"/>
            <w:shd w:val="clear" w:color="auto" w:fill="CCEDFF"/>
          </w:tcPr>
          <w:p w14:paraId="7326C342" w14:textId="77777777" w:rsidR="00EF3DFB" w:rsidRDefault="00EF3DFB">
            <w:pPr>
              <w:pStyle w:val="TableParagraph"/>
              <w:rPr>
                <w:sz w:val="16"/>
              </w:rPr>
            </w:pPr>
          </w:p>
        </w:tc>
        <w:tc>
          <w:tcPr>
            <w:tcW w:w="1275" w:type="dxa"/>
            <w:shd w:val="clear" w:color="auto" w:fill="CCEDFF"/>
          </w:tcPr>
          <w:p w14:paraId="7326C343" w14:textId="77777777" w:rsidR="00EF3DFB" w:rsidRDefault="00EF3DFB">
            <w:pPr>
              <w:pStyle w:val="TableParagraph"/>
              <w:rPr>
                <w:sz w:val="16"/>
              </w:rPr>
            </w:pPr>
          </w:p>
        </w:tc>
        <w:tc>
          <w:tcPr>
            <w:tcW w:w="1219" w:type="dxa"/>
            <w:shd w:val="clear" w:color="auto" w:fill="CCEDFF"/>
          </w:tcPr>
          <w:p w14:paraId="7326C344" w14:textId="77777777" w:rsidR="00EF3DFB" w:rsidRDefault="00EF3DFB">
            <w:pPr>
              <w:pStyle w:val="TableParagraph"/>
              <w:rPr>
                <w:sz w:val="16"/>
              </w:rPr>
            </w:pPr>
          </w:p>
        </w:tc>
      </w:tr>
      <w:tr w:rsidR="00EF3DFB" w14:paraId="7326C34A" w14:textId="77777777">
        <w:trPr>
          <w:trHeight w:val="240"/>
        </w:trPr>
        <w:tc>
          <w:tcPr>
            <w:tcW w:w="6627" w:type="dxa"/>
          </w:tcPr>
          <w:p w14:paraId="7326C346" w14:textId="77777777" w:rsidR="00EF3DFB" w:rsidRDefault="00D27C17">
            <w:pPr>
              <w:pStyle w:val="TableParagraph"/>
              <w:ind w:left="52"/>
              <w:rPr>
                <w:sz w:val="18"/>
              </w:rPr>
            </w:pPr>
            <w:r>
              <w:rPr>
                <w:sz w:val="18"/>
              </w:rPr>
              <w:t>Proceeds from sale of divested businesses</w:t>
            </w:r>
          </w:p>
        </w:tc>
        <w:tc>
          <w:tcPr>
            <w:tcW w:w="1499" w:type="dxa"/>
          </w:tcPr>
          <w:p w14:paraId="7326C347" w14:textId="77777777" w:rsidR="00EF3DFB" w:rsidRDefault="00D27C17">
            <w:pPr>
              <w:pStyle w:val="TableParagraph"/>
              <w:ind w:right="128"/>
              <w:jc w:val="right"/>
              <w:rPr>
                <w:sz w:val="18"/>
              </w:rPr>
            </w:pPr>
            <w:r>
              <w:rPr>
                <w:sz w:val="18"/>
              </w:rPr>
              <w:t>16</w:t>
            </w:r>
          </w:p>
        </w:tc>
        <w:tc>
          <w:tcPr>
            <w:tcW w:w="1275" w:type="dxa"/>
          </w:tcPr>
          <w:p w14:paraId="7326C348" w14:textId="77777777" w:rsidR="00EF3DFB" w:rsidRDefault="00D27C17">
            <w:pPr>
              <w:pStyle w:val="TableParagraph"/>
              <w:ind w:right="128"/>
              <w:jc w:val="right"/>
              <w:rPr>
                <w:sz w:val="18"/>
              </w:rPr>
            </w:pPr>
            <w:r>
              <w:rPr>
                <w:sz w:val="18"/>
              </w:rPr>
              <w:t>996</w:t>
            </w:r>
          </w:p>
        </w:tc>
        <w:tc>
          <w:tcPr>
            <w:tcW w:w="1219" w:type="dxa"/>
          </w:tcPr>
          <w:p w14:paraId="7326C349" w14:textId="77777777" w:rsidR="00EF3DFB" w:rsidRDefault="00D27C17">
            <w:pPr>
              <w:pStyle w:val="TableParagraph"/>
              <w:ind w:right="72"/>
              <w:jc w:val="right"/>
              <w:rPr>
                <w:sz w:val="18"/>
              </w:rPr>
            </w:pPr>
            <w:r>
              <w:rPr>
                <w:sz w:val="18"/>
              </w:rPr>
              <w:t>5,133</w:t>
            </w:r>
          </w:p>
        </w:tc>
      </w:tr>
      <w:tr w:rsidR="00EF3DFB" w14:paraId="7326C34F" w14:textId="77777777">
        <w:trPr>
          <w:trHeight w:val="240"/>
        </w:trPr>
        <w:tc>
          <w:tcPr>
            <w:tcW w:w="6627" w:type="dxa"/>
            <w:shd w:val="clear" w:color="auto" w:fill="CCEDFF"/>
          </w:tcPr>
          <w:p w14:paraId="7326C34B" w14:textId="77777777" w:rsidR="00EF3DFB" w:rsidRDefault="00D27C17">
            <w:pPr>
              <w:pStyle w:val="TableParagraph"/>
              <w:ind w:left="52"/>
              <w:rPr>
                <w:sz w:val="18"/>
              </w:rPr>
            </w:pPr>
            <w:r>
              <w:rPr>
                <w:sz w:val="18"/>
              </w:rPr>
              <w:t>Capital expenditures</w:t>
            </w:r>
          </w:p>
        </w:tc>
        <w:tc>
          <w:tcPr>
            <w:tcW w:w="1499" w:type="dxa"/>
            <w:shd w:val="clear" w:color="auto" w:fill="CCEDFF"/>
          </w:tcPr>
          <w:p w14:paraId="7326C34C" w14:textId="77777777" w:rsidR="00EF3DFB" w:rsidRDefault="00D27C17">
            <w:pPr>
              <w:pStyle w:val="TableParagraph"/>
              <w:ind w:right="68"/>
              <w:jc w:val="right"/>
              <w:rPr>
                <w:sz w:val="18"/>
              </w:rPr>
            </w:pPr>
            <w:r>
              <w:rPr>
                <w:sz w:val="18"/>
              </w:rPr>
              <w:t>(259)</w:t>
            </w:r>
          </w:p>
        </w:tc>
        <w:tc>
          <w:tcPr>
            <w:tcW w:w="1275" w:type="dxa"/>
            <w:shd w:val="clear" w:color="auto" w:fill="CCEDFF"/>
          </w:tcPr>
          <w:p w14:paraId="7326C34D" w14:textId="77777777" w:rsidR="00EF3DFB" w:rsidRDefault="00D27C17">
            <w:pPr>
              <w:pStyle w:val="TableParagraph"/>
              <w:ind w:right="68"/>
              <w:jc w:val="right"/>
              <w:rPr>
                <w:sz w:val="18"/>
              </w:rPr>
            </w:pPr>
            <w:r>
              <w:rPr>
                <w:sz w:val="18"/>
              </w:rPr>
              <w:t>(265)</w:t>
            </w:r>
          </w:p>
        </w:tc>
        <w:tc>
          <w:tcPr>
            <w:tcW w:w="1219" w:type="dxa"/>
            <w:shd w:val="clear" w:color="auto" w:fill="CCEDFF"/>
          </w:tcPr>
          <w:p w14:paraId="7326C34E" w14:textId="77777777" w:rsidR="00EF3DFB" w:rsidRDefault="00D27C17">
            <w:pPr>
              <w:pStyle w:val="TableParagraph"/>
              <w:ind w:right="12"/>
              <w:jc w:val="right"/>
              <w:rPr>
                <w:sz w:val="18"/>
              </w:rPr>
            </w:pPr>
            <w:r>
              <w:rPr>
                <w:sz w:val="18"/>
              </w:rPr>
              <w:t>(384)</w:t>
            </w:r>
          </w:p>
        </w:tc>
      </w:tr>
      <w:tr w:rsidR="00EF3DFB" w14:paraId="7326C354" w14:textId="77777777">
        <w:trPr>
          <w:trHeight w:val="230"/>
        </w:trPr>
        <w:tc>
          <w:tcPr>
            <w:tcW w:w="6627" w:type="dxa"/>
          </w:tcPr>
          <w:p w14:paraId="7326C350" w14:textId="77777777" w:rsidR="00EF3DFB" w:rsidRDefault="00D27C17">
            <w:pPr>
              <w:pStyle w:val="TableParagraph"/>
              <w:ind w:left="52"/>
              <w:rPr>
                <w:sz w:val="18"/>
              </w:rPr>
            </w:pPr>
            <w:r>
              <w:rPr>
                <w:sz w:val="18"/>
              </w:rPr>
              <w:t>Other investing activities</w:t>
            </w:r>
          </w:p>
        </w:tc>
        <w:tc>
          <w:tcPr>
            <w:tcW w:w="1499" w:type="dxa"/>
            <w:tcBorders>
              <w:bottom w:val="single" w:sz="8" w:space="0" w:color="000000"/>
            </w:tcBorders>
          </w:tcPr>
          <w:p w14:paraId="7326C351" w14:textId="77777777" w:rsidR="00EF3DFB" w:rsidRDefault="00D27C17">
            <w:pPr>
              <w:pStyle w:val="TableParagraph"/>
              <w:ind w:right="128"/>
              <w:jc w:val="right"/>
              <w:rPr>
                <w:sz w:val="18"/>
              </w:rPr>
            </w:pPr>
            <w:r>
              <w:rPr>
                <w:sz w:val="18"/>
              </w:rPr>
              <w:t>15</w:t>
            </w:r>
          </w:p>
        </w:tc>
        <w:tc>
          <w:tcPr>
            <w:tcW w:w="1275" w:type="dxa"/>
            <w:tcBorders>
              <w:bottom w:val="single" w:sz="8" w:space="0" w:color="000000"/>
            </w:tcBorders>
          </w:tcPr>
          <w:p w14:paraId="7326C352" w14:textId="77777777" w:rsidR="00EF3DFB" w:rsidRDefault="00D27C17">
            <w:pPr>
              <w:pStyle w:val="TableParagraph"/>
              <w:ind w:right="128"/>
              <w:jc w:val="right"/>
              <w:rPr>
                <w:sz w:val="18"/>
              </w:rPr>
            </w:pPr>
            <w:r>
              <w:rPr>
                <w:sz w:val="18"/>
              </w:rPr>
              <w:t>5</w:t>
            </w:r>
          </w:p>
        </w:tc>
        <w:tc>
          <w:tcPr>
            <w:tcW w:w="1219" w:type="dxa"/>
            <w:tcBorders>
              <w:bottom w:val="single" w:sz="8" w:space="0" w:color="000000"/>
            </w:tcBorders>
          </w:tcPr>
          <w:p w14:paraId="7326C353" w14:textId="77777777" w:rsidR="00EF3DFB" w:rsidRDefault="00D27C17">
            <w:pPr>
              <w:pStyle w:val="TableParagraph"/>
              <w:ind w:right="72"/>
              <w:jc w:val="right"/>
              <w:rPr>
                <w:sz w:val="18"/>
              </w:rPr>
            </w:pPr>
            <w:r>
              <w:rPr>
                <w:sz w:val="18"/>
              </w:rPr>
              <w:t>58</w:t>
            </w:r>
          </w:p>
        </w:tc>
      </w:tr>
      <w:tr w:rsidR="00EF3DFB" w14:paraId="7326C359" w14:textId="77777777">
        <w:trPr>
          <w:trHeight w:val="230"/>
        </w:trPr>
        <w:tc>
          <w:tcPr>
            <w:tcW w:w="6627" w:type="dxa"/>
            <w:shd w:val="clear" w:color="auto" w:fill="CCEDFF"/>
          </w:tcPr>
          <w:p w14:paraId="7326C355" w14:textId="77777777" w:rsidR="00EF3DFB" w:rsidRDefault="00D27C17">
            <w:pPr>
              <w:pStyle w:val="TableParagraph"/>
              <w:spacing w:line="197" w:lineRule="exact"/>
              <w:ind w:left="52"/>
              <w:rPr>
                <w:sz w:val="18"/>
              </w:rPr>
            </w:pPr>
            <w:r>
              <w:rPr>
                <w:sz w:val="18"/>
              </w:rPr>
              <w:t>Net cash provided by (used in) investing activities</w:t>
            </w:r>
          </w:p>
        </w:tc>
        <w:tc>
          <w:tcPr>
            <w:tcW w:w="1499" w:type="dxa"/>
            <w:tcBorders>
              <w:top w:val="single" w:sz="8" w:space="0" w:color="000000"/>
            </w:tcBorders>
            <w:shd w:val="clear" w:color="auto" w:fill="CCEDFF"/>
          </w:tcPr>
          <w:p w14:paraId="7326C356" w14:textId="77777777" w:rsidR="00EF3DFB" w:rsidRDefault="00D27C17">
            <w:pPr>
              <w:pStyle w:val="TableParagraph"/>
              <w:spacing w:line="197" w:lineRule="exact"/>
              <w:ind w:right="68"/>
              <w:jc w:val="right"/>
              <w:rPr>
                <w:sz w:val="18"/>
              </w:rPr>
            </w:pPr>
            <w:r>
              <w:rPr>
                <w:sz w:val="18"/>
              </w:rPr>
              <w:t>(228)</w:t>
            </w:r>
          </w:p>
        </w:tc>
        <w:tc>
          <w:tcPr>
            <w:tcW w:w="1275" w:type="dxa"/>
            <w:tcBorders>
              <w:top w:val="single" w:sz="8" w:space="0" w:color="000000"/>
            </w:tcBorders>
            <w:shd w:val="clear" w:color="auto" w:fill="CCEDFF"/>
          </w:tcPr>
          <w:p w14:paraId="7326C357" w14:textId="77777777" w:rsidR="00EF3DFB" w:rsidRDefault="00D27C17">
            <w:pPr>
              <w:pStyle w:val="TableParagraph"/>
              <w:spacing w:line="197" w:lineRule="exact"/>
              <w:ind w:right="128"/>
              <w:jc w:val="right"/>
              <w:rPr>
                <w:sz w:val="18"/>
              </w:rPr>
            </w:pPr>
            <w:r>
              <w:rPr>
                <w:sz w:val="18"/>
              </w:rPr>
              <w:t>736</w:t>
            </w:r>
          </w:p>
        </w:tc>
        <w:tc>
          <w:tcPr>
            <w:tcW w:w="1219" w:type="dxa"/>
            <w:tcBorders>
              <w:top w:val="single" w:sz="8" w:space="0" w:color="000000"/>
            </w:tcBorders>
            <w:shd w:val="clear" w:color="auto" w:fill="CCEDFF"/>
          </w:tcPr>
          <w:p w14:paraId="7326C358" w14:textId="77777777" w:rsidR="00EF3DFB" w:rsidRDefault="00D27C17">
            <w:pPr>
              <w:pStyle w:val="TableParagraph"/>
              <w:spacing w:line="197" w:lineRule="exact"/>
              <w:ind w:right="72"/>
              <w:jc w:val="right"/>
              <w:rPr>
                <w:sz w:val="18"/>
              </w:rPr>
            </w:pPr>
            <w:r>
              <w:rPr>
                <w:sz w:val="18"/>
              </w:rPr>
              <w:t>4,807</w:t>
            </w:r>
          </w:p>
        </w:tc>
      </w:tr>
      <w:tr w:rsidR="00EF3DFB" w14:paraId="7326C35E" w14:textId="77777777">
        <w:trPr>
          <w:trHeight w:val="240"/>
        </w:trPr>
        <w:tc>
          <w:tcPr>
            <w:tcW w:w="6627" w:type="dxa"/>
          </w:tcPr>
          <w:p w14:paraId="7326C35A" w14:textId="77777777" w:rsidR="00EF3DFB" w:rsidRDefault="00D27C17">
            <w:pPr>
              <w:pStyle w:val="TableParagraph"/>
              <w:ind w:left="52"/>
              <w:rPr>
                <w:b/>
                <w:sz w:val="18"/>
              </w:rPr>
            </w:pPr>
            <w:r>
              <w:rPr>
                <w:b/>
                <w:sz w:val="18"/>
              </w:rPr>
              <w:t>Cash flows from financing activities:</w:t>
            </w:r>
          </w:p>
        </w:tc>
        <w:tc>
          <w:tcPr>
            <w:tcW w:w="1499" w:type="dxa"/>
          </w:tcPr>
          <w:p w14:paraId="7326C35B" w14:textId="77777777" w:rsidR="00EF3DFB" w:rsidRDefault="00EF3DFB">
            <w:pPr>
              <w:pStyle w:val="TableParagraph"/>
              <w:rPr>
                <w:sz w:val="16"/>
              </w:rPr>
            </w:pPr>
          </w:p>
        </w:tc>
        <w:tc>
          <w:tcPr>
            <w:tcW w:w="1275" w:type="dxa"/>
          </w:tcPr>
          <w:p w14:paraId="7326C35C" w14:textId="77777777" w:rsidR="00EF3DFB" w:rsidRDefault="00EF3DFB">
            <w:pPr>
              <w:pStyle w:val="TableParagraph"/>
              <w:rPr>
                <w:sz w:val="16"/>
              </w:rPr>
            </w:pPr>
          </w:p>
        </w:tc>
        <w:tc>
          <w:tcPr>
            <w:tcW w:w="1219" w:type="dxa"/>
          </w:tcPr>
          <w:p w14:paraId="7326C35D" w14:textId="77777777" w:rsidR="00EF3DFB" w:rsidRDefault="00EF3DFB">
            <w:pPr>
              <w:pStyle w:val="TableParagraph"/>
              <w:rPr>
                <w:sz w:val="16"/>
              </w:rPr>
            </w:pPr>
          </w:p>
        </w:tc>
      </w:tr>
      <w:tr w:rsidR="00EF3DFB" w14:paraId="7326C363" w14:textId="77777777">
        <w:trPr>
          <w:trHeight w:val="240"/>
        </w:trPr>
        <w:tc>
          <w:tcPr>
            <w:tcW w:w="6627" w:type="dxa"/>
            <w:shd w:val="clear" w:color="auto" w:fill="CCEDFF"/>
          </w:tcPr>
          <w:p w14:paraId="7326C35F" w14:textId="77777777" w:rsidR="00EF3DFB" w:rsidRDefault="00D27C17">
            <w:pPr>
              <w:pStyle w:val="TableParagraph"/>
              <w:ind w:left="52"/>
              <w:rPr>
                <w:sz w:val="18"/>
              </w:rPr>
            </w:pPr>
            <w:r>
              <w:rPr>
                <w:sz w:val="18"/>
              </w:rPr>
              <w:t>Net short term debt</w:t>
            </w:r>
          </w:p>
        </w:tc>
        <w:tc>
          <w:tcPr>
            <w:tcW w:w="1499" w:type="dxa"/>
            <w:shd w:val="clear" w:color="auto" w:fill="CCEDFF"/>
          </w:tcPr>
          <w:p w14:paraId="7326C360" w14:textId="77777777" w:rsidR="00EF3DFB" w:rsidRDefault="00D27C17">
            <w:pPr>
              <w:pStyle w:val="TableParagraph"/>
              <w:ind w:right="68"/>
              <w:jc w:val="right"/>
              <w:rPr>
                <w:sz w:val="18"/>
              </w:rPr>
            </w:pPr>
            <w:r>
              <w:rPr>
                <w:sz w:val="18"/>
              </w:rPr>
              <w:t>(26)</w:t>
            </w:r>
          </w:p>
        </w:tc>
        <w:tc>
          <w:tcPr>
            <w:tcW w:w="1275" w:type="dxa"/>
            <w:shd w:val="clear" w:color="auto" w:fill="CCEDFF"/>
          </w:tcPr>
          <w:p w14:paraId="7326C361" w14:textId="77777777" w:rsidR="00EF3DFB" w:rsidRDefault="00D27C17">
            <w:pPr>
              <w:pStyle w:val="TableParagraph"/>
              <w:ind w:right="68"/>
              <w:jc w:val="right"/>
              <w:rPr>
                <w:sz w:val="18"/>
              </w:rPr>
            </w:pPr>
            <w:r>
              <w:rPr>
                <w:sz w:val="18"/>
              </w:rPr>
              <w:t>(26)</w:t>
            </w:r>
          </w:p>
        </w:tc>
        <w:tc>
          <w:tcPr>
            <w:tcW w:w="1219" w:type="dxa"/>
            <w:shd w:val="clear" w:color="auto" w:fill="CCEDFF"/>
          </w:tcPr>
          <w:p w14:paraId="7326C362" w14:textId="77777777" w:rsidR="00EF3DFB" w:rsidRDefault="00D27C17">
            <w:pPr>
              <w:pStyle w:val="TableParagraph"/>
              <w:ind w:right="12"/>
              <w:jc w:val="right"/>
              <w:rPr>
                <w:sz w:val="18"/>
              </w:rPr>
            </w:pPr>
            <w:r>
              <w:rPr>
                <w:sz w:val="18"/>
              </w:rPr>
              <w:t>(904)</w:t>
            </w:r>
          </w:p>
        </w:tc>
      </w:tr>
      <w:tr w:rsidR="00EF3DFB" w14:paraId="7326C368" w14:textId="77777777">
        <w:trPr>
          <w:trHeight w:val="240"/>
        </w:trPr>
        <w:tc>
          <w:tcPr>
            <w:tcW w:w="6627" w:type="dxa"/>
          </w:tcPr>
          <w:p w14:paraId="7326C364" w14:textId="77777777" w:rsidR="00EF3DFB" w:rsidRDefault="00D27C17">
            <w:pPr>
              <w:pStyle w:val="TableParagraph"/>
              <w:ind w:left="52"/>
              <w:rPr>
                <w:sz w:val="18"/>
              </w:rPr>
            </w:pPr>
            <w:r>
              <w:rPr>
                <w:sz w:val="18"/>
              </w:rPr>
              <w:t>Net proceeds from issuance of debt</w:t>
            </w:r>
          </w:p>
        </w:tc>
        <w:tc>
          <w:tcPr>
            <w:tcW w:w="1499" w:type="dxa"/>
          </w:tcPr>
          <w:p w14:paraId="7326C365" w14:textId="77777777" w:rsidR="00EF3DFB" w:rsidRDefault="00D27C17">
            <w:pPr>
              <w:pStyle w:val="TableParagraph"/>
              <w:ind w:right="128"/>
              <w:jc w:val="right"/>
              <w:rPr>
                <w:sz w:val="18"/>
              </w:rPr>
            </w:pPr>
            <w:r>
              <w:rPr>
                <w:sz w:val="18"/>
              </w:rPr>
              <w:t>491</w:t>
            </w:r>
          </w:p>
        </w:tc>
        <w:tc>
          <w:tcPr>
            <w:tcW w:w="1275" w:type="dxa"/>
          </w:tcPr>
          <w:p w14:paraId="7326C366" w14:textId="77777777" w:rsidR="00EF3DFB" w:rsidRDefault="00D27C17">
            <w:pPr>
              <w:pStyle w:val="TableParagraph"/>
              <w:ind w:right="128"/>
              <w:jc w:val="right"/>
              <w:rPr>
                <w:sz w:val="18"/>
              </w:rPr>
            </w:pPr>
            <w:r>
              <w:rPr>
                <w:sz w:val="18"/>
              </w:rPr>
              <w:t>—</w:t>
            </w:r>
          </w:p>
        </w:tc>
        <w:tc>
          <w:tcPr>
            <w:tcW w:w="1219" w:type="dxa"/>
          </w:tcPr>
          <w:p w14:paraId="7326C367" w14:textId="77777777" w:rsidR="00EF3DFB" w:rsidRDefault="00D27C17">
            <w:pPr>
              <w:pStyle w:val="TableParagraph"/>
              <w:ind w:right="72"/>
              <w:jc w:val="right"/>
              <w:rPr>
                <w:sz w:val="18"/>
              </w:rPr>
            </w:pPr>
            <w:r>
              <w:rPr>
                <w:sz w:val="18"/>
              </w:rPr>
              <w:t>—</w:t>
            </w:r>
          </w:p>
        </w:tc>
      </w:tr>
      <w:tr w:rsidR="00EF3DFB" w14:paraId="7326C36D" w14:textId="77777777">
        <w:trPr>
          <w:trHeight w:val="240"/>
        </w:trPr>
        <w:tc>
          <w:tcPr>
            <w:tcW w:w="6627" w:type="dxa"/>
            <w:shd w:val="clear" w:color="auto" w:fill="CCEDFF"/>
          </w:tcPr>
          <w:p w14:paraId="7326C369" w14:textId="77777777" w:rsidR="00EF3DFB" w:rsidRDefault="00D27C17">
            <w:pPr>
              <w:pStyle w:val="TableParagraph"/>
              <w:ind w:left="52"/>
              <w:rPr>
                <w:sz w:val="18"/>
              </w:rPr>
            </w:pPr>
            <w:r>
              <w:rPr>
                <w:sz w:val="18"/>
              </w:rPr>
              <w:t>Payments on current portion of long-term debt</w:t>
            </w:r>
          </w:p>
        </w:tc>
        <w:tc>
          <w:tcPr>
            <w:tcW w:w="1499" w:type="dxa"/>
            <w:shd w:val="clear" w:color="auto" w:fill="CCEDFF"/>
          </w:tcPr>
          <w:p w14:paraId="7326C36A" w14:textId="77777777" w:rsidR="00EF3DFB" w:rsidRDefault="00D27C17">
            <w:pPr>
              <w:pStyle w:val="TableParagraph"/>
              <w:ind w:right="68"/>
              <w:jc w:val="right"/>
              <w:rPr>
                <w:sz w:val="18"/>
              </w:rPr>
            </w:pPr>
            <w:r>
              <w:rPr>
                <w:sz w:val="18"/>
              </w:rPr>
              <w:t>(305)</w:t>
            </w:r>
          </w:p>
        </w:tc>
        <w:tc>
          <w:tcPr>
            <w:tcW w:w="1275" w:type="dxa"/>
            <w:shd w:val="clear" w:color="auto" w:fill="CCEDFF"/>
          </w:tcPr>
          <w:p w14:paraId="7326C36B" w14:textId="77777777" w:rsidR="00EF3DFB" w:rsidRDefault="00D27C17">
            <w:pPr>
              <w:pStyle w:val="TableParagraph"/>
              <w:ind w:right="68"/>
              <w:jc w:val="right"/>
              <w:rPr>
                <w:sz w:val="18"/>
              </w:rPr>
            </w:pPr>
            <w:r>
              <w:rPr>
                <w:sz w:val="18"/>
              </w:rPr>
              <w:t>(268)</w:t>
            </w:r>
          </w:p>
        </w:tc>
        <w:tc>
          <w:tcPr>
            <w:tcW w:w="1219" w:type="dxa"/>
            <w:shd w:val="clear" w:color="auto" w:fill="CCEDFF"/>
          </w:tcPr>
          <w:p w14:paraId="7326C36C" w14:textId="77777777" w:rsidR="00EF3DFB" w:rsidRDefault="00D27C17">
            <w:pPr>
              <w:pStyle w:val="TableParagraph"/>
              <w:ind w:right="72"/>
              <w:jc w:val="right"/>
              <w:rPr>
                <w:sz w:val="18"/>
              </w:rPr>
            </w:pPr>
            <w:r>
              <w:rPr>
                <w:sz w:val="18"/>
              </w:rPr>
              <w:t>—</w:t>
            </w:r>
          </w:p>
        </w:tc>
      </w:tr>
      <w:tr w:rsidR="00EF3DFB" w14:paraId="7326C372" w14:textId="77777777">
        <w:trPr>
          <w:trHeight w:val="240"/>
        </w:trPr>
        <w:tc>
          <w:tcPr>
            <w:tcW w:w="6627" w:type="dxa"/>
          </w:tcPr>
          <w:p w14:paraId="7326C36E" w14:textId="77777777" w:rsidR="00EF3DFB" w:rsidRDefault="00D27C17">
            <w:pPr>
              <w:pStyle w:val="TableParagraph"/>
              <w:ind w:left="52"/>
              <w:rPr>
                <w:sz w:val="18"/>
              </w:rPr>
            </w:pPr>
            <w:r>
              <w:rPr>
                <w:sz w:val="18"/>
              </w:rPr>
              <w:t>Payments on long-term debt</w:t>
            </w:r>
          </w:p>
        </w:tc>
        <w:tc>
          <w:tcPr>
            <w:tcW w:w="1499" w:type="dxa"/>
          </w:tcPr>
          <w:p w14:paraId="7326C36F" w14:textId="77777777" w:rsidR="00EF3DFB" w:rsidRDefault="00D27C17">
            <w:pPr>
              <w:pStyle w:val="TableParagraph"/>
              <w:ind w:right="68"/>
              <w:jc w:val="right"/>
              <w:rPr>
                <w:sz w:val="18"/>
              </w:rPr>
            </w:pPr>
            <w:r>
              <w:rPr>
                <w:sz w:val="18"/>
              </w:rPr>
              <w:t>(320)</w:t>
            </w:r>
          </w:p>
        </w:tc>
        <w:tc>
          <w:tcPr>
            <w:tcW w:w="1275" w:type="dxa"/>
          </w:tcPr>
          <w:p w14:paraId="7326C370" w14:textId="77777777" w:rsidR="00EF3DFB" w:rsidRDefault="00D27C17">
            <w:pPr>
              <w:pStyle w:val="TableParagraph"/>
              <w:ind w:right="68"/>
              <w:jc w:val="right"/>
              <w:rPr>
                <w:sz w:val="18"/>
              </w:rPr>
            </w:pPr>
            <w:r>
              <w:rPr>
                <w:sz w:val="18"/>
              </w:rPr>
              <w:t>(1,004)</w:t>
            </w:r>
          </w:p>
        </w:tc>
        <w:tc>
          <w:tcPr>
            <w:tcW w:w="1219" w:type="dxa"/>
          </w:tcPr>
          <w:p w14:paraId="7326C371" w14:textId="77777777" w:rsidR="00EF3DFB" w:rsidRDefault="00D27C17">
            <w:pPr>
              <w:pStyle w:val="TableParagraph"/>
              <w:ind w:right="12"/>
              <w:jc w:val="right"/>
              <w:rPr>
                <w:sz w:val="18"/>
              </w:rPr>
            </w:pPr>
            <w:r>
              <w:rPr>
                <w:sz w:val="18"/>
              </w:rPr>
              <w:t>(2,580)</w:t>
            </w:r>
          </w:p>
        </w:tc>
      </w:tr>
      <w:tr w:rsidR="00EF3DFB" w14:paraId="7326C377" w14:textId="77777777">
        <w:trPr>
          <w:trHeight w:val="240"/>
        </w:trPr>
        <w:tc>
          <w:tcPr>
            <w:tcW w:w="6627" w:type="dxa"/>
            <w:shd w:val="clear" w:color="auto" w:fill="CCEDFF"/>
          </w:tcPr>
          <w:p w14:paraId="7326C373" w14:textId="77777777" w:rsidR="00EF3DFB" w:rsidRDefault="00D27C17">
            <w:pPr>
              <w:pStyle w:val="TableParagraph"/>
              <w:ind w:left="52"/>
              <w:rPr>
                <w:sz w:val="18"/>
              </w:rPr>
            </w:pPr>
            <w:r>
              <w:rPr>
                <w:sz w:val="18"/>
              </w:rPr>
              <w:t>Debt extinguishment and issuance costs</w:t>
            </w:r>
          </w:p>
        </w:tc>
        <w:tc>
          <w:tcPr>
            <w:tcW w:w="1499" w:type="dxa"/>
            <w:shd w:val="clear" w:color="auto" w:fill="CCEDFF"/>
          </w:tcPr>
          <w:p w14:paraId="7326C374" w14:textId="77777777" w:rsidR="00EF3DFB" w:rsidRDefault="00D27C17">
            <w:pPr>
              <w:pStyle w:val="TableParagraph"/>
              <w:ind w:right="68"/>
              <w:jc w:val="right"/>
              <w:rPr>
                <w:sz w:val="18"/>
              </w:rPr>
            </w:pPr>
            <w:r>
              <w:rPr>
                <w:sz w:val="18"/>
              </w:rPr>
              <w:t>(18)</w:t>
            </w:r>
          </w:p>
        </w:tc>
        <w:tc>
          <w:tcPr>
            <w:tcW w:w="1275" w:type="dxa"/>
            <w:shd w:val="clear" w:color="auto" w:fill="CCEDFF"/>
          </w:tcPr>
          <w:p w14:paraId="7326C375" w14:textId="77777777" w:rsidR="00EF3DFB" w:rsidRDefault="00D27C17">
            <w:pPr>
              <w:pStyle w:val="TableParagraph"/>
              <w:ind w:right="68"/>
              <w:jc w:val="right"/>
              <w:rPr>
                <w:sz w:val="18"/>
              </w:rPr>
            </w:pPr>
            <w:r>
              <w:rPr>
                <w:sz w:val="18"/>
              </w:rPr>
              <w:t>(39)</w:t>
            </w:r>
          </w:p>
        </w:tc>
        <w:tc>
          <w:tcPr>
            <w:tcW w:w="1219" w:type="dxa"/>
            <w:shd w:val="clear" w:color="auto" w:fill="CCEDFF"/>
          </w:tcPr>
          <w:p w14:paraId="7326C376" w14:textId="77777777" w:rsidR="00EF3DFB" w:rsidRDefault="00D27C17">
            <w:pPr>
              <w:pStyle w:val="TableParagraph"/>
              <w:ind w:right="12"/>
              <w:jc w:val="right"/>
              <w:rPr>
                <w:sz w:val="18"/>
              </w:rPr>
            </w:pPr>
            <w:r>
              <w:rPr>
                <w:sz w:val="18"/>
              </w:rPr>
              <w:t>(10)</w:t>
            </w:r>
          </w:p>
        </w:tc>
      </w:tr>
      <w:tr w:rsidR="00EF3DFB" w14:paraId="7326C37C" w14:textId="77777777">
        <w:trPr>
          <w:trHeight w:val="240"/>
        </w:trPr>
        <w:tc>
          <w:tcPr>
            <w:tcW w:w="6627" w:type="dxa"/>
          </w:tcPr>
          <w:p w14:paraId="7326C378" w14:textId="77777777" w:rsidR="00EF3DFB" w:rsidRDefault="00D27C17">
            <w:pPr>
              <w:pStyle w:val="TableParagraph"/>
              <w:ind w:left="52"/>
              <w:rPr>
                <w:sz w:val="18"/>
              </w:rPr>
            </w:pPr>
            <w:r>
              <w:rPr>
                <w:sz w:val="18"/>
              </w:rPr>
              <w:t>Repurchase of shares of common stock</w:t>
            </w:r>
          </w:p>
        </w:tc>
        <w:tc>
          <w:tcPr>
            <w:tcW w:w="1499" w:type="dxa"/>
          </w:tcPr>
          <w:p w14:paraId="7326C379" w14:textId="77777777" w:rsidR="00EF3DFB" w:rsidRDefault="00D27C17">
            <w:pPr>
              <w:pStyle w:val="TableParagraph"/>
              <w:ind w:right="128"/>
              <w:jc w:val="right"/>
              <w:rPr>
                <w:sz w:val="18"/>
              </w:rPr>
            </w:pPr>
            <w:r>
              <w:rPr>
                <w:sz w:val="18"/>
              </w:rPr>
              <w:t>—</w:t>
            </w:r>
          </w:p>
        </w:tc>
        <w:tc>
          <w:tcPr>
            <w:tcW w:w="1275" w:type="dxa"/>
          </w:tcPr>
          <w:p w14:paraId="7326C37A" w14:textId="77777777" w:rsidR="00EF3DFB" w:rsidRDefault="00D27C17">
            <w:pPr>
              <w:pStyle w:val="TableParagraph"/>
              <w:ind w:right="128"/>
              <w:jc w:val="right"/>
              <w:rPr>
                <w:sz w:val="18"/>
              </w:rPr>
            </w:pPr>
            <w:r>
              <w:rPr>
                <w:sz w:val="18"/>
              </w:rPr>
              <w:t>—</w:t>
            </w:r>
          </w:p>
        </w:tc>
        <w:tc>
          <w:tcPr>
            <w:tcW w:w="1219" w:type="dxa"/>
          </w:tcPr>
          <w:p w14:paraId="7326C37B" w14:textId="77777777" w:rsidR="00EF3DFB" w:rsidRDefault="00D27C17">
            <w:pPr>
              <w:pStyle w:val="TableParagraph"/>
              <w:ind w:right="12"/>
              <w:jc w:val="right"/>
              <w:rPr>
                <w:sz w:val="18"/>
              </w:rPr>
            </w:pPr>
            <w:r>
              <w:rPr>
                <w:sz w:val="18"/>
              </w:rPr>
              <w:t>(1,507)</w:t>
            </w:r>
          </w:p>
        </w:tc>
      </w:tr>
      <w:tr w:rsidR="00EF3DFB" w14:paraId="7326C381" w14:textId="77777777">
        <w:trPr>
          <w:trHeight w:val="240"/>
        </w:trPr>
        <w:tc>
          <w:tcPr>
            <w:tcW w:w="6627" w:type="dxa"/>
            <w:shd w:val="clear" w:color="auto" w:fill="CCEDFF"/>
          </w:tcPr>
          <w:p w14:paraId="7326C37D" w14:textId="77777777" w:rsidR="00EF3DFB" w:rsidRDefault="00D27C17">
            <w:pPr>
              <w:pStyle w:val="TableParagraph"/>
              <w:ind w:left="52"/>
              <w:rPr>
                <w:sz w:val="18"/>
              </w:rPr>
            </w:pPr>
            <w:r>
              <w:rPr>
                <w:sz w:val="18"/>
              </w:rPr>
              <w:t>Cash dividends</w:t>
            </w:r>
          </w:p>
        </w:tc>
        <w:tc>
          <w:tcPr>
            <w:tcW w:w="1499" w:type="dxa"/>
            <w:shd w:val="clear" w:color="auto" w:fill="CCEDFF"/>
          </w:tcPr>
          <w:p w14:paraId="7326C37E" w14:textId="77777777" w:rsidR="00EF3DFB" w:rsidRDefault="00D27C17">
            <w:pPr>
              <w:pStyle w:val="TableParagraph"/>
              <w:ind w:right="68"/>
              <w:jc w:val="right"/>
              <w:rPr>
                <w:sz w:val="18"/>
              </w:rPr>
            </w:pPr>
            <w:r>
              <w:rPr>
                <w:sz w:val="18"/>
              </w:rPr>
              <w:t>(392)</w:t>
            </w:r>
          </w:p>
        </w:tc>
        <w:tc>
          <w:tcPr>
            <w:tcW w:w="1275" w:type="dxa"/>
            <w:shd w:val="clear" w:color="auto" w:fill="CCEDFF"/>
          </w:tcPr>
          <w:p w14:paraId="7326C37F" w14:textId="77777777" w:rsidR="00EF3DFB" w:rsidRDefault="00D27C17">
            <w:pPr>
              <w:pStyle w:val="TableParagraph"/>
              <w:ind w:right="68"/>
              <w:jc w:val="right"/>
              <w:rPr>
                <w:sz w:val="18"/>
              </w:rPr>
            </w:pPr>
            <w:r>
              <w:rPr>
                <w:sz w:val="18"/>
              </w:rPr>
              <w:t>(391)</w:t>
            </w:r>
          </w:p>
        </w:tc>
        <w:tc>
          <w:tcPr>
            <w:tcW w:w="1219" w:type="dxa"/>
            <w:shd w:val="clear" w:color="auto" w:fill="CCEDFF"/>
          </w:tcPr>
          <w:p w14:paraId="7326C380" w14:textId="77777777" w:rsidR="00EF3DFB" w:rsidRDefault="00D27C17">
            <w:pPr>
              <w:pStyle w:val="TableParagraph"/>
              <w:ind w:right="12"/>
              <w:jc w:val="right"/>
              <w:rPr>
                <w:sz w:val="18"/>
              </w:rPr>
            </w:pPr>
            <w:r>
              <w:rPr>
                <w:sz w:val="18"/>
              </w:rPr>
              <w:t>(435)</w:t>
            </w:r>
          </w:p>
        </w:tc>
      </w:tr>
      <w:tr w:rsidR="00EF3DFB" w14:paraId="7326C386" w14:textId="77777777">
        <w:trPr>
          <w:trHeight w:val="240"/>
        </w:trPr>
        <w:tc>
          <w:tcPr>
            <w:tcW w:w="6627" w:type="dxa"/>
          </w:tcPr>
          <w:p w14:paraId="7326C382" w14:textId="77777777" w:rsidR="00EF3DFB" w:rsidRDefault="00D27C17">
            <w:pPr>
              <w:pStyle w:val="TableParagraph"/>
              <w:ind w:left="52"/>
              <w:rPr>
                <w:sz w:val="18"/>
              </w:rPr>
            </w:pPr>
            <w:r>
              <w:rPr>
                <w:sz w:val="18"/>
              </w:rPr>
              <w:t>Payments to dissenting shareholders</w:t>
            </w:r>
          </w:p>
        </w:tc>
        <w:tc>
          <w:tcPr>
            <w:tcW w:w="1499" w:type="dxa"/>
          </w:tcPr>
          <w:p w14:paraId="7326C383" w14:textId="77777777" w:rsidR="00EF3DFB" w:rsidRDefault="00D27C17">
            <w:pPr>
              <w:pStyle w:val="TableParagraph"/>
              <w:ind w:right="128"/>
              <w:jc w:val="right"/>
              <w:rPr>
                <w:sz w:val="18"/>
              </w:rPr>
            </w:pPr>
            <w:r>
              <w:rPr>
                <w:sz w:val="18"/>
              </w:rPr>
              <w:t>—</w:t>
            </w:r>
          </w:p>
        </w:tc>
        <w:tc>
          <w:tcPr>
            <w:tcW w:w="1275" w:type="dxa"/>
          </w:tcPr>
          <w:p w14:paraId="7326C384" w14:textId="77777777" w:rsidR="00EF3DFB" w:rsidRDefault="00D27C17">
            <w:pPr>
              <w:pStyle w:val="TableParagraph"/>
              <w:ind w:right="68"/>
              <w:jc w:val="right"/>
              <w:rPr>
                <w:sz w:val="18"/>
              </w:rPr>
            </w:pPr>
            <w:r>
              <w:rPr>
                <w:sz w:val="18"/>
              </w:rPr>
              <w:t>(171)</w:t>
            </w:r>
          </w:p>
        </w:tc>
        <w:tc>
          <w:tcPr>
            <w:tcW w:w="1219" w:type="dxa"/>
          </w:tcPr>
          <w:p w14:paraId="7326C385" w14:textId="77777777" w:rsidR="00EF3DFB" w:rsidRDefault="00D27C17">
            <w:pPr>
              <w:pStyle w:val="TableParagraph"/>
              <w:ind w:right="72"/>
              <w:jc w:val="right"/>
              <w:rPr>
                <w:sz w:val="18"/>
              </w:rPr>
            </w:pPr>
            <w:r>
              <w:rPr>
                <w:sz w:val="18"/>
              </w:rPr>
              <w:t>—</w:t>
            </w:r>
          </w:p>
        </w:tc>
      </w:tr>
      <w:tr w:rsidR="00EF3DFB" w14:paraId="7326C38B" w14:textId="77777777">
        <w:trPr>
          <w:trHeight w:val="230"/>
        </w:trPr>
        <w:tc>
          <w:tcPr>
            <w:tcW w:w="6627" w:type="dxa"/>
            <w:shd w:val="clear" w:color="auto" w:fill="CCEDFF"/>
          </w:tcPr>
          <w:p w14:paraId="7326C387" w14:textId="77777777" w:rsidR="00EF3DFB" w:rsidRDefault="00D27C17">
            <w:pPr>
              <w:pStyle w:val="TableParagraph"/>
              <w:ind w:left="52"/>
              <w:rPr>
                <w:sz w:val="18"/>
              </w:rPr>
            </w:pPr>
            <w:r>
              <w:rPr>
                <w:sz w:val="18"/>
              </w:rPr>
              <w:t>Equity compensation activity and other, net</w:t>
            </w:r>
          </w:p>
        </w:tc>
        <w:tc>
          <w:tcPr>
            <w:tcW w:w="1499" w:type="dxa"/>
            <w:tcBorders>
              <w:bottom w:val="single" w:sz="8" w:space="0" w:color="000000"/>
            </w:tcBorders>
            <w:shd w:val="clear" w:color="auto" w:fill="CCEDFF"/>
          </w:tcPr>
          <w:p w14:paraId="7326C388" w14:textId="77777777" w:rsidR="00EF3DFB" w:rsidRDefault="00D27C17">
            <w:pPr>
              <w:pStyle w:val="TableParagraph"/>
              <w:ind w:right="128"/>
              <w:jc w:val="right"/>
              <w:rPr>
                <w:sz w:val="18"/>
              </w:rPr>
            </w:pPr>
            <w:r>
              <w:rPr>
                <w:sz w:val="18"/>
              </w:rPr>
              <w:t>11</w:t>
            </w:r>
          </w:p>
        </w:tc>
        <w:tc>
          <w:tcPr>
            <w:tcW w:w="1275" w:type="dxa"/>
            <w:tcBorders>
              <w:bottom w:val="single" w:sz="8" w:space="0" w:color="000000"/>
            </w:tcBorders>
            <w:shd w:val="clear" w:color="auto" w:fill="CCEDFF"/>
          </w:tcPr>
          <w:p w14:paraId="7326C389" w14:textId="77777777" w:rsidR="00EF3DFB" w:rsidRDefault="00D27C17">
            <w:pPr>
              <w:pStyle w:val="TableParagraph"/>
              <w:ind w:right="68"/>
              <w:jc w:val="right"/>
              <w:rPr>
                <w:sz w:val="18"/>
              </w:rPr>
            </w:pPr>
            <w:r>
              <w:rPr>
                <w:sz w:val="18"/>
              </w:rPr>
              <w:t>(5)</w:t>
            </w:r>
          </w:p>
        </w:tc>
        <w:tc>
          <w:tcPr>
            <w:tcW w:w="1219" w:type="dxa"/>
            <w:tcBorders>
              <w:bottom w:val="single" w:sz="8" w:space="0" w:color="000000"/>
            </w:tcBorders>
            <w:shd w:val="clear" w:color="auto" w:fill="CCEDFF"/>
          </w:tcPr>
          <w:p w14:paraId="7326C38A" w14:textId="77777777" w:rsidR="00EF3DFB" w:rsidRDefault="00D27C17">
            <w:pPr>
              <w:pStyle w:val="TableParagraph"/>
              <w:ind w:right="12"/>
              <w:jc w:val="right"/>
              <w:rPr>
                <w:sz w:val="18"/>
              </w:rPr>
            </w:pPr>
            <w:r>
              <w:rPr>
                <w:sz w:val="18"/>
              </w:rPr>
              <w:t>(18)</w:t>
            </w:r>
          </w:p>
        </w:tc>
      </w:tr>
      <w:tr w:rsidR="00EF3DFB" w14:paraId="7326C390" w14:textId="77777777">
        <w:trPr>
          <w:trHeight w:val="230"/>
        </w:trPr>
        <w:tc>
          <w:tcPr>
            <w:tcW w:w="6627" w:type="dxa"/>
          </w:tcPr>
          <w:p w14:paraId="7326C38C" w14:textId="77777777" w:rsidR="00EF3DFB" w:rsidRDefault="00D27C17">
            <w:pPr>
              <w:pStyle w:val="TableParagraph"/>
              <w:spacing w:line="197" w:lineRule="exact"/>
              <w:ind w:left="52"/>
              <w:rPr>
                <w:sz w:val="18"/>
              </w:rPr>
            </w:pPr>
            <w:r>
              <w:rPr>
                <w:sz w:val="18"/>
              </w:rPr>
              <w:t>Net cash used in financing activities</w:t>
            </w:r>
          </w:p>
        </w:tc>
        <w:tc>
          <w:tcPr>
            <w:tcW w:w="1499" w:type="dxa"/>
            <w:tcBorders>
              <w:top w:val="single" w:sz="8" w:space="0" w:color="000000"/>
            </w:tcBorders>
          </w:tcPr>
          <w:p w14:paraId="7326C38D" w14:textId="77777777" w:rsidR="00EF3DFB" w:rsidRDefault="00D27C17">
            <w:pPr>
              <w:pStyle w:val="TableParagraph"/>
              <w:spacing w:line="197" w:lineRule="exact"/>
              <w:ind w:right="68"/>
              <w:jc w:val="right"/>
              <w:rPr>
                <w:sz w:val="18"/>
              </w:rPr>
            </w:pPr>
            <w:r>
              <w:rPr>
                <w:sz w:val="18"/>
              </w:rPr>
              <w:t>(559)</w:t>
            </w:r>
          </w:p>
        </w:tc>
        <w:tc>
          <w:tcPr>
            <w:tcW w:w="1275" w:type="dxa"/>
            <w:tcBorders>
              <w:top w:val="single" w:sz="8" w:space="0" w:color="000000"/>
            </w:tcBorders>
          </w:tcPr>
          <w:p w14:paraId="7326C38E" w14:textId="77777777" w:rsidR="00EF3DFB" w:rsidRDefault="00D27C17">
            <w:pPr>
              <w:pStyle w:val="TableParagraph"/>
              <w:spacing w:line="197" w:lineRule="exact"/>
              <w:ind w:right="68"/>
              <w:jc w:val="right"/>
              <w:rPr>
                <w:sz w:val="18"/>
              </w:rPr>
            </w:pPr>
            <w:r>
              <w:rPr>
                <w:sz w:val="18"/>
              </w:rPr>
              <w:t>(1,904)</w:t>
            </w:r>
          </w:p>
        </w:tc>
        <w:tc>
          <w:tcPr>
            <w:tcW w:w="1219" w:type="dxa"/>
            <w:tcBorders>
              <w:top w:val="single" w:sz="8" w:space="0" w:color="000000"/>
            </w:tcBorders>
          </w:tcPr>
          <w:p w14:paraId="7326C38F" w14:textId="77777777" w:rsidR="00EF3DFB" w:rsidRDefault="00D27C17">
            <w:pPr>
              <w:pStyle w:val="TableParagraph"/>
              <w:spacing w:line="197" w:lineRule="exact"/>
              <w:ind w:right="12"/>
              <w:jc w:val="right"/>
              <w:rPr>
                <w:sz w:val="18"/>
              </w:rPr>
            </w:pPr>
            <w:r>
              <w:rPr>
                <w:sz w:val="18"/>
              </w:rPr>
              <w:t>(5,454)</w:t>
            </w:r>
          </w:p>
        </w:tc>
      </w:tr>
      <w:tr w:rsidR="00EF3DFB" w14:paraId="7326C395" w14:textId="77777777">
        <w:trPr>
          <w:trHeight w:val="230"/>
        </w:trPr>
        <w:tc>
          <w:tcPr>
            <w:tcW w:w="6627" w:type="dxa"/>
            <w:shd w:val="clear" w:color="auto" w:fill="CCEDFF"/>
          </w:tcPr>
          <w:p w14:paraId="7326C391" w14:textId="77777777" w:rsidR="00EF3DFB" w:rsidRDefault="00D27C17">
            <w:pPr>
              <w:pStyle w:val="TableParagraph"/>
              <w:ind w:left="52"/>
              <w:rPr>
                <w:sz w:val="18"/>
              </w:rPr>
            </w:pPr>
            <w:r>
              <w:rPr>
                <w:sz w:val="18"/>
              </w:rPr>
              <w:t>Exchange rate effect on cash, cash equivalents and restricted cash</w:t>
            </w:r>
          </w:p>
        </w:tc>
        <w:tc>
          <w:tcPr>
            <w:tcW w:w="1499" w:type="dxa"/>
            <w:tcBorders>
              <w:bottom w:val="single" w:sz="8" w:space="0" w:color="000000"/>
            </w:tcBorders>
            <w:shd w:val="clear" w:color="auto" w:fill="CCEDFF"/>
          </w:tcPr>
          <w:p w14:paraId="7326C392" w14:textId="77777777" w:rsidR="00EF3DFB" w:rsidRDefault="00D27C17">
            <w:pPr>
              <w:pStyle w:val="TableParagraph"/>
              <w:ind w:right="128"/>
              <w:jc w:val="right"/>
              <w:rPr>
                <w:sz w:val="18"/>
              </w:rPr>
            </w:pPr>
            <w:r>
              <w:rPr>
                <w:sz w:val="18"/>
              </w:rPr>
              <w:t>5</w:t>
            </w:r>
          </w:p>
        </w:tc>
        <w:tc>
          <w:tcPr>
            <w:tcW w:w="1275" w:type="dxa"/>
            <w:tcBorders>
              <w:bottom w:val="single" w:sz="8" w:space="0" w:color="000000"/>
            </w:tcBorders>
            <w:shd w:val="clear" w:color="auto" w:fill="CCEDFF"/>
          </w:tcPr>
          <w:p w14:paraId="7326C393" w14:textId="77777777" w:rsidR="00EF3DFB" w:rsidRDefault="00D27C17">
            <w:pPr>
              <w:pStyle w:val="TableParagraph"/>
              <w:ind w:right="68"/>
              <w:jc w:val="right"/>
              <w:rPr>
                <w:sz w:val="18"/>
              </w:rPr>
            </w:pPr>
            <w:r>
              <w:rPr>
                <w:sz w:val="18"/>
              </w:rPr>
              <w:t>(1)</w:t>
            </w:r>
          </w:p>
        </w:tc>
        <w:tc>
          <w:tcPr>
            <w:tcW w:w="1219" w:type="dxa"/>
            <w:tcBorders>
              <w:bottom w:val="single" w:sz="8" w:space="0" w:color="000000"/>
            </w:tcBorders>
            <w:shd w:val="clear" w:color="auto" w:fill="CCEDFF"/>
          </w:tcPr>
          <w:p w14:paraId="7326C394" w14:textId="77777777" w:rsidR="00EF3DFB" w:rsidRDefault="00D27C17">
            <w:pPr>
              <w:pStyle w:val="TableParagraph"/>
              <w:ind w:right="12"/>
              <w:jc w:val="right"/>
              <w:rPr>
                <w:sz w:val="18"/>
              </w:rPr>
            </w:pPr>
            <w:r>
              <w:rPr>
                <w:sz w:val="18"/>
              </w:rPr>
              <w:t>(23)</w:t>
            </w:r>
          </w:p>
        </w:tc>
      </w:tr>
      <w:tr w:rsidR="00EF3DFB" w14:paraId="7326C39A" w14:textId="77777777">
        <w:trPr>
          <w:trHeight w:val="230"/>
        </w:trPr>
        <w:tc>
          <w:tcPr>
            <w:tcW w:w="6627" w:type="dxa"/>
          </w:tcPr>
          <w:p w14:paraId="7326C396" w14:textId="77777777" w:rsidR="00EF3DFB" w:rsidRDefault="00D27C17">
            <w:pPr>
              <w:pStyle w:val="TableParagraph"/>
              <w:spacing w:line="197" w:lineRule="exact"/>
              <w:ind w:left="52"/>
              <w:rPr>
                <w:sz w:val="18"/>
              </w:rPr>
            </w:pPr>
            <w:r>
              <w:rPr>
                <w:sz w:val="18"/>
              </w:rPr>
              <w:t>Increase (decrease) in cash, cash equivalents and restricted cash</w:t>
            </w:r>
          </w:p>
        </w:tc>
        <w:tc>
          <w:tcPr>
            <w:tcW w:w="1499" w:type="dxa"/>
            <w:tcBorders>
              <w:top w:val="single" w:sz="8" w:space="0" w:color="000000"/>
            </w:tcBorders>
          </w:tcPr>
          <w:p w14:paraId="7326C397" w14:textId="77777777" w:rsidR="00EF3DFB" w:rsidRDefault="00D27C17">
            <w:pPr>
              <w:pStyle w:val="TableParagraph"/>
              <w:spacing w:line="197" w:lineRule="exact"/>
              <w:ind w:right="128"/>
              <w:jc w:val="right"/>
              <w:rPr>
                <w:sz w:val="18"/>
              </w:rPr>
            </w:pPr>
            <w:r>
              <w:rPr>
                <w:sz w:val="18"/>
              </w:rPr>
              <w:t>650</w:t>
            </w:r>
          </w:p>
        </w:tc>
        <w:tc>
          <w:tcPr>
            <w:tcW w:w="1275" w:type="dxa"/>
            <w:tcBorders>
              <w:top w:val="single" w:sz="8" w:space="0" w:color="000000"/>
            </w:tcBorders>
          </w:tcPr>
          <w:p w14:paraId="7326C398" w14:textId="77777777" w:rsidR="00EF3DFB" w:rsidRDefault="00D27C17">
            <w:pPr>
              <w:pStyle w:val="TableParagraph"/>
              <w:spacing w:line="197" w:lineRule="exact"/>
              <w:ind w:right="68"/>
              <w:jc w:val="right"/>
              <w:rPr>
                <w:sz w:val="18"/>
              </w:rPr>
            </w:pPr>
            <w:r>
              <w:rPr>
                <w:sz w:val="18"/>
              </w:rPr>
              <w:t>(125)</w:t>
            </w:r>
          </w:p>
        </w:tc>
        <w:tc>
          <w:tcPr>
            <w:tcW w:w="1219" w:type="dxa"/>
            <w:tcBorders>
              <w:top w:val="single" w:sz="8" w:space="0" w:color="000000"/>
            </w:tcBorders>
          </w:tcPr>
          <w:p w14:paraId="7326C399" w14:textId="77777777" w:rsidR="00EF3DFB" w:rsidRDefault="00D27C17">
            <w:pPr>
              <w:pStyle w:val="TableParagraph"/>
              <w:spacing w:line="197" w:lineRule="exact"/>
              <w:ind w:right="72"/>
              <w:jc w:val="right"/>
              <w:rPr>
                <w:sz w:val="18"/>
              </w:rPr>
            </w:pPr>
            <w:r>
              <w:rPr>
                <w:sz w:val="18"/>
              </w:rPr>
              <w:t>10</w:t>
            </w:r>
          </w:p>
        </w:tc>
      </w:tr>
      <w:tr w:rsidR="00EF3DFB" w14:paraId="7326C39F" w14:textId="77777777">
        <w:trPr>
          <w:trHeight w:val="230"/>
        </w:trPr>
        <w:tc>
          <w:tcPr>
            <w:tcW w:w="6627" w:type="dxa"/>
            <w:shd w:val="clear" w:color="auto" w:fill="CCEDFF"/>
          </w:tcPr>
          <w:p w14:paraId="7326C39B" w14:textId="77777777" w:rsidR="00EF3DFB" w:rsidRDefault="00D27C17">
            <w:pPr>
              <w:pStyle w:val="TableParagraph"/>
              <w:ind w:left="52"/>
              <w:rPr>
                <w:sz w:val="18"/>
              </w:rPr>
            </w:pPr>
            <w:r>
              <w:rPr>
                <w:sz w:val="18"/>
              </w:rPr>
              <w:t>Cash, cash equivalents and restricted cash at beginning of period</w:t>
            </w:r>
          </w:p>
        </w:tc>
        <w:tc>
          <w:tcPr>
            <w:tcW w:w="1499" w:type="dxa"/>
            <w:tcBorders>
              <w:bottom w:val="single" w:sz="8" w:space="0" w:color="000000"/>
            </w:tcBorders>
            <w:shd w:val="clear" w:color="auto" w:fill="CCEDFF"/>
          </w:tcPr>
          <w:p w14:paraId="7326C39C" w14:textId="77777777" w:rsidR="00EF3DFB" w:rsidRDefault="00D27C17">
            <w:pPr>
              <w:pStyle w:val="TableParagraph"/>
              <w:ind w:right="128"/>
              <w:jc w:val="right"/>
              <w:rPr>
                <w:sz w:val="18"/>
              </w:rPr>
            </w:pPr>
            <w:r>
              <w:rPr>
                <w:sz w:val="18"/>
              </w:rPr>
              <w:t>371</w:t>
            </w:r>
          </w:p>
        </w:tc>
        <w:tc>
          <w:tcPr>
            <w:tcW w:w="1275" w:type="dxa"/>
            <w:tcBorders>
              <w:bottom w:val="single" w:sz="8" w:space="0" w:color="000000"/>
            </w:tcBorders>
            <w:shd w:val="clear" w:color="auto" w:fill="CCEDFF"/>
          </w:tcPr>
          <w:p w14:paraId="7326C39D" w14:textId="77777777" w:rsidR="00EF3DFB" w:rsidRDefault="00D27C17">
            <w:pPr>
              <w:pStyle w:val="TableParagraph"/>
              <w:ind w:right="128"/>
              <w:jc w:val="right"/>
              <w:rPr>
                <w:sz w:val="18"/>
              </w:rPr>
            </w:pPr>
            <w:r>
              <w:rPr>
                <w:sz w:val="18"/>
              </w:rPr>
              <w:t>496</w:t>
            </w:r>
          </w:p>
        </w:tc>
        <w:tc>
          <w:tcPr>
            <w:tcW w:w="1219" w:type="dxa"/>
            <w:tcBorders>
              <w:bottom w:val="single" w:sz="8" w:space="0" w:color="000000"/>
            </w:tcBorders>
            <w:shd w:val="clear" w:color="auto" w:fill="CCEDFF"/>
          </w:tcPr>
          <w:p w14:paraId="7326C39E" w14:textId="77777777" w:rsidR="00EF3DFB" w:rsidRDefault="00D27C17">
            <w:pPr>
              <w:pStyle w:val="TableParagraph"/>
              <w:ind w:right="72"/>
              <w:jc w:val="right"/>
              <w:rPr>
                <w:sz w:val="18"/>
              </w:rPr>
            </w:pPr>
            <w:r>
              <w:rPr>
                <w:sz w:val="18"/>
              </w:rPr>
              <w:t>486</w:t>
            </w:r>
          </w:p>
        </w:tc>
      </w:tr>
      <w:tr w:rsidR="00EF3DFB" w14:paraId="7326C3A4" w14:textId="77777777">
        <w:trPr>
          <w:trHeight w:val="230"/>
        </w:trPr>
        <w:tc>
          <w:tcPr>
            <w:tcW w:w="6627" w:type="dxa"/>
          </w:tcPr>
          <w:p w14:paraId="7326C3A0" w14:textId="77777777" w:rsidR="00EF3DFB" w:rsidRDefault="00D27C17">
            <w:pPr>
              <w:pStyle w:val="TableParagraph"/>
              <w:spacing w:line="197" w:lineRule="exact"/>
              <w:ind w:left="52"/>
              <w:rPr>
                <w:b/>
                <w:sz w:val="18"/>
              </w:rPr>
            </w:pPr>
            <w:r>
              <w:rPr>
                <w:b/>
                <w:sz w:val="18"/>
              </w:rPr>
              <w:t>Cash, cash equivalents and restricted cash at end of period</w:t>
            </w:r>
          </w:p>
        </w:tc>
        <w:tc>
          <w:tcPr>
            <w:tcW w:w="1499" w:type="dxa"/>
            <w:tcBorders>
              <w:top w:val="single" w:sz="8" w:space="0" w:color="000000"/>
              <w:bottom w:val="single" w:sz="8" w:space="0" w:color="000000"/>
            </w:tcBorders>
          </w:tcPr>
          <w:p w14:paraId="7326C3A1" w14:textId="77777777" w:rsidR="00EF3DFB" w:rsidRDefault="00D27C17">
            <w:pPr>
              <w:pStyle w:val="TableParagraph"/>
              <w:tabs>
                <w:tab w:val="left" w:pos="667"/>
              </w:tabs>
              <w:spacing w:line="197" w:lineRule="exact"/>
              <w:ind w:right="128"/>
              <w:jc w:val="right"/>
              <w:rPr>
                <w:sz w:val="18"/>
              </w:rPr>
            </w:pPr>
            <w:r>
              <w:rPr>
                <w:sz w:val="18"/>
                <w:u w:val="single"/>
              </w:rPr>
              <w:t>$</w:t>
            </w:r>
            <w:r>
              <w:rPr>
                <w:sz w:val="18"/>
                <w:u w:val="single"/>
              </w:rPr>
              <w:tab/>
              <w:t>1,021</w:t>
            </w:r>
          </w:p>
        </w:tc>
        <w:tc>
          <w:tcPr>
            <w:tcW w:w="1275" w:type="dxa"/>
            <w:tcBorders>
              <w:top w:val="single" w:sz="8" w:space="0" w:color="000000"/>
              <w:bottom w:val="single" w:sz="8" w:space="0" w:color="000000"/>
            </w:tcBorders>
          </w:tcPr>
          <w:p w14:paraId="7326C3A2" w14:textId="77777777" w:rsidR="00EF3DFB" w:rsidRDefault="00D27C17">
            <w:pPr>
              <w:pStyle w:val="TableParagraph"/>
              <w:tabs>
                <w:tab w:val="left" w:pos="802"/>
              </w:tabs>
              <w:spacing w:line="197" w:lineRule="exact"/>
              <w:ind w:right="128"/>
              <w:jc w:val="right"/>
              <w:rPr>
                <w:sz w:val="18"/>
              </w:rPr>
            </w:pPr>
            <w:r>
              <w:rPr>
                <w:sz w:val="18"/>
                <w:u w:val="single"/>
              </w:rPr>
              <w:t>$</w:t>
            </w:r>
            <w:r>
              <w:rPr>
                <w:sz w:val="18"/>
                <w:u w:val="single"/>
              </w:rPr>
              <w:tab/>
              <w:t>371</w:t>
            </w:r>
          </w:p>
        </w:tc>
        <w:tc>
          <w:tcPr>
            <w:tcW w:w="1219" w:type="dxa"/>
            <w:tcBorders>
              <w:top w:val="single" w:sz="8" w:space="0" w:color="000000"/>
              <w:bottom w:val="single" w:sz="8" w:space="0" w:color="000000"/>
            </w:tcBorders>
          </w:tcPr>
          <w:p w14:paraId="7326C3A3" w14:textId="77777777" w:rsidR="00EF3DFB" w:rsidRDefault="00D27C17">
            <w:pPr>
              <w:pStyle w:val="TableParagraph"/>
              <w:tabs>
                <w:tab w:val="left" w:pos="873"/>
              </w:tabs>
              <w:spacing w:line="197" w:lineRule="exact"/>
              <w:ind w:left="71"/>
              <w:rPr>
                <w:sz w:val="18"/>
              </w:rPr>
            </w:pPr>
            <w:r>
              <w:rPr>
                <w:sz w:val="18"/>
                <w:u w:val="single"/>
              </w:rPr>
              <w:t>$</w:t>
            </w:r>
            <w:r>
              <w:rPr>
                <w:sz w:val="18"/>
                <w:u w:val="single"/>
              </w:rPr>
              <w:tab/>
              <w:t>496</w:t>
            </w:r>
          </w:p>
        </w:tc>
      </w:tr>
      <w:tr w:rsidR="00EF3DFB" w14:paraId="7326C3A9" w14:textId="77777777">
        <w:trPr>
          <w:trHeight w:val="219"/>
        </w:trPr>
        <w:tc>
          <w:tcPr>
            <w:tcW w:w="6627" w:type="dxa"/>
            <w:shd w:val="clear" w:color="auto" w:fill="CCEDFF"/>
          </w:tcPr>
          <w:p w14:paraId="7326C3A5" w14:textId="77777777" w:rsidR="00EF3DFB" w:rsidRDefault="00D27C17">
            <w:pPr>
              <w:pStyle w:val="TableParagraph"/>
              <w:spacing w:line="177" w:lineRule="exact"/>
              <w:ind w:left="52"/>
              <w:rPr>
                <w:b/>
                <w:sz w:val="18"/>
              </w:rPr>
            </w:pPr>
            <w:r>
              <w:rPr>
                <w:b/>
                <w:sz w:val="18"/>
              </w:rPr>
              <w:t>Supplemental disclosures:</w:t>
            </w:r>
          </w:p>
        </w:tc>
        <w:tc>
          <w:tcPr>
            <w:tcW w:w="1499" w:type="dxa"/>
            <w:tcBorders>
              <w:top w:val="single" w:sz="8" w:space="0" w:color="000000"/>
            </w:tcBorders>
            <w:shd w:val="clear" w:color="auto" w:fill="CCEDFF"/>
          </w:tcPr>
          <w:p w14:paraId="7326C3A6" w14:textId="77777777" w:rsidR="00EF3DFB" w:rsidRDefault="00EF3DFB">
            <w:pPr>
              <w:pStyle w:val="TableParagraph"/>
              <w:rPr>
                <w:sz w:val="14"/>
              </w:rPr>
            </w:pPr>
          </w:p>
        </w:tc>
        <w:tc>
          <w:tcPr>
            <w:tcW w:w="1275" w:type="dxa"/>
            <w:tcBorders>
              <w:top w:val="single" w:sz="8" w:space="0" w:color="000000"/>
            </w:tcBorders>
            <w:shd w:val="clear" w:color="auto" w:fill="CCEDFF"/>
          </w:tcPr>
          <w:p w14:paraId="7326C3A7" w14:textId="77777777" w:rsidR="00EF3DFB" w:rsidRDefault="00EF3DFB">
            <w:pPr>
              <w:pStyle w:val="TableParagraph"/>
              <w:rPr>
                <w:sz w:val="14"/>
              </w:rPr>
            </w:pPr>
          </w:p>
        </w:tc>
        <w:tc>
          <w:tcPr>
            <w:tcW w:w="1219" w:type="dxa"/>
            <w:tcBorders>
              <w:top w:val="single" w:sz="8" w:space="0" w:color="000000"/>
            </w:tcBorders>
            <w:shd w:val="clear" w:color="auto" w:fill="CCEDFF"/>
          </w:tcPr>
          <w:p w14:paraId="7326C3A8" w14:textId="77777777" w:rsidR="00EF3DFB" w:rsidRDefault="00EF3DFB">
            <w:pPr>
              <w:pStyle w:val="TableParagraph"/>
              <w:rPr>
                <w:sz w:val="14"/>
              </w:rPr>
            </w:pPr>
          </w:p>
        </w:tc>
      </w:tr>
      <w:tr w:rsidR="00EF3DFB" w14:paraId="7326C3AE" w14:textId="77777777">
        <w:trPr>
          <w:trHeight w:val="240"/>
        </w:trPr>
        <w:tc>
          <w:tcPr>
            <w:tcW w:w="6627" w:type="dxa"/>
          </w:tcPr>
          <w:p w14:paraId="7326C3AA" w14:textId="77777777" w:rsidR="00EF3DFB" w:rsidRDefault="00D27C17">
            <w:pPr>
              <w:pStyle w:val="TableParagraph"/>
              <w:ind w:left="52"/>
              <w:rPr>
                <w:sz w:val="18"/>
              </w:rPr>
            </w:pPr>
            <w:r>
              <w:rPr>
                <w:sz w:val="18"/>
              </w:rPr>
              <w:t>Restricted cash at beginning of period</w:t>
            </w:r>
          </w:p>
        </w:tc>
        <w:tc>
          <w:tcPr>
            <w:tcW w:w="1499" w:type="dxa"/>
          </w:tcPr>
          <w:p w14:paraId="7326C3AB" w14:textId="77777777" w:rsidR="00EF3DFB" w:rsidRDefault="00D27C17">
            <w:pPr>
              <w:pStyle w:val="TableParagraph"/>
              <w:tabs>
                <w:tab w:val="left" w:pos="892"/>
              </w:tabs>
              <w:ind w:right="128"/>
              <w:jc w:val="right"/>
              <w:rPr>
                <w:sz w:val="18"/>
              </w:rPr>
            </w:pPr>
            <w:r>
              <w:rPr>
                <w:sz w:val="18"/>
              </w:rPr>
              <w:t>$</w:t>
            </w:r>
            <w:r>
              <w:rPr>
                <w:sz w:val="18"/>
              </w:rPr>
              <w:tab/>
              <w:t>22</w:t>
            </w:r>
          </w:p>
        </w:tc>
        <w:tc>
          <w:tcPr>
            <w:tcW w:w="1275" w:type="dxa"/>
          </w:tcPr>
          <w:p w14:paraId="7326C3AC" w14:textId="77777777" w:rsidR="00EF3DFB" w:rsidRDefault="00D27C17">
            <w:pPr>
              <w:pStyle w:val="TableParagraph"/>
              <w:tabs>
                <w:tab w:val="left" w:pos="892"/>
              </w:tabs>
              <w:ind w:right="128"/>
              <w:jc w:val="right"/>
              <w:rPr>
                <w:sz w:val="18"/>
              </w:rPr>
            </w:pPr>
            <w:r>
              <w:rPr>
                <w:sz w:val="18"/>
              </w:rPr>
              <w:t>$</w:t>
            </w:r>
            <w:r>
              <w:rPr>
                <w:sz w:val="18"/>
              </w:rPr>
              <w:tab/>
              <w:t>—</w:t>
            </w:r>
          </w:p>
        </w:tc>
        <w:tc>
          <w:tcPr>
            <w:tcW w:w="1219" w:type="dxa"/>
          </w:tcPr>
          <w:p w14:paraId="7326C3AD" w14:textId="77777777" w:rsidR="00EF3DFB" w:rsidRDefault="00D27C17">
            <w:pPr>
              <w:pStyle w:val="TableParagraph"/>
              <w:tabs>
                <w:tab w:val="left" w:pos="963"/>
              </w:tabs>
              <w:ind w:left="71"/>
              <w:rPr>
                <w:sz w:val="18"/>
              </w:rPr>
            </w:pPr>
            <w:r>
              <w:rPr>
                <w:sz w:val="18"/>
              </w:rPr>
              <w:t>$</w:t>
            </w:r>
            <w:r>
              <w:rPr>
                <w:sz w:val="18"/>
              </w:rPr>
              <w:tab/>
              <w:t>—</w:t>
            </w:r>
          </w:p>
        </w:tc>
      </w:tr>
      <w:tr w:rsidR="00EF3DFB" w14:paraId="7326C3B3" w14:textId="77777777">
        <w:trPr>
          <w:trHeight w:val="240"/>
        </w:trPr>
        <w:tc>
          <w:tcPr>
            <w:tcW w:w="6627" w:type="dxa"/>
            <w:shd w:val="clear" w:color="auto" w:fill="CCEDFF"/>
          </w:tcPr>
          <w:p w14:paraId="7326C3AF" w14:textId="77777777" w:rsidR="00EF3DFB" w:rsidRDefault="00D27C17">
            <w:pPr>
              <w:pStyle w:val="TableParagraph"/>
              <w:ind w:left="52"/>
              <w:rPr>
                <w:sz w:val="18"/>
              </w:rPr>
            </w:pPr>
            <w:r>
              <w:rPr>
                <w:sz w:val="18"/>
              </w:rPr>
              <w:t>Restricted cash at end of period</w:t>
            </w:r>
          </w:p>
        </w:tc>
        <w:tc>
          <w:tcPr>
            <w:tcW w:w="1499" w:type="dxa"/>
            <w:shd w:val="clear" w:color="auto" w:fill="CCEDFF"/>
          </w:tcPr>
          <w:p w14:paraId="7326C3B0" w14:textId="77777777" w:rsidR="00EF3DFB" w:rsidRDefault="00D27C17">
            <w:pPr>
              <w:pStyle w:val="TableParagraph"/>
              <w:ind w:right="128"/>
              <w:jc w:val="right"/>
              <w:rPr>
                <w:sz w:val="18"/>
              </w:rPr>
            </w:pPr>
            <w:r>
              <w:rPr>
                <w:sz w:val="18"/>
              </w:rPr>
              <w:t>40</w:t>
            </w:r>
          </w:p>
        </w:tc>
        <w:tc>
          <w:tcPr>
            <w:tcW w:w="1275" w:type="dxa"/>
            <w:shd w:val="clear" w:color="auto" w:fill="CCEDFF"/>
          </w:tcPr>
          <w:p w14:paraId="7326C3B1" w14:textId="77777777" w:rsidR="00EF3DFB" w:rsidRDefault="00D27C17">
            <w:pPr>
              <w:pStyle w:val="TableParagraph"/>
              <w:ind w:right="128"/>
              <w:jc w:val="right"/>
              <w:rPr>
                <w:sz w:val="18"/>
              </w:rPr>
            </w:pPr>
            <w:r>
              <w:rPr>
                <w:sz w:val="18"/>
              </w:rPr>
              <w:t>22</w:t>
            </w:r>
          </w:p>
        </w:tc>
        <w:tc>
          <w:tcPr>
            <w:tcW w:w="1219" w:type="dxa"/>
            <w:shd w:val="clear" w:color="auto" w:fill="CCEDFF"/>
          </w:tcPr>
          <w:p w14:paraId="7326C3B2" w14:textId="77777777" w:rsidR="00EF3DFB" w:rsidRDefault="00D27C17">
            <w:pPr>
              <w:pStyle w:val="TableParagraph"/>
              <w:ind w:right="72"/>
              <w:jc w:val="right"/>
              <w:rPr>
                <w:sz w:val="18"/>
              </w:rPr>
            </w:pPr>
            <w:r>
              <w:rPr>
                <w:sz w:val="18"/>
              </w:rPr>
              <w:t>—</w:t>
            </w:r>
          </w:p>
        </w:tc>
      </w:tr>
      <w:tr w:rsidR="00EF3DFB" w14:paraId="7326C3B8" w14:textId="77777777">
        <w:trPr>
          <w:trHeight w:val="240"/>
        </w:trPr>
        <w:tc>
          <w:tcPr>
            <w:tcW w:w="6627" w:type="dxa"/>
          </w:tcPr>
          <w:p w14:paraId="7326C3B4" w14:textId="77777777" w:rsidR="00EF3DFB" w:rsidRDefault="00D27C17">
            <w:pPr>
              <w:pStyle w:val="TableParagraph"/>
              <w:ind w:left="52"/>
              <w:rPr>
                <w:sz w:val="18"/>
              </w:rPr>
            </w:pPr>
            <w:r>
              <w:rPr>
                <w:sz w:val="18"/>
              </w:rPr>
              <w:t>Cash paid for income taxes, net of refunds</w:t>
            </w:r>
          </w:p>
        </w:tc>
        <w:tc>
          <w:tcPr>
            <w:tcW w:w="1499" w:type="dxa"/>
          </w:tcPr>
          <w:p w14:paraId="7326C3B5" w14:textId="77777777" w:rsidR="00EF3DFB" w:rsidRDefault="00D27C17">
            <w:pPr>
              <w:pStyle w:val="TableParagraph"/>
              <w:ind w:right="128"/>
              <w:jc w:val="right"/>
              <w:rPr>
                <w:sz w:val="18"/>
              </w:rPr>
            </w:pPr>
            <w:r>
              <w:rPr>
                <w:sz w:val="18"/>
              </w:rPr>
              <w:t>106</w:t>
            </w:r>
          </w:p>
        </w:tc>
        <w:tc>
          <w:tcPr>
            <w:tcW w:w="1275" w:type="dxa"/>
          </w:tcPr>
          <w:p w14:paraId="7326C3B6" w14:textId="77777777" w:rsidR="00EF3DFB" w:rsidRDefault="00D27C17">
            <w:pPr>
              <w:pStyle w:val="TableParagraph"/>
              <w:ind w:right="128"/>
              <w:jc w:val="right"/>
              <w:rPr>
                <w:sz w:val="18"/>
              </w:rPr>
            </w:pPr>
            <w:r>
              <w:rPr>
                <w:sz w:val="18"/>
              </w:rPr>
              <w:t>156</w:t>
            </w:r>
          </w:p>
        </w:tc>
        <w:tc>
          <w:tcPr>
            <w:tcW w:w="1219" w:type="dxa"/>
          </w:tcPr>
          <w:p w14:paraId="7326C3B7" w14:textId="77777777" w:rsidR="00EF3DFB" w:rsidRDefault="00D27C17">
            <w:pPr>
              <w:pStyle w:val="TableParagraph"/>
              <w:ind w:right="72"/>
              <w:jc w:val="right"/>
              <w:rPr>
                <w:sz w:val="18"/>
              </w:rPr>
            </w:pPr>
            <w:r>
              <w:rPr>
                <w:sz w:val="18"/>
              </w:rPr>
              <w:t>292</w:t>
            </w:r>
          </w:p>
        </w:tc>
      </w:tr>
      <w:tr w:rsidR="00EF3DFB" w14:paraId="7326C3BD" w14:textId="77777777">
        <w:trPr>
          <w:trHeight w:val="240"/>
        </w:trPr>
        <w:tc>
          <w:tcPr>
            <w:tcW w:w="6627" w:type="dxa"/>
            <w:shd w:val="clear" w:color="auto" w:fill="CCEDFF"/>
          </w:tcPr>
          <w:p w14:paraId="7326C3B9" w14:textId="77777777" w:rsidR="00EF3DFB" w:rsidRDefault="00D27C17">
            <w:pPr>
              <w:pStyle w:val="TableParagraph"/>
              <w:ind w:left="52"/>
              <w:rPr>
                <w:sz w:val="18"/>
              </w:rPr>
            </w:pPr>
            <w:r>
              <w:rPr>
                <w:sz w:val="18"/>
              </w:rPr>
              <w:t>Cash paid for interest</w:t>
            </w:r>
          </w:p>
        </w:tc>
        <w:tc>
          <w:tcPr>
            <w:tcW w:w="1499" w:type="dxa"/>
            <w:shd w:val="clear" w:color="auto" w:fill="CCEDFF"/>
          </w:tcPr>
          <w:p w14:paraId="7326C3BA" w14:textId="77777777" w:rsidR="00EF3DFB" w:rsidRDefault="00D27C17">
            <w:pPr>
              <w:pStyle w:val="TableParagraph"/>
              <w:ind w:right="128"/>
              <w:jc w:val="right"/>
              <w:rPr>
                <w:sz w:val="18"/>
              </w:rPr>
            </w:pPr>
            <w:r>
              <w:rPr>
                <w:sz w:val="18"/>
              </w:rPr>
              <w:t>281</w:t>
            </w:r>
          </w:p>
        </w:tc>
        <w:tc>
          <w:tcPr>
            <w:tcW w:w="1275" w:type="dxa"/>
            <w:shd w:val="clear" w:color="auto" w:fill="CCEDFF"/>
          </w:tcPr>
          <w:p w14:paraId="7326C3BB" w14:textId="77777777" w:rsidR="00EF3DFB" w:rsidRDefault="00D27C17">
            <w:pPr>
              <w:pStyle w:val="TableParagraph"/>
              <w:ind w:right="128"/>
              <w:jc w:val="right"/>
              <w:rPr>
                <w:sz w:val="18"/>
              </w:rPr>
            </w:pPr>
            <w:r>
              <w:rPr>
                <w:sz w:val="18"/>
              </w:rPr>
              <w:t>304</w:t>
            </w:r>
          </w:p>
        </w:tc>
        <w:tc>
          <w:tcPr>
            <w:tcW w:w="1219" w:type="dxa"/>
            <w:shd w:val="clear" w:color="auto" w:fill="CCEDFF"/>
          </w:tcPr>
          <w:p w14:paraId="7326C3BC" w14:textId="77777777" w:rsidR="00EF3DFB" w:rsidRDefault="00D27C17">
            <w:pPr>
              <w:pStyle w:val="TableParagraph"/>
              <w:ind w:right="72"/>
              <w:jc w:val="right"/>
              <w:rPr>
                <w:sz w:val="18"/>
              </w:rPr>
            </w:pPr>
            <w:r>
              <w:rPr>
                <w:sz w:val="18"/>
              </w:rPr>
              <w:t>458</w:t>
            </w:r>
          </w:p>
        </w:tc>
      </w:tr>
      <w:tr w:rsidR="00EF3DFB" w14:paraId="7326C3C2" w14:textId="77777777">
        <w:trPr>
          <w:trHeight w:val="240"/>
        </w:trPr>
        <w:tc>
          <w:tcPr>
            <w:tcW w:w="6627" w:type="dxa"/>
          </w:tcPr>
          <w:p w14:paraId="7326C3BE" w14:textId="77777777" w:rsidR="00EF3DFB" w:rsidRDefault="00D27C17">
            <w:pPr>
              <w:pStyle w:val="TableParagraph"/>
              <w:ind w:left="52"/>
              <w:rPr>
                <w:sz w:val="18"/>
              </w:rPr>
            </w:pPr>
            <w:r>
              <w:rPr>
                <w:sz w:val="18"/>
              </w:rPr>
              <w:t>Net cash provided by (used in) discontinued operating activities</w:t>
            </w:r>
          </w:p>
        </w:tc>
        <w:tc>
          <w:tcPr>
            <w:tcW w:w="1499" w:type="dxa"/>
          </w:tcPr>
          <w:p w14:paraId="7326C3BF" w14:textId="77777777" w:rsidR="00EF3DFB" w:rsidRDefault="00D27C17">
            <w:pPr>
              <w:pStyle w:val="TableParagraph"/>
              <w:ind w:right="128"/>
              <w:jc w:val="right"/>
              <w:rPr>
                <w:sz w:val="18"/>
              </w:rPr>
            </w:pPr>
            <w:r>
              <w:rPr>
                <w:sz w:val="18"/>
              </w:rPr>
              <w:t>—</w:t>
            </w:r>
          </w:p>
        </w:tc>
        <w:tc>
          <w:tcPr>
            <w:tcW w:w="1275" w:type="dxa"/>
          </w:tcPr>
          <w:p w14:paraId="7326C3C0" w14:textId="77777777" w:rsidR="00EF3DFB" w:rsidRDefault="00D27C17">
            <w:pPr>
              <w:pStyle w:val="TableParagraph"/>
              <w:ind w:right="68"/>
              <w:jc w:val="right"/>
              <w:rPr>
                <w:sz w:val="18"/>
              </w:rPr>
            </w:pPr>
            <w:r>
              <w:rPr>
                <w:sz w:val="18"/>
              </w:rPr>
              <w:t>(46)</w:t>
            </w:r>
          </w:p>
        </w:tc>
        <w:tc>
          <w:tcPr>
            <w:tcW w:w="1219" w:type="dxa"/>
          </w:tcPr>
          <w:p w14:paraId="7326C3C1" w14:textId="77777777" w:rsidR="00EF3DFB" w:rsidRDefault="00D27C17">
            <w:pPr>
              <w:pStyle w:val="TableParagraph"/>
              <w:ind w:right="72"/>
              <w:jc w:val="right"/>
              <w:rPr>
                <w:sz w:val="18"/>
              </w:rPr>
            </w:pPr>
            <w:r>
              <w:rPr>
                <w:sz w:val="18"/>
              </w:rPr>
              <w:t>123</w:t>
            </w:r>
          </w:p>
        </w:tc>
      </w:tr>
      <w:tr w:rsidR="00EF3DFB" w14:paraId="7326C3C7" w14:textId="77777777">
        <w:trPr>
          <w:trHeight w:val="240"/>
        </w:trPr>
        <w:tc>
          <w:tcPr>
            <w:tcW w:w="6627" w:type="dxa"/>
            <w:shd w:val="clear" w:color="auto" w:fill="CCEDFF"/>
          </w:tcPr>
          <w:p w14:paraId="7326C3C3" w14:textId="77777777" w:rsidR="00EF3DFB" w:rsidRDefault="00D27C17">
            <w:pPr>
              <w:pStyle w:val="TableParagraph"/>
              <w:ind w:left="52"/>
              <w:rPr>
                <w:sz w:val="18"/>
              </w:rPr>
            </w:pPr>
            <w:r>
              <w:rPr>
                <w:sz w:val="18"/>
              </w:rPr>
              <w:t>Net cash provided by discontinued investing activities</w:t>
            </w:r>
          </w:p>
        </w:tc>
        <w:tc>
          <w:tcPr>
            <w:tcW w:w="1499" w:type="dxa"/>
            <w:shd w:val="clear" w:color="auto" w:fill="CCEDFF"/>
          </w:tcPr>
          <w:p w14:paraId="7326C3C4" w14:textId="77777777" w:rsidR="00EF3DFB" w:rsidRDefault="00D27C17">
            <w:pPr>
              <w:pStyle w:val="TableParagraph"/>
              <w:ind w:right="128"/>
              <w:jc w:val="right"/>
              <w:rPr>
                <w:sz w:val="18"/>
              </w:rPr>
            </w:pPr>
            <w:r>
              <w:rPr>
                <w:sz w:val="18"/>
              </w:rPr>
              <w:t>—</w:t>
            </w:r>
          </w:p>
        </w:tc>
        <w:tc>
          <w:tcPr>
            <w:tcW w:w="1275" w:type="dxa"/>
            <w:shd w:val="clear" w:color="auto" w:fill="CCEDFF"/>
          </w:tcPr>
          <w:p w14:paraId="7326C3C5" w14:textId="77777777" w:rsidR="00EF3DFB" w:rsidRDefault="00D27C17">
            <w:pPr>
              <w:pStyle w:val="TableParagraph"/>
              <w:ind w:right="128"/>
              <w:jc w:val="right"/>
              <w:rPr>
                <w:sz w:val="18"/>
              </w:rPr>
            </w:pPr>
            <w:r>
              <w:rPr>
                <w:sz w:val="18"/>
              </w:rPr>
              <w:t>978</w:t>
            </w:r>
          </w:p>
        </w:tc>
        <w:tc>
          <w:tcPr>
            <w:tcW w:w="1219" w:type="dxa"/>
            <w:shd w:val="clear" w:color="auto" w:fill="CCEDFF"/>
          </w:tcPr>
          <w:p w14:paraId="7326C3C6" w14:textId="77777777" w:rsidR="00EF3DFB" w:rsidRDefault="00D27C17">
            <w:pPr>
              <w:pStyle w:val="TableParagraph"/>
              <w:ind w:right="72"/>
              <w:jc w:val="right"/>
              <w:rPr>
                <w:sz w:val="18"/>
              </w:rPr>
            </w:pPr>
            <w:r>
              <w:rPr>
                <w:sz w:val="18"/>
              </w:rPr>
              <w:t>5,015</w:t>
            </w:r>
          </w:p>
        </w:tc>
      </w:tr>
      <w:tr w:rsidR="00EF3DFB" w14:paraId="7326C3CC" w14:textId="77777777">
        <w:trPr>
          <w:trHeight w:val="375"/>
        </w:trPr>
        <w:tc>
          <w:tcPr>
            <w:tcW w:w="6627" w:type="dxa"/>
          </w:tcPr>
          <w:p w14:paraId="7326C3C8" w14:textId="77777777" w:rsidR="00EF3DFB" w:rsidRDefault="00D27C17">
            <w:pPr>
              <w:pStyle w:val="TableParagraph"/>
              <w:ind w:left="52"/>
              <w:rPr>
                <w:sz w:val="18"/>
              </w:rPr>
            </w:pPr>
            <w:r>
              <w:rPr>
                <w:sz w:val="18"/>
              </w:rPr>
              <w:t>Capital expenditures for discontinued operations</w:t>
            </w:r>
          </w:p>
        </w:tc>
        <w:tc>
          <w:tcPr>
            <w:tcW w:w="1499" w:type="dxa"/>
          </w:tcPr>
          <w:p w14:paraId="7326C3C9" w14:textId="77777777" w:rsidR="00EF3DFB" w:rsidRDefault="00D27C17">
            <w:pPr>
              <w:pStyle w:val="TableParagraph"/>
              <w:ind w:right="128"/>
              <w:jc w:val="right"/>
              <w:rPr>
                <w:sz w:val="18"/>
              </w:rPr>
            </w:pPr>
            <w:r>
              <w:rPr>
                <w:sz w:val="18"/>
              </w:rPr>
              <w:t>—</w:t>
            </w:r>
          </w:p>
        </w:tc>
        <w:tc>
          <w:tcPr>
            <w:tcW w:w="1275" w:type="dxa"/>
          </w:tcPr>
          <w:p w14:paraId="7326C3CA" w14:textId="77777777" w:rsidR="00EF3DFB" w:rsidRDefault="00D27C17">
            <w:pPr>
              <w:pStyle w:val="TableParagraph"/>
              <w:ind w:right="128"/>
              <w:jc w:val="right"/>
              <w:rPr>
                <w:sz w:val="18"/>
              </w:rPr>
            </w:pPr>
            <w:r>
              <w:rPr>
                <w:sz w:val="18"/>
              </w:rPr>
              <w:t>17</w:t>
            </w:r>
          </w:p>
        </w:tc>
        <w:tc>
          <w:tcPr>
            <w:tcW w:w="1219" w:type="dxa"/>
          </w:tcPr>
          <w:p w14:paraId="7326C3CB" w14:textId="77777777" w:rsidR="00EF3DFB" w:rsidRDefault="00D27C17">
            <w:pPr>
              <w:pStyle w:val="TableParagraph"/>
              <w:ind w:right="72"/>
              <w:jc w:val="right"/>
              <w:rPr>
                <w:sz w:val="18"/>
              </w:rPr>
            </w:pPr>
            <w:r>
              <w:rPr>
                <w:sz w:val="18"/>
              </w:rPr>
              <w:t>121</w:t>
            </w:r>
          </w:p>
        </w:tc>
      </w:tr>
      <w:tr w:rsidR="00EF3DFB" w14:paraId="7326C3D1" w14:textId="77777777">
        <w:trPr>
          <w:trHeight w:val="386"/>
        </w:trPr>
        <w:tc>
          <w:tcPr>
            <w:tcW w:w="6627" w:type="dxa"/>
          </w:tcPr>
          <w:p w14:paraId="7326C3CD" w14:textId="77777777" w:rsidR="00EF3DFB" w:rsidRDefault="00D27C17">
            <w:pPr>
              <w:pStyle w:val="TableParagraph"/>
              <w:spacing w:before="154" w:line="213" w:lineRule="exact"/>
              <w:rPr>
                <w:i/>
                <w:sz w:val="20"/>
              </w:rPr>
            </w:pPr>
            <w:r>
              <w:rPr>
                <w:i/>
                <w:sz w:val="20"/>
              </w:rPr>
              <w:t>See Notes to Consolidated Financial Statements.</w:t>
            </w:r>
          </w:p>
        </w:tc>
        <w:tc>
          <w:tcPr>
            <w:tcW w:w="1499" w:type="dxa"/>
          </w:tcPr>
          <w:p w14:paraId="7326C3CE" w14:textId="77777777" w:rsidR="00EF3DFB" w:rsidRDefault="00EF3DFB">
            <w:pPr>
              <w:pStyle w:val="TableParagraph"/>
              <w:rPr>
                <w:sz w:val="18"/>
              </w:rPr>
            </w:pPr>
          </w:p>
        </w:tc>
        <w:tc>
          <w:tcPr>
            <w:tcW w:w="1275" w:type="dxa"/>
          </w:tcPr>
          <w:p w14:paraId="7326C3CF" w14:textId="77777777" w:rsidR="00EF3DFB" w:rsidRDefault="00EF3DFB">
            <w:pPr>
              <w:pStyle w:val="TableParagraph"/>
              <w:rPr>
                <w:sz w:val="18"/>
              </w:rPr>
            </w:pPr>
          </w:p>
        </w:tc>
        <w:tc>
          <w:tcPr>
            <w:tcW w:w="1219" w:type="dxa"/>
          </w:tcPr>
          <w:p w14:paraId="7326C3D0" w14:textId="77777777" w:rsidR="00EF3DFB" w:rsidRDefault="00EF3DFB">
            <w:pPr>
              <w:pStyle w:val="TableParagraph"/>
              <w:rPr>
                <w:sz w:val="18"/>
              </w:rPr>
            </w:pPr>
          </w:p>
        </w:tc>
      </w:tr>
    </w:tbl>
    <w:p w14:paraId="7326C3D2" w14:textId="77777777" w:rsidR="00EF3DFB" w:rsidRDefault="00EF3DFB">
      <w:pPr>
        <w:rPr>
          <w:sz w:val="18"/>
        </w:rPr>
        <w:sectPr w:rsidR="00EF3DFB">
          <w:pgSz w:w="12240" w:h="15840"/>
          <w:pgMar w:top="680" w:right="640" w:bottom="480" w:left="620" w:header="0" w:footer="291" w:gutter="0"/>
          <w:cols w:space="720"/>
        </w:sectPr>
      </w:pPr>
    </w:p>
    <w:p w14:paraId="7326C3D3" w14:textId="77777777" w:rsidR="00EF3DFB" w:rsidRDefault="00D27C17">
      <w:pPr>
        <w:pStyle w:val="Heading2"/>
        <w:spacing w:before="68"/>
        <w:jc w:val="left"/>
      </w:pPr>
      <w:bookmarkStart w:id="47" w:name="Consolidated_Statements_of_Stockholders’"/>
      <w:bookmarkEnd w:id="47"/>
      <w:r>
        <w:lastRenderedPageBreak/>
        <w:t>NEWELL BRANDS INC. AND SUBSIDIARIES</w:t>
      </w:r>
    </w:p>
    <w:p w14:paraId="7326C3D4" w14:textId="77777777" w:rsidR="00EF3DFB" w:rsidRDefault="00D27C17">
      <w:pPr>
        <w:spacing w:before="10"/>
        <w:ind w:left="190"/>
        <w:rPr>
          <w:b/>
          <w:sz w:val="20"/>
        </w:rPr>
      </w:pPr>
      <w:r>
        <w:rPr>
          <w:b/>
          <w:sz w:val="20"/>
        </w:rPr>
        <w:t>CONSOLIDATED STATEMENTS OF STOCKHOLDERS’ EQUITY</w:t>
      </w:r>
    </w:p>
    <w:p w14:paraId="7326C3D5" w14:textId="3CC13CB6" w:rsidR="00EF3DFB" w:rsidRDefault="00D27C17">
      <w:pPr>
        <w:spacing w:before="14"/>
        <w:ind w:left="190"/>
        <w:rPr>
          <w:i/>
          <w:sz w:val="20"/>
        </w:rPr>
      </w:pPr>
      <w:r>
        <w:rPr>
          <w:noProof/>
        </w:rPr>
        <mc:AlternateContent>
          <mc:Choice Requires="wps">
            <w:drawing>
              <wp:anchor distT="0" distB="0" distL="114300" distR="114300" simplePos="0" relativeHeight="2344" behindDoc="0" locked="0" layoutInCell="1" allowOverlap="1" wp14:anchorId="7326D704" wp14:editId="6E9DF4B2">
                <wp:simplePos x="0" y="0"/>
                <wp:positionH relativeFrom="page">
                  <wp:posOffset>514350</wp:posOffset>
                </wp:positionH>
                <wp:positionV relativeFrom="paragraph">
                  <wp:posOffset>281940</wp:posOffset>
                </wp:positionV>
                <wp:extent cx="6750050" cy="7123430"/>
                <wp:effectExtent l="0" t="4445" r="3175" b="0"/>
                <wp:wrapNone/>
                <wp:docPr id="476"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712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46"/>
                              <w:gridCol w:w="975"/>
                              <w:gridCol w:w="975"/>
                              <w:gridCol w:w="975"/>
                              <w:gridCol w:w="1290"/>
                              <w:gridCol w:w="1170"/>
                              <w:gridCol w:w="975"/>
                              <w:gridCol w:w="1123"/>
                            </w:tblGrid>
                            <w:tr w:rsidR="00EF3DFB" w14:paraId="7326D85C" w14:textId="77777777">
                              <w:trPr>
                                <w:trHeight w:val="937"/>
                              </w:trPr>
                              <w:tc>
                                <w:tcPr>
                                  <w:tcW w:w="3146" w:type="dxa"/>
                                </w:tcPr>
                                <w:p w14:paraId="7326D84B" w14:textId="77777777" w:rsidR="00EF3DFB" w:rsidRDefault="00EF3DFB">
                                  <w:pPr>
                                    <w:pStyle w:val="TableParagraph"/>
                                    <w:rPr>
                                      <w:i/>
                                      <w:sz w:val="18"/>
                                    </w:rPr>
                                  </w:pPr>
                                </w:p>
                                <w:p w14:paraId="7326D84C" w14:textId="77777777" w:rsidR="00EF3DFB" w:rsidRDefault="00EF3DFB">
                                  <w:pPr>
                                    <w:pStyle w:val="TableParagraph"/>
                                    <w:spacing w:before="9"/>
                                    <w:rPr>
                                      <w:i/>
                                      <w:sz w:val="14"/>
                                    </w:rPr>
                                  </w:pPr>
                                </w:p>
                                <w:p w14:paraId="7326D84D" w14:textId="77777777" w:rsidR="00EF3DFB" w:rsidRDefault="00D27C17">
                                  <w:pPr>
                                    <w:pStyle w:val="TableParagraph"/>
                                    <w:spacing w:line="249" w:lineRule="auto"/>
                                    <w:ind w:left="2448" w:right="171" w:hanging="125"/>
                                    <w:rPr>
                                      <w:b/>
                                      <w:sz w:val="16"/>
                                    </w:rPr>
                                  </w:pPr>
                                  <w:r>
                                    <w:rPr>
                                      <w:b/>
                                      <w:sz w:val="16"/>
                                    </w:rPr>
                                    <w:t>Common Stock</w:t>
                                  </w:r>
                                </w:p>
                              </w:tc>
                              <w:tc>
                                <w:tcPr>
                                  <w:tcW w:w="975" w:type="dxa"/>
                                </w:tcPr>
                                <w:p w14:paraId="7326D84E" w14:textId="77777777" w:rsidR="00EF3DFB" w:rsidRDefault="00EF3DFB">
                                  <w:pPr>
                                    <w:pStyle w:val="TableParagraph"/>
                                    <w:rPr>
                                      <w:i/>
                                      <w:sz w:val="18"/>
                                    </w:rPr>
                                  </w:pPr>
                                </w:p>
                                <w:p w14:paraId="7326D84F" w14:textId="77777777" w:rsidR="00EF3DFB" w:rsidRDefault="00EF3DFB">
                                  <w:pPr>
                                    <w:pStyle w:val="TableParagraph"/>
                                    <w:spacing w:before="9"/>
                                    <w:rPr>
                                      <w:i/>
                                      <w:sz w:val="14"/>
                                    </w:rPr>
                                  </w:pPr>
                                </w:p>
                                <w:p w14:paraId="7326D850" w14:textId="77777777" w:rsidR="00EF3DFB" w:rsidRDefault="00D27C17">
                                  <w:pPr>
                                    <w:pStyle w:val="TableParagraph"/>
                                    <w:spacing w:line="249" w:lineRule="auto"/>
                                    <w:ind w:left="277" w:right="171" w:hanging="125"/>
                                    <w:rPr>
                                      <w:b/>
                                      <w:sz w:val="16"/>
                                    </w:rPr>
                                  </w:pPr>
                                  <w:r>
                                    <w:rPr>
                                      <w:b/>
                                      <w:sz w:val="16"/>
                                    </w:rPr>
                                    <w:t>Treasury Stock</w:t>
                                  </w:r>
                                </w:p>
                              </w:tc>
                              <w:tc>
                                <w:tcPr>
                                  <w:tcW w:w="975" w:type="dxa"/>
                                </w:tcPr>
                                <w:p w14:paraId="7326D851" w14:textId="77777777" w:rsidR="00EF3DFB" w:rsidRDefault="00EF3DFB">
                                  <w:pPr>
                                    <w:pStyle w:val="TableParagraph"/>
                                    <w:spacing w:before="1"/>
                                    <w:rPr>
                                      <w:i/>
                                      <w:sz w:val="16"/>
                                    </w:rPr>
                                  </w:pPr>
                                </w:p>
                                <w:p w14:paraId="7326D852" w14:textId="77777777" w:rsidR="00EF3DFB" w:rsidRDefault="00D27C17">
                                  <w:pPr>
                                    <w:pStyle w:val="TableParagraph"/>
                                    <w:spacing w:line="249" w:lineRule="auto"/>
                                    <w:ind w:left="211" w:right="139" w:hanging="107"/>
                                    <w:rPr>
                                      <w:b/>
                                      <w:sz w:val="16"/>
                                    </w:rPr>
                                  </w:pPr>
                                  <w:r>
                                    <w:rPr>
                                      <w:b/>
                                      <w:sz w:val="16"/>
                                    </w:rPr>
                                    <w:t>Additional Paid-In Capital</w:t>
                                  </w:r>
                                </w:p>
                              </w:tc>
                              <w:tc>
                                <w:tcPr>
                                  <w:tcW w:w="975" w:type="dxa"/>
                                </w:tcPr>
                                <w:p w14:paraId="7326D853" w14:textId="77777777" w:rsidR="00EF3DFB" w:rsidRDefault="00EF3DFB">
                                  <w:pPr>
                                    <w:pStyle w:val="TableParagraph"/>
                                    <w:rPr>
                                      <w:i/>
                                      <w:sz w:val="18"/>
                                    </w:rPr>
                                  </w:pPr>
                                </w:p>
                                <w:p w14:paraId="7326D854" w14:textId="77777777" w:rsidR="00EF3DFB" w:rsidRDefault="00EF3DFB">
                                  <w:pPr>
                                    <w:pStyle w:val="TableParagraph"/>
                                    <w:spacing w:before="9"/>
                                    <w:rPr>
                                      <w:i/>
                                      <w:sz w:val="14"/>
                                    </w:rPr>
                                  </w:pPr>
                                </w:p>
                                <w:p w14:paraId="7326D855" w14:textId="77777777" w:rsidR="00EF3DFB" w:rsidRDefault="00D27C17">
                                  <w:pPr>
                                    <w:pStyle w:val="TableParagraph"/>
                                    <w:spacing w:line="249" w:lineRule="auto"/>
                                    <w:ind w:left="242" w:right="179" w:hanging="80"/>
                                    <w:rPr>
                                      <w:b/>
                                      <w:sz w:val="16"/>
                                    </w:rPr>
                                  </w:pPr>
                                  <w:r>
                                    <w:rPr>
                                      <w:b/>
                                      <w:sz w:val="16"/>
                                    </w:rPr>
                                    <w:t>Retained Deficit</w:t>
                                  </w:r>
                                </w:p>
                              </w:tc>
                              <w:tc>
                                <w:tcPr>
                                  <w:tcW w:w="1290" w:type="dxa"/>
                                </w:tcPr>
                                <w:p w14:paraId="7326D856" w14:textId="77777777" w:rsidR="00EF3DFB" w:rsidRDefault="00D27C17">
                                  <w:pPr>
                                    <w:pStyle w:val="TableParagraph"/>
                                    <w:spacing w:line="249" w:lineRule="auto"/>
                                    <w:ind w:left="93" w:right="128"/>
                                    <w:jc w:val="center"/>
                                    <w:rPr>
                                      <w:b/>
                                      <w:sz w:val="16"/>
                                    </w:rPr>
                                  </w:pPr>
                                  <w:r>
                                    <w:rPr>
                                      <w:b/>
                                      <w:sz w:val="16"/>
                                    </w:rPr>
                                    <w:t>Accumulated Other Comprehensive Income (Loss)</w:t>
                                  </w:r>
                                </w:p>
                              </w:tc>
                              <w:tc>
                                <w:tcPr>
                                  <w:tcW w:w="1170" w:type="dxa"/>
                                </w:tcPr>
                                <w:p w14:paraId="7326D857" w14:textId="77777777" w:rsidR="00EF3DFB" w:rsidRDefault="00D27C17">
                                  <w:pPr>
                                    <w:pStyle w:val="TableParagraph"/>
                                    <w:spacing w:line="249" w:lineRule="auto"/>
                                    <w:ind w:left="100" w:right="135"/>
                                    <w:jc w:val="center"/>
                                    <w:rPr>
                                      <w:b/>
                                      <w:sz w:val="16"/>
                                    </w:rPr>
                                  </w:pPr>
                                  <w:r>
                                    <w:rPr>
                                      <w:b/>
                                      <w:sz w:val="16"/>
                                    </w:rPr>
                                    <w:t>Stockholders' Equity Attributable to Parent</w:t>
                                  </w:r>
                                </w:p>
                              </w:tc>
                              <w:tc>
                                <w:tcPr>
                                  <w:tcW w:w="975" w:type="dxa"/>
                                </w:tcPr>
                                <w:p w14:paraId="7326D858" w14:textId="77777777" w:rsidR="00EF3DFB" w:rsidRDefault="00EF3DFB">
                                  <w:pPr>
                                    <w:pStyle w:val="TableParagraph"/>
                                    <w:spacing w:before="1"/>
                                    <w:rPr>
                                      <w:i/>
                                      <w:sz w:val="16"/>
                                    </w:rPr>
                                  </w:pPr>
                                </w:p>
                                <w:p w14:paraId="7326D859" w14:textId="77777777" w:rsidR="00EF3DFB" w:rsidRDefault="00D27C17">
                                  <w:pPr>
                                    <w:pStyle w:val="TableParagraph"/>
                                    <w:spacing w:line="249" w:lineRule="auto"/>
                                    <w:ind w:left="96" w:right="130" w:hanging="1"/>
                                    <w:jc w:val="center"/>
                                    <w:rPr>
                                      <w:b/>
                                      <w:sz w:val="16"/>
                                    </w:rPr>
                                  </w:pPr>
                                  <w:r>
                                    <w:rPr>
                                      <w:b/>
                                      <w:sz w:val="16"/>
                                    </w:rPr>
                                    <w:t>Non- controlling Interest</w:t>
                                  </w:r>
                                </w:p>
                              </w:tc>
                              <w:tc>
                                <w:tcPr>
                                  <w:tcW w:w="1123" w:type="dxa"/>
                                </w:tcPr>
                                <w:p w14:paraId="7326D85A" w14:textId="77777777" w:rsidR="00EF3DFB" w:rsidRDefault="00EF3DFB">
                                  <w:pPr>
                                    <w:pStyle w:val="TableParagraph"/>
                                    <w:spacing w:before="1"/>
                                    <w:rPr>
                                      <w:i/>
                                      <w:sz w:val="16"/>
                                    </w:rPr>
                                  </w:pPr>
                                </w:p>
                                <w:p w14:paraId="7326D85B" w14:textId="77777777" w:rsidR="00EF3DFB" w:rsidRDefault="00D27C17">
                                  <w:pPr>
                                    <w:pStyle w:val="TableParagraph"/>
                                    <w:spacing w:line="249" w:lineRule="auto"/>
                                    <w:ind w:left="100" w:right="88"/>
                                    <w:jc w:val="center"/>
                                    <w:rPr>
                                      <w:b/>
                                      <w:sz w:val="16"/>
                                    </w:rPr>
                                  </w:pPr>
                                  <w:r>
                                    <w:rPr>
                                      <w:b/>
                                      <w:sz w:val="16"/>
                                    </w:rPr>
                                    <w:t>Total Stockholders' Equity</w:t>
                                  </w:r>
                                </w:p>
                              </w:tc>
                            </w:tr>
                            <w:tr w:rsidR="00EF3DFB" w14:paraId="7326D865" w14:textId="77777777">
                              <w:trPr>
                                <w:trHeight w:val="340"/>
                              </w:trPr>
                              <w:tc>
                                <w:tcPr>
                                  <w:tcW w:w="3146" w:type="dxa"/>
                                  <w:shd w:val="clear" w:color="auto" w:fill="CCEDFF"/>
                                </w:tcPr>
                                <w:p w14:paraId="7326D85D" w14:textId="77777777" w:rsidR="00EF3DFB" w:rsidRDefault="00D27C17">
                                  <w:pPr>
                                    <w:pStyle w:val="TableParagraph"/>
                                    <w:tabs>
                                      <w:tab w:val="right" w:pos="3021"/>
                                    </w:tabs>
                                    <w:spacing w:line="177" w:lineRule="exact"/>
                                    <w:ind w:left="52"/>
                                    <w:rPr>
                                      <w:sz w:val="16"/>
                                    </w:rPr>
                                  </w:pPr>
                                  <w:r>
                                    <w:rPr>
                                      <w:b/>
                                      <w:sz w:val="16"/>
                                    </w:rPr>
                                    <w:t>Balance at December 31,</w:t>
                                  </w:r>
                                  <w:r>
                                    <w:rPr>
                                      <w:b/>
                                      <w:spacing w:val="-1"/>
                                      <w:sz w:val="16"/>
                                    </w:rPr>
                                    <w:t xml:space="preserve"> </w:t>
                                  </w:r>
                                  <w:r>
                                    <w:rPr>
                                      <w:b/>
                                      <w:sz w:val="16"/>
                                    </w:rPr>
                                    <w:t xml:space="preserve">2017  </w:t>
                                  </w:r>
                                  <w:r>
                                    <w:rPr>
                                      <w:b/>
                                      <w:spacing w:val="20"/>
                                      <w:sz w:val="16"/>
                                    </w:rPr>
                                    <w:t xml:space="preserve"> </w:t>
                                  </w:r>
                                  <w:r>
                                    <w:rPr>
                                      <w:sz w:val="16"/>
                                    </w:rPr>
                                    <w:t>$</w:t>
                                  </w:r>
                                  <w:r>
                                    <w:rPr>
                                      <w:sz w:val="16"/>
                                    </w:rPr>
                                    <w:tab/>
                                    <w:t>508</w:t>
                                  </w:r>
                                </w:p>
                              </w:tc>
                              <w:tc>
                                <w:tcPr>
                                  <w:tcW w:w="975" w:type="dxa"/>
                                  <w:shd w:val="clear" w:color="auto" w:fill="CCEDFF"/>
                                </w:tcPr>
                                <w:p w14:paraId="7326D85E" w14:textId="77777777" w:rsidR="00EF3DFB" w:rsidRDefault="00D27C17">
                                  <w:pPr>
                                    <w:pStyle w:val="TableParagraph"/>
                                    <w:tabs>
                                      <w:tab w:val="left" w:pos="485"/>
                                    </w:tabs>
                                    <w:spacing w:line="177" w:lineRule="exact"/>
                                    <w:ind w:right="68"/>
                                    <w:jc w:val="right"/>
                                    <w:rPr>
                                      <w:sz w:val="16"/>
                                    </w:rPr>
                                  </w:pPr>
                                  <w:r>
                                    <w:rPr>
                                      <w:sz w:val="16"/>
                                    </w:rPr>
                                    <w:t>$</w:t>
                                  </w:r>
                                  <w:r>
                                    <w:rPr>
                                      <w:sz w:val="16"/>
                                    </w:rPr>
                                    <w:tab/>
                                    <w:t>(574)</w:t>
                                  </w:r>
                                </w:p>
                              </w:tc>
                              <w:tc>
                                <w:tcPr>
                                  <w:tcW w:w="975" w:type="dxa"/>
                                  <w:shd w:val="clear" w:color="auto" w:fill="CCEDFF"/>
                                </w:tcPr>
                                <w:p w14:paraId="7326D85F" w14:textId="77777777" w:rsidR="00EF3DFB" w:rsidRDefault="00D27C17">
                                  <w:pPr>
                                    <w:pStyle w:val="TableParagraph"/>
                                    <w:tabs>
                                      <w:tab w:val="left" w:pos="339"/>
                                    </w:tabs>
                                    <w:spacing w:line="177" w:lineRule="exact"/>
                                    <w:ind w:right="122"/>
                                    <w:jc w:val="right"/>
                                    <w:rPr>
                                      <w:sz w:val="16"/>
                                    </w:rPr>
                                  </w:pPr>
                                  <w:r>
                                    <w:rPr>
                                      <w:sz w:val="16"/>
                                    </w:rPr>
                                    <w:t>$</w:t>
                                  </w:r>
                                  <w:r>
                                    <w:rPr>
                                      <w:sz w:val="16"/>
                                    </w:rPr>
                                    <w:tab/>
                                  </w:r>
                                  <w:r>
                                    <w:rPr>
                                      <w:spacing w:val="-1"/>
                                      <w:sz w:val="16"/>
                                    </w:rPr>
                                    <w:t>10,362</w:t>
                                  </w:r>
                                </w:p>
                              </w:tc>
                              <w:tc>
                                <w:tcPr>
                                  <w:tcW w:w="975" w:type="dxa"/>
                                  <w:shd w:val="clear" w:color="auto" w:fill="CCEDFF"/>
                                </w:tcPr>
                                <w:p w14:paraId="7326D860" w14:textId="77777777" w:rsidR="00EF3DFB" w:rsidRDefault="00D27C17">
                                  <w:pPr>
                                    <w:pStyle w:val="TableParagraph"/>
                                    <w:tabs>
                                      <w:tab w:val="left" w:pos="490"/>
                                    </w:tabs>
                                    <w:spacing w:line="177" w:lineRule="exact"/>
                                    <w:ind w:left="71"/>
                                    <w:rPr>
                                      <w:sz w:val="16"/>
                                    </w:rPr>
                                  </w:pPr>
                                  <w:r>
                                    <w:rPr>
                                      <w:sz w:val="16"/>
                                    </w:rPr>
                                    <w:t>$</w:t>
                                  </w:r>
                                  <w:r>
                                    <w:rPr>
                                      <w:sz w:val="16"/>
                                    </w:rPr>
                                    <w:tab/>
                                    <w:t>4,611</w:t>
                                  </w:r>
                                </w:p>
                              </w:tc>
                              <w:tc>
                                <w:tcPr>
                                  <w:tcW w:w="1290" w:type="dxa"/>
                                  <w:shd w:val="clear" w:color="auto" w:fill="CCEDFF"/>
                                </w:tcPr>
                                <w:p w14:paraId="7326D861" w14:textId="77777777" w:rsidR="00EF3DFB" w:rsidRDefault="00D27C17">
                                  <w:pPr>
                                    <w:pStyle w:val="TableParagraph"/>
                                    <w:tabs>
                                      <w:tab w:val="left" w:pos="800"/>
                                    </w:tabs>
                                    <w:spacing w:line="177" w:lineRule="exact"/>
                                    <w:ind w:right="68"/>
                                    <w:jc w:val="right"/>
                                    <w:rPr>
                                      <w:sz w:val="16"/>
                                    </w:rPr>
                                  </w:pPr>
                                  <w:r>
                                    <w:rPr>
                                      <w:sz w:val="16"/>
                                    </w:rPr>
                                    <w:t>$</w:t>
                                  </w:r>
                                  <w:r>
                                    <w:rPr>
                                      <w:sz w:val="16"/>
                                    </w:rPr>
                                    <w:tab/>
                                    <w:t>(763)</w:t>
                                  </w:r>
                                </w:p>
                              </w:tc>
                              <w:tc>
                                <w:tcPr>
                                  <w:tcW w:w="1170" w:type="dxa"/>
                                  <w:shd w:val="clear" w:color="auto" w:fill="CCEDFF"/>
                                </w:tcPr>
                                <w:p w14:paraId="7326D862" w14:textId="77777777" w:rsidR="00EF3DFB" w:rsidRDefault="00D27C17">
                                  <w:pPr>
                                    <w:pStyle w:val="TableParagraph"/>
                                    <w:tabs>
                                      <w:tab w:val="left" w:pos="533"/>
                                    </w:tabs>
                                    <w:spacing w:line="177" w:lineRule="exact"/>
                                    <w:ind w:right="122"/>
                                    <w:jc w:val="right"/>
                                    <w:rPr>
                                      <w:sz w:val="16"/>
                                    </w:rPr>
                                  </w:pPr>
                                  <w:r>
                                    <w:rPr>
                                      <w:sz w:val="16"/>
                                    </w:rPr>
                                    <w:t>$</w:t>
                                  </w:r>
                                  <w:r>
                                    <w:rPr>
                                      <w:sz w:val="16"/>
                                    </w:rPr>
                                    <w:tab/>
                                    <w:t>14,144</w:t>
                                  </w:r>
                                </w:p>
                              </w:tc>
                              <w:tc>
                                <w:tcPr>
                                  <w:tcW w:w="975" w:type="dxa"/>
                                  <w:shd w:val="clear" w:color="auto" w:fill="CCEDFF"/>
                                </w:tcPr>
                                <w:p w14:paraId="7326D863" w14:textId="77777777" w:rsidR="00EF3DFB" w:rsidRDefault="00D27C17">
                                  <w:pPr>
                                    <w:pStyle w:val="TableParagraph"/>
                                    <w:tabs>
                                      <w:tab w:val="left" w:pos="690"/>
                                    </w:tabs>
                                    <w:spacing w:line="177" w:lineRule="exact"/>
                                    <w:ind w:left="71"/>
                                    <w:rPr>
                                      <w:sz w:val="16"/>
                                    </w:rPr>
                                  </w:pPr>
                                  <w:r>
                                    <w:rPr>
                                      <w:sz w:val="16"/>
                                    </w:rPr>
                                    <w:t>$</w:t>
                                  </w:r>
                                  <w:r>
                                    <w:rPr>
                                      <w:sz w:val="16"/>
                                    </w:rPr>
                                    <w:tab/>
                                    <w:t>37</w:t>
                                  </w:r>
                                </w:p>
                              </w:tc>
                              <w:tc>
                                <w:tcPr>
                                  <w:tcW w:w="1123" w:type="dxa"/>
                                  <w:shd w:val="clear" w:color="auto" w:fill="CCEDFF"/>
                                </w:tcPr>
                                <w:p w14:paraId="7326D864" w14:textId="77777777" w:rsidR="00EF3DFB" w:rsidRDefault="00D27C17">
                                  <w:pPr>
                                    <w:pStyle w:val="TableParagraph"/>
                                    <w:tabs>
                                      <w:tab w:val="left" w:pos="533"/>
                                    </w:tabs>
                                    <w:spacing w:line="177" w:lineRule="exact"/>
                                    <w:ind w:right="75"/>
                                    <w:jc w:val="right"/>
                                    <w:rPr>
                                      <w:sz w:val="16"/>
                                    </w:rPr>
                                  </w:pPr>
                                  <w:r>
                                    <w:rPr>
                                      <w:sz w:val="16"/>
                                    </w:rPr>
                                    <w:t>$</w:t>
                                  </w:r>
                                  <w:r>
                                    <w:rPr>
                                      <w:sz w:val="16"/>
                                    </w:rPr>
                                    <w:tab/>
                                    <w:t>14,181</w:t>
                                  </w:r>
                                </w:p>
                              </w:tc>
                            </w:tr>
                            <w:tr w:rsidR="00EF3DFB" w14:paraId="7326D86E" w14:textId="77777777">
                              <w:trPr>
                                <w:trHeight w:val="495"/>
                              </w:trPr>
                              <w:tc>
                                <w:tcPr>
                                  <w:tcW w:w="3146" w:type="dxa"/>
                                </w:tcPr>
                                <w:p w14:paraId="7326D866"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loss</w:t>
                                  </w:r>
                                  <w:r>
                                    <w:rPr>
                                      <w:sz w:val="16"/>
                                    </w:rPr>
                                    <w:tab/>
                                    <w:t>—</w:t>
                                  </w:r>
                                </w:p>
                              </w:tc>
                              <w:tc>
                                <w:tcPr>
                                  <w:tcW w:w="975" w:type="dxa"/>
                                </w:tcPr>
                                <w:p w14:paraId="7326D867" w14:textId="77777777" w:rsidR="00EF3DFB" w:rsidRDefault="00D27C17">
                                  <w:pPr>
                                    <w:pStyle w:val="TableParagraph"/>
                                    <w:spacing w:before="147"/>
                                    <w:ind w:right="122"/>
                                    <w:jc w:val="right"/>
                                    <w:rPr>
                                      <w:sz w:val="16"/>
                                    </w:rPr>
                                  </w:pPr>
                                  <w:r>
                                    <w:rPr>
                                      <w:sz w:val="16"/>
                                    </w:rPr>
                                    <w:t>—</w:t>
                                  </w:r>
                                </w:p>
                              </w:tc>
                              <w:tc>
                                <w:tcPr>
                                  <w:tcW w:w="975" w:type="dxa"/>
                                </w:tcPr>
                                <w:p w14:paraId="7326D868" w14:textId="77777777" w:rsidR="00EF3DFB" w:rsidRDefault="00D27C17">
                                  <w:pPr>
                                    <w:pStyle w:val="TableParagraph"/>
                                    <w:spacing w:before="147"/>
                                    <w:ind w:right="122"/>
                                    <w:jc w:val="right"/>
                                    <w:rPr>
                                      <w:sz w:val="16"/>
                                    </w:rPr>
                                  </w:pPr>
                                  <w:r>
                                    <w:rPr>
                                      <w:sz w:val="16"/>
                                    </w:rPr>
                                    <w:t>—</w:t>
                                  </w:r>
                                </w:p>
                              </w:tc>
                              <w:tc>
                                <w:tcPr>
                                  <w:tcW w:w="975" w:type="dxa"/>
                                </w:tcPr>
                                <w:p w14:paraId="7326D869" w14:textId="77777777" w:rsidR="00EF3DFB" w:rsidRDefault="00D27C17">
                                  <w:pPr>
                                    <w:pStyle w:val="TableParagraph"/>
                                    <w:spacing w:before="147"/>
                                    <w:ind w:right="68"/>
                                    <w:jc w:val="right"/>
                                    <w:rPr>
                                      <w:sz w:val="16"/>
                                    </w:rPr>
                                  </w:pPr>
                                  <w:r>
                                    <w:rPr>
                                      <w:sz w:val="16"/>
                                    </w:rPr>
                                    <w:t>(6,942)</w:t>
                                  </w:r>
                                </w:p>
                              </w:tc>
                              <w:tc>
                                <w:tcPr>
                                  <w:tcW w:w="1290" w:type="dxa"/>
                                </w:tcPr>
                                <w:p w14:paraId="7326D86A" w14:textId="77777777" w:rsidR="00EF3DFB" w:rsidRDefault="00D27C17">
                                  <w:pPr>
                                    <w:pStyle w:val="TableParagraph"/>
                                    <w:spacing w:before="147"/>
                                    <w:ind w:right="68"/>
                                    <w:jc w:val="right"/>
                                    <w:rPr>
                                      <w:sz w:val="16"/>
                                    </w:rPr>
                                  </w:pPr>
                                  <w:r>
                                    <w:rPr>
                                      <w:sz w:val="16"/>
                                    </w:rPr>
                                    <w:t>(83)</w:t>
                                  </w:r>
                                </w:p>
                              </w:tc>
                              <w:tc>
                                <w:tcPr>
                                  <w:tcW w:w="1170" w:type="dxa"/>
                                </w:tcPr>
                                <w:p w14:paraId="7326D86B" w14:textId="77777777" w:rsidR="00EF3DFB" w:rsidRDefault="00D27C17">
                                  <w:pPr>
                                    <w:pStyle w:val="TableParagraph"/>
                                    <w:spacing w:before="147"/>
                                    <w:ind w:right="68"/>
                                    <w:jc w:val="right"/>
                                    <w:rPr>
                                      <w:sz w:val="16"/>
                                    </w:rPr>
                                  </w:pPr>
                                  <w:r>
                                    <w:rPr>
                                      <w:sz w:val="16"/>
                                    </w:rPr>
                                    <w:t>(7,025)</w:t>
                                  </w:r>
                                </w:p>
                              </w:tc>
                              <w:tc>
                                <w:tcPr>
                                  <w:tcW w:w="975" w:type="dxa"/>
                                </w:tcPr>
                                <w:p w14:paraId="7326D86C" w14:textId="77777777" w:rsidR="00EF3DFB" w:rsidRDefault="00D27C17">
                                  <w:pPr>
                                    <w:pStyle w:val="TableParagraph"/>
                                    <w:spacing w:before="147"/>
                                    <w:ind w:right="68"/>
                                    <w:jc w:val="right"/>
                                    <w:rPr>
                                      <w:sz w:val="16"/>
                                    </w:rPr>
                                  </w:pPr>
                                  <w:r>
                                    <w:rPr>
                                      <w:sz w:val="16"/>
                                    </w:rPr>
                                    <w:t>(4)</w:t>
                                  </w:r>
                                </w:p>
                              </w:tc>
                              <w:tc>
                                <w:tcPr>
                                  <w:tcW w:w="1123" w:type="dxa"/>
                                </w:tcPr>
                                <w:p w14:paraId="7326D86D" w14:textId="77777777" w:rsidR="00EF3DFB" w:rsidRDefault="00D27C17">
                                  <w:pPr>
                                    <w:pStyle w:val="TableParagraph"/>
                                    <w:spacing w:before="147"/>
                                    <w:ind w:right="21"/>
                                    <w:jc w:val="right"/>
                                    <w:rPr>
                                      <w:sz w:val="16"/>
                                    </w:rPr>
                                  </w:pPr>
                                  <w:r>
                                    <w:rPr>
                                      <w:sz w:val="16"/>
                                    </w:rPr>
                                    <w:t>(7,029)</w:t>
                                  </w:r>
                                </w:p>
                              </w:tc>
                            </w:tr>
                            <w:tr w:rsidR="00EF3DFB" w14:paraId="7326D877" w14:textId="77777777">
                              <w:trPr>
                                <w:trHeight w:val="495"/>
                              </w:trPr>
                              <w:tc>
                                <w:tcPr>
                                  <w:tcW w:w="3146" w:type="dxa"/>
                                  <w:shd w:val="clear" w:color="auto" w:fill="CCEDFF"/>
                                </w:tcPr>
                                <w:p w14:paraId="7326D86F"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shd w:val="clear" w:color="auto" w:fill="CCEDFF"/>
                                </w:tcPr>
                                <w:p w14:paraId="7326D870"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71" w14:textId="77777777" w:rsidR="00EF3DFB" w:rsidRDefault="00D27C17">
                                  <w:pPr>
                                    <w:pStyle w:val="TableParagraph"/>
                                    <w:spacing w:before="147"/>
                                    <w:ind w:right="68"/>
                                    <w:jc w:val="right"/>
                                    <w:rPr>
                                      <w:sz w:val="16"/>
                                    </w:rPr>
                                  </w:pPr>
                                  <w:r>
                                    <w:rPr>
                                      <w:sz w:val="16"/>
                                    </w:rPr>
                                    <w:t>(211)</w:t>
                                  </w:r>
                                </w:p>
                              </w:tc>
                              <w:tc>
                                <w:tcPr>
                                  <w:tcW w:w="975" w:type="dxa"/>
                                  <w:shd w:val="clear" w:color="auto" w:fill="CCEDFF"/>
                                </w:tcPr>
                                <w:p w14:paraId="7326D872" w14:textId="77777777" w:rsidR="00EF3DFB" w:rsidRDefault="00D27C17">
                                  <w:pPr>
                                    <w:pStyle w:val="TableParagraph"/>
                                    <w:spacing w:before="147"/>
                                    <w:ind w:right="68"/>
                                    <w:jc w:val="right"/>
                                    <w:rPr>
                                      <w:sz w:val="16"/>
                                    </w:rPr>
                                  </w:pPr>
                                  <w:r>
                                    <w:rPr>
                                      <w:sz w:val="16"/>
                                    </w:rPr>
                                    <w:t>(225)</w:t>
                                  </w:r>
                                </w:p>
                              </w:tc>
                              <w:tc>
                                <w:tcPr>
                                  <w:tcW w:w="1290" w:type="dxa"/>
                                  <w:shd w:val="clear" w:color="auto" w:fill="CCEDFF"/>
                                </w:tcPr>
                                <w:p w14:paraId="7326D873"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74" w14:textId="77777777" w:rsidR="00EF3DFB" w:rsidRDefault="00D27C17">
                                  <w:pPr>
                                    <w:pStyle w:val="TableParagraph"/>
                                    <w:spacing w:before="147"/>
                                    <w:ind w:right="68"/>
                                    <w:jc w:val="right"/>
                                    <w:rPr>
                                      <w:sz w:val="16"/>
                                    </w:rPr>
                                  </w:pPr>
                                  <w:r>
                                    <w:rPr>
                                      <w:sz w:val="16"/>
                                    </w:rPr>
                                    <w:t>(436)</w:t>
                                  </w:r>
                                </w:p>
                              </w:tc>
                              <w:tc>
                                <w:tcPr>
                                  <w:tcW w:w="975" w:type="dxa"/>
                                  <w:shd w:val="clear" w:color="auto" w:fill="CCEDFF"/>
                                </w:tcPr>
                                <w:p w14:paraId="7326D875"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76" w14:textId="77777777" w:rsidR="00EF3DFB" w:rsidRDefault="00D27C17">
                                  <w:pPr>
                                    <w:pStyle w:val="TableParagraph"/>
                                    <w:spacing w:before="147"/>
                                    <w:ind w:right="21"/>
                                    <w:jc w:val="right"/>
                                    <w:rPr>
                                      <w:sz w:val="16"/>
                                    </w:rPr>
                                  </w:pPr>
                                  <w:r>
                                    <w:rPr>
                                      <w:sz w:val="16"/>
                                    </w:rPr>
                                    <w:t>(436)</w:t>
                                  </w:r>
                                </w:p>
                              </w:tc>
                            </w:tr>
                            <w:tr w:rsidR="00EF3DFB" w14:paraId="7326D880" w14:textId="77777777">
                              <w:trPr>
                                <w:trHeight w:val="495"/>
                              </w:trPr>
                              <w:tc>
                                <w:tcPr>
                                  <w:tcW w:w="3146" w:type="dxa"/>
                                </w:tcPr>
                                <w:p w14:paraId="7326D878"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tcPr>
                                <w:p w14:paraId="7326D879" w14:textId="77777777" w:rsidR="00EF3DFB" w:rsidRDefault="00D27C17">
                                  <w:pPr>
                                    <w:pStyle w:val="TableParagraph"/>
                                    <w:spacing w:before="147"/>
                                    <w:ind w:right="68"/>
                                    <w:jc w:val="right"/>
                                    <w:rPr>
                                      <w:sz w:val="16"/>
                                    </w:rPr>
                                  </w:pPr>
                                  <w:r>
                                    <w:rPr>
                                      <w:sz w:val="16"/>
                                    </w:rPr>
                                    <w:t>(11)</w:t>
                                  </w:r>
                                </w:p>
                              </w:tc>
                              <w:tc>
                                <w:tcPr>
                                  <w:tcW w:w="975" w:type="dxa"/>
                                </w:tcPr>
                                <w:p w14:paraId="7326D87A" w14:textId="77777777" w:rsidR="00EF3DFB" w:rsidRDefault="00D27C17">
                                  <w:pPr>
                                    <w:pStyle w:val="TableParagraph"/>
                                    <w:spacing w:before="147"/>
                                    <w:ind w:right="122"/>
                                    <w:jc w:val="right"/>
                                    <w:rPr>
                                      <w:sz w:val="16"/>
                                    </w:rPr>
                                  </w:pPr>
                                  <w:r>
                                    <w:rPr>
                                      <w:sz w:val="16"/>
                                    </w:rPr>
                                    <w:t>74</w:t>
                                  </w:r>
                                </w:p>
                              </w:tc>
                              <w:tc>
                                <w:tcPr>
                                  <w:tcW w:w="975" w:type="dxa"/>
                                </w:tcPr>
                                <w:p w14:paraId="7326D87B" w14:textId="77777777" w:rsidR="00EF3DFB" w:rsidRDefault="00D27C17">
                                  <w:pPr>
                                    <w:pStyle w:val="TableParagraph"/>
                                    <w:spacing w:before="147"/>
                                    <w:ind w:right="122"/>
                                    <w:jc w:val="right"/>
                                    <w:rPr>
                                      <w:sz w:val="16"/>
                                    </w:rPr>
                                  </w:pPr>
                                  <w:r>
                                    <w:rPr>
                                      <w:sz w:val="16"/>
                                    </w:rPr>
                                    <w:t>—</w:t>
                                  </w:r>
                                </w:p>
                              </w:tc>
                              <w:tc>
                                <w:tcPr>
                                  <w:tcW w:w="1290" w:type="dxa"/>
                                </w:tcPr>
                                <w:p w14:paraId="7326D87C" w14:textId="77777777" w:rsidR="00EF3DFB" w:rsidRDefault="00D27C17">
                                  <w:pPr>
                                    <w:pStyle w:val="TableParagraph"/>
                                    <w:spacing w:before="147"/>
                                    <w:ind w:right="122"/>
                                    <w:jc w:val="right"/>
                                    <w:rPr>
                                      <w:sz w:val="16"/>
                                    </w:rPr>
                                  </w:pPr>
                                  <w:r>
                                    <w:rPr>
                                      <w:sz w:val="16"/>
                                    </w:rPr>
                                    <w:t>—</w:t>
                                  </w:r>
                                </w:p>
                              </w:tc>
                              <w:tc>
                                <w:tcPr>
                                  <w:tcW w:w="1170" w:type="dxa"/>
                                </w:tcPr>
                                <w:p w14:paraId="7326D87D" w14:textId="77777777" w:rsidR="00EF3DFB" w:rsidRDefault="00D27C17">
                                  <w:pPr>
                                    <w:pStyle w:val="TableParagraph"/>
                                    <w:spacing w:before="147"/>
                                    <w:ind w:right="122"/>
                                    <w:jc w:val="right"/>
                                    <w:rPr>
                                      <w:sz w:val="16"/>
                                    </w:rPr>
                                  </w:pPr>
                                  <w:r>
                                    <w:rPr>
                                      <w:sz w:val="16"/>
                                    </w:rPr>
                                    <w:t>64</w:t>
                                  </w:r>
                                </w:p>
                              </w:tc>
                              <w:tc>
                                <w:tcPr>
                                  <w:tcW w:w="975" w:type="dxa"/>
                                </w:tcPr>
                                <w:p w14:paraId="7326D87E" w14:textId="77777777" w:rsidR="00EF3DFB" w:rsidRDefault="00D27C17">
                                  <w:pPr>
                                    <w:pStyle w:val="TableParagraph"/>
                                    <w:spacing w:before="147"/>
                                    <w:ind w:right="122"/>
                                    <w:jc w:val="right"/>
                                    <w:rPr>
                                      <w:sz w:val="16"/>
                                    </w:rPr>
                                  </w:pPr>
                                  <w:r>
                                    <w:rPr>
                                      <w:sz w:val="16"/>
                                    </w:rPr>
                                    <w:t>—</w:t>
                                  </w:r>
                                </w:p>
                              </w:tc>
                              <w:tc>
                                <w:tcPr>
                                  <w:tcW w:w="1123" w:type="dxa"/>
                                </w:tcPr>
                                <w:p w14:paraId="7326D87F" w14:textId="77777777" w:rsidR="00EF3DFB" w:rsidRDefault="00D27C17">
                                  <w:pPr>
                                    <w:pStyle w:val="TableParagraph"/>
                                    <w:spacing w:before="147"/>
                                    <w:ind w:right="75"/>
                                    <w:jc w:val="right"/>
                                    <w:rPr>
                                      <w:sz w:val="16"/>
                                    </w:rPr>
                                  </w:pPr>
                                  <w:r>
                                    <w:rPr>
                                      <w:sz w:val="16"/>
                                    </w:rPr>
                                    <w:t>64</w:t>
                                  </w:r>
                                </w:p>
                              </w:tc>
                            </w:tr>
                            <w:tr w:rsidR="00EF3DFB" w14:paraId="7326D889" w14:textId="77777777">
                              <w:trPr>
                                <w:trHeight w:val="495"/>
                              </w:trPr>
                              <w:tc>
                                <w:tcPr>
                                  <w:tcW w:w="3146" w:type="dxa"/>
                                  <w:shd w:val="clear" w:color="auto" w:fill="CCEDFF"/>
                                </w:tcPr>
                                <w:p w14:paraId="7326D881" w14:textId="77777777" w:rsidR="00EF3DFB" w:rsidRDefault="00D27C17">
                                  <w:pPr>
                                    <w:pStyle w:val="TableParagraph"/>
                                    <w:tabs>
                                      <w:tab w:val="left" w:pos="2808"/>
                                    </w:tabs>
                                    <w:spacing w:before="67"/>
                                    <w:ind w:left="52"/>
                                    <w:rPr>
                                      <w:sz w:val="16"/>
                                    </w:rPr>
                                  </w:pPr>
                                  <w:r>
                                    <w:rPr>
                                      <w:sz w:val="16"/>
                                    </w:rPr>
                                    <w:t>Common stock</w:t>
                                  </w:r>
                                  <w:r>
                                    <w:rPr>
                                      <w:spacing w:val="-1"/>
                                      <w:sz w:val="16"/>
                                    </w:rPr>
                                    <w:t xml:space="preserve"> </w:t>
                                  </w:r>
                                  <w:r>
                                    <w:rPr>
                                      <w:sz w:val="16"/>
                                    </w:rPr>
                                    <w:t>purchased</w:t>
                                  </w:r>
                                  <w:r>
                                    <w:rPr>
                                      <w:spacing w:val="-1"/>
                                      <w:sz w:val="16"/>
                                    </w:rPr>
                                    <w:t xml:space="preserve"> </w:t>
                                  </w:r>
                                  <w:r>
                                    <w:rPr>
                                      <w:sz w:val="16"/>
                                    </w:rPr>
                                    <w:t>and</w:t>
                                  </w:r>
                                  <w:r>
                                    <w:rPr>
                                      <w:sz w:val="16"/>
                                    </w:rPr>
                                    <w:tab/>
                                  </w:r>
                                  <w:r>
                                    <w:rPr>
                                      <w:position w:val="-7"/>
                                      <w:sz w:val="16"/>
                                    </w:rPr>
                                    <w:t>(63)</w:t>
                                  </w:r>
                                </w:p>
                              </w:tc>
                              <w:tc>
                                <w:tcPr>
                                  <w:tcW w:w="975" w:type="dxa"/>
                                  <w:shd w:val="clear" w:color="auto" w:fill="CCEDFF"/>
                                </w:tcPr>
                                <w:p w14:paraId="7326D882"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83" w14:textId="77777777" w:rsidR="00EF3DFB" w:rsidRDefault="00D27C17">
                                  <w:pPr>
                                    <w:pStyle w:val="TableParagraph"/>
                                    <w:spacing w:before="147"/>
                                    <w:ind w:right="68"/>
                                    <w:jc w:val="right"/>
                                    <w:rPr>
                                      <w:sz w:val="16"/>
                                    </w:rPr>
                                  </w:pPr>
                                  <w:r>
                                    <w:rPr>
                                      <w:sz w:val="16"/>
                                    </w:rPr>
                                    <w:t>(1,444)</w:t>
                                  </w:r>
                                </w:p>
                              </w:tc>
                              <w:tc>
                                <w:tcPr>
                                  <w:tcW w:w="975" w:type="dxa"/>
                                  <w:shd w:val="clear" w:color="auto" w:fill="CCEDFF"/>
                                </w:tcPr>
                                <w:p w14:paraId="7326D884"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885"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86" w14:textId="77777777" w:rsidR="00EF3DFB" w:rsidRDefault="00D27C17">
                                  <w:pPr>
                                    <w:pStyle w:val="TableParagraph"/>
                                    <w:spacing w:before="147"/>
                                    <w:ind w:right="68"/>
                                    <w:jc w:val="right"/>
                                    <w:rPr>
                                      <w:sz w:val="16"/>
                                    </w:rPr>
                                  </w:pPr>
                                  <w:r>
                                    <w:rPr>
                                      <w:sz w:val="16"/>
                                    </w:rPr>
                                    <w:t>(1,507)</w:t>
                                  </w:r>
                                </w:p>
                              </w:tc>
                              <w:tc>
                                <w:tcPr>
                                  <w:tcW w:w="975" w:type="dxa"/>
                                  <w:shd w:val="clear" w:color="auto" w:fill="CCEDFF"/>
                                </w:tcPr>
                                <w:p w14:paraId="7326D887"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88" w14:textId="77777777" w:rsidR="00EF3DFB" w:rsidRDefault="00D27C17">
                                  <w:pPr>
                                    <w:pStyle w:val="TableParagraph"/>
                                    <w:spacing w:before="147"/>
                                    <w:ind w:right="21"/>
                                    <w:jc w:val="right"/>
                                    <w:rPr>
                                      <w:sz w:val="16"/>
                                    </w:rPr>
                                  </w:pPr>
                                  <w:r>
                                    <w:rPr>
                                      <w:sz w:val="16"/>
                                    </w:rPr>
                                    <w:t>(1,507)</w:t>
                                  </w:r>
                                </w:p>
                              </w:tc>
                            </w:tr>
                            <w:tr w:rsidR="00EF3DFB" w14:paraId="7326D899" w14:textId="77777777">
                              <w:trPr>
                                <w:trHeight w:val="600"/>
                              </w:trPr>
                              <w:tc>
                                <w:tcPr>
                                  <w:tcW w:w="3146" w:type="dxa"/>
                                </w:tcPr>
                                <w:p w14:paraId="7326D88A" w14:textId="77777777" w:rsidR="00EF3DFB" w:rsidRDefault="00D27C17">
                                  <w:pPr>
                                    <w:pStyle w:val="TableParagraph"/>
                                    <w:tabs>
                                      <w:tab w:val="left" w:pos="2861"/>
                                    </w:tabs>
                                    <w:spacing w:before="120"/>
                                    <w:ind w:left="52"/>
                                    <w:rPr>
                                      <w:sz w:val="16"/>
                                    </w:rPr>
                                  </w:pPr>
                                  <w:r>
                                    <w:rPr>
                                      <w:sz w:val="16"/>
                                    </w:rPr>
                                    <w:t>Impact of</w:t>
                                  </w:r>
                                  <w:r>
                                    <w:rPr>
                                      <w:spacing w:val="-1"/>
                                      <w:sz w:val="16"/>
                                    </w:rPr>
                                    <w:t xml:space="preserve"> </w:t>
                                  </w:r>
                                  <w:r>
                                    <w:rPr>
                                      <w:sz w:val="16"/>
                                    </w:rPr>
                                    <w:t>accounting</w:t>
                                  </w:r>
                                  <w:r>
                                    <w:rPr>
                                      <w:spacing w:val="-1"/>
                                      <w:sz w:val="16"/>
                                    </w:rPr>
                                    <w:t xml:space="preserve"> </w:t>
                                  </w:r>
                                  <w:r>
                                    <w:rPr>
                                      <w:sz w:val="16"/>
                                    </w:rPr>
                                    <w:t>standard</w:t>
                                  </w:r>
                                  <w:r>
                                    <w:rPr>
                                      <w:sz w:val="16"/>
                                    </w:rPr>
                                    <w:tab/>
                                  </w:r>
                                  <w:r>
                                    <w:rPr>
                                      <w:position w:val="-7"/>
                                      <w:sz w:val="16"/>
                                    </w:rPr>
                                    <w:t>—</w:t>
                                  </w:r>
                                </w:p>
                              </w:tc>
                              <w:tc>
                                <w:tcPr>
                                  <w:tcW w:w="975" w:type="dxa"/>
                                </w:tcPr>
                                <w:p w14:paraId="7326D88B" w14:textId="77777777" w:rsidR="00EF3DFB" w:rsidRDefault="00EF3DFB">
                                  <w:pPr>
                                    <w:pStyle w:val="TableParagraph"/>
                                    <w:spacing w:before="4"/>
                                    <w:rPr>
                                      <w:i/>
                                      <w:sz w:val="17"/>
                                    </w:rPr>
                                  </w:pPr>
                                </w:p>
                                <w:p w14:paraId="7326D88C" w14:textId="77777777" w:rsidR="00EF3DFB" w:rsidRDefault="00D27C17">
                                  <w:pPr>
                                    <w:pStyle w:val="TableParagraph"/>
                                    <w:ind w:right="122"/>
                                    <w:jc w:val="right"/>
                                    <w:rPr>
                                      <w:sz w:val="16"/>
                                    </w:rPr>
                                  </w:pPr>
                                  <w:r>
                                    <w:rPr>
                                      <w:sz w:val="16"/>
                                    </w:rPr>
                                    <w:t>—</w:t>
                                  </w:r>
                                </w:p>
                              </w:tc>
                              <w:tc>
                                <w:tcPr>
                                  <w:tcW w:w="975" w:type="dxa"/>
                                </w:tcPr>
                                <w:p w14:paraId="7326D88D" w14:textId="77777777" w:rsidR="00EF3DFB" w:rsidRDefault="00EF3DFB">
                                  <w:pPr>
                                    <w:pStyle w:val="TableParagraph"/>
                                    <w:spacing w:before="4"/>
                                    <w:rPr>
                                      <w:i/>
                                      <w:sz w:val="17"/>
                                    </w:rPr>
                                  </w:pPr>
                                </w:p>
                                <w:p w14:paraId="7326D88E" w14:textId="77777777" w:rsidR="00EF3DFB" w:rsidRDefault="00D27C17">
                                  <w:pPr>
                                    <w:pStyle w:val="TableParagraph"/>
                                    <w:ind w:right="122"/>
                                    <w:jc w:val="right"/>
                                    <w:rPr>
                                      <w:sz w:val="16"/>
                                    </w:rPr>
                                  </w:pPr>
                                  <w:r>
                                    <w:rPr>
                                      <w:sz w:val="16"/>
                                    </w:rPr>
                                    <w:t>—</w:t>
                                  </w:r>
                                </w:p>
                              </w:tc>
                              <w:tc>
                                <w:tcPr>
                                  <w:tcW w:w="975" w:type="dxa"/>
                                </w:tcPr>
                                <w:p w14:paraId="7326D88F" w14:textId="77777777" w:rsidR="00EF3DFB" w:rsidRDefault="00EF3DFB">
                                  <w:pPr>
                                    <w:pStyle w:val="TableParagraph"/>
                                    <w:spacing w:before="4"/>
                                    <w:rPr>
                                      <w:i/>
                                      <w:sz w:val="17"/>
                                    </w:rPr>
                                  </w:pPr>
                                </w:p>
                                <w:p w14:paraId="7326D890" w14:textId="77777777" w:rsidR="00EF3DFB" w:rsidRDefault="00D27C17">
                                  <w:pPr>
                                    <w:pStyle w:val="TableParagraph"/>
                                    <w:ind w:right="122"/>
                                    <w:jc w:val="right"/>
                                    <w:rPr>
                                      <w:sz w:val="16"/>
                                    </w:rPr>
                                  </w:pPr>
                                  <w:r>
                                    <w:rPr>
                                      <w:sz w:val="16"/>
                                    </w:rPr>
                                    <w:t>45</w:t>
                                  </w:r>
                                </w:p>
                              </w:tc>
                              <w:tc>
                                <w:tcPr>
                                  <w:tcW w:w="1290" w:type="dxa"/>
                                </w:tcPr>
                                <w:p w14:paraId="7326D891" w14:textId="77777777" w:rsidR="00EF3DFB" w:rsidRDefault="00EF3DFB">
                                  <w:pPr>
                                    <w:pStyle w:val="TableParagraph"/>
                                    <w:spacing w:before="4"/>
                                    <w:rPr>
                                      <w:i/>
                                      <w:sz w:val="17"/>
                                    </w:rPr>
                                  </w:pPr>
                                </w:p>
                                <w:p w14:paraId="7326D892" w14:textId="77777777" w:rsidR="00EF3DFB" w:rsidRDefault="00D27C17">
                                  <w:pPr>
                                    <w:pStyle w:val="TableParagraph"/>
                                    <w:ind w:right="68"/>
                                    <w:jc w:val="right"/>
                                    <w:rPr>
                                      <w:sz w:val="16"/>
                                    </w:rPr>
                                  </w:pPr>
                                  <w:r>
                                    <w:rPr>
                                      <w:sz w:val="16"/>
                                    </w:rPr>
                                    <w:t>(63)</w:t>
                                  </w:r>
                                </w:p>
                              </w:tc>
                              <w:tc>
                                <w:tcPr>
                                  <w:tcW w:w="1170" w:type="dxa"/>
                                </w:tcPr>
                                <w:p w14:paraId="7326D893" w14:textId="77777777" w:rsidR="00EF3DFB" w:rsidRDefault="00EF3DFB">
                                  <w:pPr>
                                    <w:pStyle w:val="TableParagraph"/>
                                    <w:spacing w:before="4"/>
                                    <w:rPr>
                                      <w:i/>
                                      <w:sz w:val="17"/>
                                    </w:rPr>
                                  </w:pPr>
                                </w:p>
                                <w:p w14:paraId="7326D894" w14:textId="77777777" w:rsidR="00EF3DFB" w:rsidRDefault="00D27C17">
                                  <w:pPr>
                                    <w:pStyle w:val="TableParagraph"/>
                                    <w:ind w:right="68"/>
                                    <w:jc w:val="right"/>
                                    <w:rPr>
                                      <w:sz w:val="16"/>
                                    </w:rPr>
                                  </w:pPr>
                                  <w:r>
                                    <w:rPr>
                                      <w:sz w:val="16"/>
                                    </w:rPr>
                                    <w:t>(18)</w:t>
                                  </w:r>
                                </w:p>
                              </w:tc>
                              <w:tc>
                                <w:tcPr>
                                  <w:tcW w:w="975" w:type="dxa"/>
                                </w:tcPr>
                                <w:p w14:paraId="7326D895" w14:textId="77777777" w:rsidR="00EF3DFB" w:rsidRDefault="00EF3DFB">
                                  <w:pPr>
                                    <w:pStyle w:val="TableParagraph"/>
                                    <w:spacing w:before="4"/>
                                    <w:rPr>
                                      <w:i/>
                                      <w:sz w:val="17"/>
                                    </w:rPr>
                                  </w:pPr>
                                </w:p>
                                <w:p w14:paraId="7326D896" w14:textId="77777777" w:rsidR="00EF3DFB" w:rsidRDefault="00D27C17">
                                  <w:pPr>
                                    <w:pStyle w:val="TableParagraph"/>
                                    <w:ind w:right="122"/>
                                    <w:jc w:val="right"/>
                                    <w:rPr>
                                      <w:sz w:val="16"/>
                                    </w:rPr>
                                  </w:pPr>
                                  <w:r>
                                    <w:rPr>
                                      <w:sz w:val="16"/>
                                    </w:rPr>
                                    <w:t>—</w:t>
                                  </w:r>
                                </w:p>
                              </w:tc>
                              <w:tc>
                                <w:tcPr>
                                  <w:tcW w:w="1123" w:type="dxa"/>
                                </w:tcPr>
                                <w:p w14:paraId="7326D897" w14:textId="77777777" w:rsidR="00EF3DFB" w:rsidRDefault="00EF3DFB">
                                  <w:pPr>
                                    <w:pStyle w:val="TableParagraph"/>
                                    <w:spacing w:before="4"/>
                                    <w:rPr>
                                      <w:i/>
                                      <w:sz w:val="17"/>
                                    </w:rPr>
                                  </w:pPr>
                                </w:p>
                                <w:p w14:paraId="7326D898" w14:textId="77777777" w:rsidR="00EF3DFB" w:rsidRDefault="00D27C17">
                                  <w:pPr>
                                    <w:pStyle w:val="TableParagraph"/>
                                    <w:ind w:right="21"/>
                                    <w:jc w:val="right"/>
                                    <w:rPr>
                                      <w:sz w:val="16"/>
                                    </w:rPr>
                                  </w:pPr>
                                  <w:r>
                                    <w:rPr>
                                      <w:sz w:val="16"/>
                                    </w:rPr>
                                    <w:t>(18)</w:t>
                                  </w:r>
                                </w:p>
                              </w:tc>
                            </w:tr>
                            <w:tr w:rsidR="00EF3DFB" w14:paraId="7326D8A9" w14:textId="77777777">
                              <w:trPr>
                                <w:trHeight w:val="590"/>
                              </w:trPr>
                              <w:tc>
                                <w:tcPr>
                                  <w:tcW w:w="3146" w:type="dxa"/>
                                  <w:tcBorders>
                                    <w:bottom w:val="single" w:sz="8" w:space="0" w:color="000000"/>
                                  </w:tcBorders>
                                  <w:shd w:val="clear" w:color="auto" w:fill="CCEDFF"/>
                                </w:tcPr>
                                <w:p w14:paraId="7326D89A" w14:textId="77777777" w:rsidR="00EF3DFB" w:rsidRDefault="00D27C17">
                                  <w:pPr>
                                    <w:pStyle w:val="TableParagraph"/>
                                    <w:tabs>
                                      <w:tab w:val="left" w:pos="2861"/>
                                    </w:tabs>
                                    <w:spacing w:before="120"/>
                                    <w:ind w:left="52"/>
                                    <w:rPr>
                                      <w:sz w:val="16"/>
                                    </w:rPr>
                                  </w:pPr>
                                  <w:r>
                                    <w:rPr>
                                      <w:sz w:val="16"/>
                                    </w:rPr>
                                    <w:t>Portion of net loss</w:t>
                                  </w:r>
                                  <w:r>
                                    <w:rPr>
                                      <w:spacing w:val="-2"/>
                                      <w:sz w:val="16"/>
                                    </w:rPr>
                                    <w:t xml:space="preserve"> </w:t>
                                  </w:r>
                                  <w:r>
                                    <w:rPr>
                                      <w:sz w:val="16"/>
                                    </w:rPr>
                                    <w:t>attributable</w:t>
                                  </w:r>
                                  <w:r>
                                    <w:rPr>
                                      <w:spacing w:val="-1"/>
                                      <w:sz w:val="16"/>
                                    </w:rPr>
                                    <w:t xml:space="preserve"> </w:t>
                                  </w:r>
                                  <w:r>
                                    <w:rPr>
                                      <w:sz w:val="16"/>
                                    </w:rPr>
                                    <w:t>to</w:t>
                                  </w:r>
                                  <w:r>
                                    <w:rPr>
                                      <w:sz w:val="16"/>
                                    </w:rPr>
                                    <w:tab/>
                                  </w:r>
                                  <w:r>
                                    <w:rPr>
                                      <w:position w:val="-7"/>
                                      <w:sz w:val="16"/>
                                    </w:rPr>
                                    <w:t>—</w:t>
                                  </w:r>
                                </w:p>
                              </w:tc>
                              <w:tc>
                                <w:tcPr>
                                  <w:tcW w:w="975" w:type="dxa"/>
                                  <w:tcBorders>
                                    <w:bottom w:val="single" w:sz="8" w:space="0" w:color="000000"/>
                                  </w:tcBorders>
                                  <w:shd w:val="clear" w:color="auto" w:fill="CCEDFF"/>
                                </w:tcPr>
                                <w:p w14:paraId="7326D89B" w14:textId="77777777" w:rsidR="00EF3DFB" w:rsidRDefault="00EF3DFB">
                                  <w:pPr>
                                    <w:pStyle w:val="TableParagraph"/>
                                    <w:spacing w:before="4"/>
                                    <w:rPr>
                                      <w:i/>
                                      <w:sz w:val="17"/>
                                    </w:rPr>
                                  </w:pPr>
                                </w:p>
                                <w:p w14:paraId="7326D89C"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9D" w14:textId="77777777" w:rsidR="00EF3DFB" w:rsidRDefault="00EF3DFB">
                                  <w:pPr>
                                    <w:pStyle w:val="TableParagraph"/>
                                    <w:spacing w:before="4"/>
                                    <w:rPr>
                                      <w:i/>
                                      <w:sz w:val="17"/>
                                    </w:rPr>
                                  </w:pPr>
                                </w:p>
                                <w:p w14:paraId="7326D89E"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9F" w14:textId="77777777" w:rsidR="00EF3DFB" w:rsidRDefault="00EF3DFB">
                                  <w:pPr>
                                    <w:pStyle w:val="TableParagraph"/>
                                    <w:spacing w:before="4"/>
                                    <w:rPr>
                                      <w:i/>
                                      <w:sz w:val="17"/>
                                    </w:rPr>
                                  </w:pPr>
                                </w:p>
                                <w:p w14:paraId="7326D8A0"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8A1" w14:textId="77777777" w:rsidR="00EF3DFB" w:rsidRDefault="00EF3DFB">
                                  <w:pPr>
                                    <w:pStyle w:val="TableParagraph"/>
                                    <w:spacing w:before="4"/>
                                    <w:rPr>
                                      <w:i/>
                                      <w:sz w:val="17"/>
                                    </w:rPr>
                                  </w:pPr>
                                </w:p>
                                <w:p w14:paraId="7326D8A2" w14:textId="77777777" w:rsidR="00EF3DFB" w:rsidRDefault="00D27C17">
                                  <w:pPr>
                                    <w:pStyle w:val="TableParagraph"/>
                                    <w:ind w:right="68"/>
                                    <w:jc w:val="right"/>
                                    <w:rPr>
                                      <w:sz w:val="16"/>
                                    </w:rPr>
                                  </w:pPr>
                                  <w:r>
                                    <w:rPr>
                                      <w:sz w:val="16"/>
                                    </w:rPr>
                                    <w:t>(4)</w:t>
                                  </w:r>
                                </w:p>
                              </w:tc>
                              <w:tc>
                                <w:tcPr>
                                  <w:tcW w:w="1170" w:type="dxa"/>
                                  <w:tcBorders>
                                    <w:bottom w:val="single" w:sz="8" w:space="0" w:color="000000"/>
                                  </w:tcBorders>
                                  <w:shd w:val="clear" w:color="auto" w:fill="CCEDFF"/>
                                </w:tcPr>
                                <w:p w14:paraId="7326D8A3" w14:textId="77777777" w:rsidR="00EF3DFB" w:rsidRDefault="00EF3DFB">
                                  <w:pPr>
                                    <w:pStyle w:val="TableParagraph"/>
                                    <w:spacing w:before="4"/>
                                    <w:rPr>
                                      <w:i/>
                                      <w:sz w:val="17"/>
                                    </w:rPr>
                                  </w:pPr>
                                </w:p>
                                <w:p w14:paraId="7326D8A4" w14:textId="77777777" w:rsidR="00EF3DFB" w:rsidRDefault="00D27C17">
                                  <w:pPr>
                                    <w:pStyle w:val="TableParagraph"/>
                                    <w:ind w:right="68"/>
                                    <w:jc w:val="right"/>
                                    <w:rPr>
                                      <w:sz w:val="16"/>
                                    </w:rPr>
                                  </w:pPr>
                                  <w:r>
                                    <w:rPr>
                                      <w:sz w:val="16"/>
                                    </w:rPr>
                                    <w:t>(4)</w:t>
                                  </w:r>
                                </w:p>
                              </w:tc>
                              <w:tc>
                                <w:tcPr>
                                  <w:tcW w:w="975" w:type="dxa"/>
                                  <w:tcBorders>
                                    <w:bottom w:val="single" w:sz="8" w:space="0" w:color="000000"/>
                                  </w:tcBorders>
                                  <w:shd w:val="clear" w:color="auto" w:fill="CCEDFF"/>
                                </w:tcPr>
                                <w:p w14:paraId="7326D8A5" w14:textId="77777777" w:rsidR="00EF3DFB" w:rsidRDefault="00EF3DFB">
                                  <w:pPr>
                                    <w:pStyle w:val="TableParagraph"/>
                                    <w:spacing w:before="4"/>
                                    <w:rPr>
                                      <w:i/>
                                      <w:sz w:val="17"/>
                                    </w:rPr>
                                  </w:pPr>
                                </w:p>
                                <w:p w14:paraId="7326D8A6" w14:textId="77777777" w:rsidR="00EF3DFB" w:rsidRDefault="00D27C17">
                                  <w:pPr>
                                    <w:pStyle w:val="TableParagraph"/>
                                    <w:ind w:right="122"/>
                                    <w:jc w:val="right"/>
                                    <w:rPr>
                                      <w:sz w:val="16"/>
                                    </w:rPr>
                                  </w:pPr>
                                  <w:r>
                                    <w:rPr>
                                      <w:sz w:val="16"/>
                                    </w:rPr>
                                    <w:t>2</w:t>
                                  </w:r>
                                </w:p>
                              </w:tc>
                              <w:tc>
                                <w:tcPr>
                                  <w:tcW w:w="1123" w:type="dxa"/>
                                  <w:tcBorders>
                                    <w:bottom w:val="single" w:sz="8" w:space="0" w:color="000000"/>
                                  </w:tcBorders>
                                  <w:shd w:val="clear" w:color="auto" w:fill="CCEDFF"/>
                                </w:tcPr>
                                <w:p w14:paraId="7326D8A7" w14:textId="77777777" w:rsidR="00EF3DFB" w:rsidRDefault="00EF3DFB">
                                  <w:pPr>
                                    <w:pStyle w:val="TableParagraph"/>
                                    <w:spacing w:before="4"/>
                                    <w:rPr>
                                      <w:i/>
                                      <w:sz w:val="17"/>
                                    </w:rPr>
                                  </w:pPr>
                                </w:p>
                                <w:p w14:paraId="7326D8A8" w14:textId="77777777" w:rsidR="00EF3DFB" w:rsidRDefault="00D27C17">
                                  <w:pPr>
                                    <w:pStyle w:val="TableParagraph"/>
                                    <w:ind w:right="21"/>
                                    <w:jc w:val="right"/>
                                    <w:rPr>
                                      <w:sz w:val="16"/>
                                    </w:rPr>
                                  </w:pPr>
                                  <w:r>
                                    <w:rPr>
                                      <w:sz w:val="16"/>
                                    </w:rPr>
                                    <w:t>(2)</w:t>
                                  </w:r>
                                </w:p>
                              </w:tc>
                            </w:tr>
                            <w:tr w:rsidR="00EF3DFB" w14:paraId="7326D8B2" w14:textId="77777777">
                              <w:trPr>
                                <w:trHeight w:val="485"/>
                              </w:trPr>
                              <w:tc>
                                <w:tcPr>
                                  <w:tcW w:w="3146" w:type="dxa"/>
                                  <w:tcBorders>
                                    <w:top w:val="single" w:sz="8" w:space="0" w:color="000000"/>
                                  </w:tcBorders>
                                </w:tcPr>
                                <w:p w14:paraId="7326D8AA"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2018  </w:t>
                                  </w:r>
                                  <w:r>
                                    <w:rPr>
                                      <w:b/>
                                      <w:spacing w:val="20"/>
                                      <w:sz w:val="16"/>
                                    </w:rPr>
                                    <w:t xml:space="preserve"> </w:t>
                                  </w:r>
                                  <w:r>
                                    <w:rPr>
                                      <w:b/>
                                      <w:sz w:val="16"/>
                                    </w:rPr>
                                    <w:t>$</w:t>
                                  </w:r>
                                  <w:r>
                                    <w:rPr>
                                      <w:b/>
                                      <w:sz w:val="16"/>
                                    </w:rPr>
                                    <w:tab/>
                                    <w:t>446</w:t>
                                  </w:r>
                                </w:p>
                              </w:tc>
                              <w:tc>
                                <w:tcPr>
                                  <w:tcW w:w="975" w:type="dxa"/>
                                  <w:tcBorders>
                                    <w:top w:val="single" w:sz="8" w:space="0" w:color="000000"/>
                                  </w:tcBorders>
                                </w:tcPr>
                                <w:p w14:paraId="7326D8AB" w14:textId="77777777" w:rsidR="00EF3DFB" w:rsidRDefault="00D27C17">
                                  <w:pPr>
                                    <w:pStyle w:val="TableParagraph"/>
                                    <w:tabs>
                                      <w:tab w:val="left" w:pos="485"/>
                                    </w:tabs>
                                    <w:spacing w:before="136"/>
                                    <w:ind w:right="68"/>
                                    <w:jc w:val="right"/>
                                    <w:rPr>
                                      <w:b/>
                                      <w:sz w:val="16"/>
                                    </w:rPr>
                                  </w:pPr>
                                  <w:r>
                                    <w:rPr>
                                      <w:b/>
                                      <w:sz w:val="16"/>
                                    </w:rPr>
                                    <w:t>$</w:t>
                                  </w:r>
                                  <w:r>
                                    <w:rPr>
                                      <w:b/>
                                      <w:sz w:val="16"/>
                                    </w:rPr>
                                    <w:tab/>
                                    <w:t>(585)</w:t>
                                  </w:r>
                                </w:p>
                              </w:tc>
                              <w:tc>
                                <w:tcPr>
                                  <w:tcW w:w="975" w:type="dxa"/>
                                  <w:tcBorders>
                                    <w:top w:val="single" w:sz="8" w:space="0" w:color="000000"/>
                                  </w:tcBorders>
                                </w:tcPr>
                                <w:p w14:paraId="7326D8AC"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8,781</w:t>
                                  </w:r>
                                </w:p>
                              </w:tc>
                              <w:tc>
                                <w:tcPr>
                                  <w:tcW w:w="975" w:type="dxa"/>
                                  <w:tcBorders>
                                    <w:top w:val="single" w:sz="8" w:space="0" w:color="000000"/>
                                  </w:tcBorders>
                                </w:tcPr>
                                <w:p w14:paraId="7326D8AD" w14:textId="77777777" w:rsidR="00EF3DFB" w:rsidRDefault="00D27C17">
                                  <w:pPr>
                                    <w:pStyle w:val="TableParagraph"/>
                                    <w:tabs>
                                      <w:tab w:val="left" w:pos="437"/>
                                    </w:tabs>
                                    <w:spacing w:before="136"/>
                                    <w:ind w:left="71"/>
                                    <w:rPr>
                                      <w:b/>
                                      <w:sz w:val="16"/>
                                    </w:rPr>
                                  </w:pPr>
                                  <w:r>
                                    <w:rPr>
                                      <w:b/>
                                      <w:sz w:val="16"/>
                                    </w:rPr>
                                    <w:t>$</w:t>
                                  </w:r>
                                  <w:r>
                                    <w:rPr>
                                      <w:b/>
                                      <w:sz w:val="16"/>
                                    </w:rPr>
                                    <w:tab/>
                                    <w:t>(2,511)</w:t>
                                  </w:r>
                                </w:p>
                              </w:tc>
                              <w:tc>
                                <w:tcPr>
                                  <w:tcW w:w="1290" w:type="dxa"/>
                                  <w:tcBorders>
                                    <w:top w:val="single" w:sz="8" w:space="0" w:color="000000"/>
                                  </w:tcBorders>
                                </w:tcPr>
                                <w:p w14:paraId="7326D8AE" w14:textId="77777777" w:rsidR="00EF3DFB" w:rsidRDefault="00D27C17">
                                  <w:pPr>
                                    <w:pStyle w:val="TableParagraph"/>
                                    <w:tabs>
                                      <w:tab w:val="left" w:pos="800"/>
                                    </w:tabs>
                                    <w:spacing w:before="136"/>
                                    <w:ind w:right="68"/>
                                    <w:jc w:val="right"/>
                                    <w:rPr>
                                      <w:b/>
                                      <w:sz w:val="16"/>
                                    </w:rPr>
                                  </w:pPr>
                                  <w:r>
                                    <w:rPr>
                                      <w:b/>
                                      <w:sz w:val="16"/>
                                    </w:rPr>
                                    <w:t>$</w:t>
                                  </w:r>
                                  <w:r>
                                    <w:rPr>
                                      <w:b/>
                                      <w:sz w:val="16"/>
                                    </w:rPr>
                                    <w:tab/>
                                    <w:t>(913)</w:t>
                                  </w:r>
                                </w:p>
                              </w:tc>
                              <w:tc>
                                <w:tcPr>
                                  <w:tcW w:w="1170" w:type="dxa"/>
                                  <w:tcBorders>
                                    <w:top w:val="single" w:sz="8" w:space="0" w:color="000000"/>
                                  </w:tcBorders>
                                </w:tcPr>
                                <w:p w14:paraId="7326D8AF" w14:textId="77777777" w:rsidR="00EF3DFB" w:rsidRDefault="00D27C17">
                                  <w:pPr>
                                    <w:pStyle w:val="TableParagraph"/>
                                    <w:tabs>
                                      <w:tab w:val="left" w:pos="613"/>
                                    </w:tabs>
                                    <w:spacing w:before="136"/>
                                    <w:ind w:right="122"/>
                                    <w:jc w:val="right"/>
                                    <w:rPr>
                                      <w:b/>
                                      <w:sz w:val="16"/>
                                    </w:rPr>
                                  </w:pPr>
                                  <w:r>
                                    <w:rPr>
                                      <w:b/>
                                      <w:sz w:val="16"/>
                                    </w:rPr>
                                    <w:t>$</w:t>
                                  </w:r>
                                  <w:r>
                                    <w:rPr>
                                      <w:b/>
                                      <w:sz w:val="16"/>
                                    </w:rPr>
                                    <w:tab/>
                                    <w:t>5,218</w:t>
                                  </w:r>
                                </w:p>
                              </w:tc>
                              <w:tc>
                                <w:tcPr>
                                  <w:tcW w:w="975" w:type="dxa"/>
                                  <w:tcBorders>
                                    <w:top w:val="single" w:sz="8" w:space="0" w:color="000000"/>
                                  </w:tcBorders>
                                </w:tcPr>
                                <w:p w14:paraId="7326D8B0" w14:textId="77777777" w:rsidR="00EF3DFB" w:rsidRDefault="00D27C17">
                                  <w:pPr>
                                    <w:pStyle w:val="TableParagraph"/>
                                    <w:tabs>
                                      <w:tab w:val="left" w:pos="690"/>
                                    </w:tabs>
                                    <w:spacing w:before="136"/>
                                    <w:ind w:left="71"/>
                                    <w:rPr>
                                      <w:b/>
                                      <w:sz w:val="16"/>
                                    </w:rPr>
                                  </w:pPr>
                                  <w:r>
                                    <w:rPr>
                                      <w:b/>
                                      <w:sz w:val="16"/>
                                    </w:rPr>
                                    <w:t>$</w:t>
                                  </w:r>
                                  <w:r>
                                    <w:rPr>
                                      <w:b/>
                                      <w:sz w:val="16"/>
                                    </w:rPr>
                                    <w:tab/>
                                    <w:t>35</w:t>
                                  </w:r>
                                </w:p>
                              </w:tc>
                              <w:tc>
                                <w:tcPr>
                                  <w:tcW w:w="1123" w:type="dxa"/>
                                  <w:tcBorders>
                                    <w:top w:val="single" w:sz="8" w:space="0" w:color="000000"/>
                                  </w:tcBorders>
                                </w:tcPr>
                                <w:p w14:paraId="7326D8B1" w14:textId="77777777" w:rsidR="00EF3DFB" w:rsidRDefault="00D27C17">
                                  <w:pPr>
                                    <w:pStyle w:val="TableParagraph"/>
                                    <w:tabs>
                                      <w:tab w:val="left" w:pos="613"/>
                                    </w:tabs>
                                    <w:spacing w:before="136"/>
                                    <w:ind w:right="75"/>
                                    <w:jc w:val="right"/>
                                    <w:rPr>
                                      <w:b/>
                                      <w:sz w:val="16"/>
                                    </w:rPr>
                                  </w:pPr>
                                  <w:r>
                                    <w:rPr>
                                      <w:b/>
                                      <w:sz w:val="16"/>
                                    </w:rPr>
                                    <w:t>$</w:t>
                                  </w:r>
                                  <w:r>
                                    <w:rPr>
                                      <w:b/>
                                      <w:sz w:val="16"/>
                                    </w:rPr>
                                    <w:tab/>
                                    <w:t>5,253</w:t>
                                  </w:r>
                                </w:p>
                              </w:tc>
                            </w:tr>
                            <w:tr w:rsidR="00EF3DFB" w14:paraId="7326D8BB" w14:textId="77777777">
                              <w:trPr>
                                <w:trHeight w:val="495"/>
                              </w:trPr>
                              <w:tc>
                                <w:tcPr>
                                  <w:tcW w:w="3146" w:type="dxa"/>
                                  <w:shd w:val="clear" w:color="auto" w:fill="CCEDFF"/>
                                </w:tcPr>
                                <w:p w14:paraId="7326D8B3"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income</w:t>
                                  </w:r>
                                  <w:r>
                                    <w:rPr>
                                      <w:spacing w:val="-1"/>
                                      <w:sz w:val="16"/>
                                    </w:rPr>
                                    <w:t xml:space="preserve"> </w:t>
                                  </w:r>
                                  <w:r>
                                    <w:rPr>
                                      <w:sz w:val="16"/>
                                    </w:rPr>
                                    <w:t>(loss)</w:t>
                                  </w:r>
                                  <w:r>
                                    <w:rPr>
                                      <w:sz w:val="16"/>
                                    </w:rPr>
                                    <w:tab/>
                                    <w:t>—</w:t>
                                  </w:r>
                                </w:p>
                              </w:tc>
                              <w:tc>
                                <w:tcPr>
                                  <w:tcW w:w="975" w:type="dxa"/>
                                  <w:shd w:val="clear" w:color="auto" w:fill="CCEDFF"/>
                                </w:tcPr>
                                <w:p w14:paraId="7326D8B4"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B5"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B6" w14:textId="77777777" w:rsidR="00EF3DFB" w:rsidRDefault="00D27C17">
                                  <w:pPr>
                                    <w:pStyle w:val="TableParagraph"/>
                                    <w:spacing w:before="147"/>
                                    <w:ind w:right="122"/>
                                    <w:jc w:val="right"/>
                                    <w:rPr>
                                      <w:sz w:val="16"/>
                                    </w:rPr>
                                  </w:pPr>
                                  <w:r>
                                    <w:rPr>
                                      <w:sz w:val="16"/>
                                    </w:rPr>
                                    <w:t>107</w:t>
                                  </w:r>
                                </w:p>
                              </w:tc>
                              <w:tc>
                                <w:tcPr>
                                  <w:tcW w:w="1290" w:type="dxa"/>
                                  <w:shd w:val="clear" w:color="auto" w:fill="CCEDFF"/>
                                </w:tcPr>
                                <w:p w14:paraId="7326D8B7" w14:textId="77777777" w:rsidR="00EF3DFB" w:rsidRDefault="00D27C17">
                                  <w:pPr>
                                    <w:pStyle w:val="TableParagraph"/>
                                    <w:spacing w:before="147"/>
                                    <w:ind w:right="68"/>
                                    <w:jc w:val="right"/>
                                    <w:rPr>
                                      <w:sz w:val="16"/>
                                    </w:rPr>
                                  </w:pPr>
                                  <w:r>
                                    <w:rPr>
                                      <w:sz w:val="16"/>
                                    </w:rPr>
                                    <w:t>(6)</w:t>
                                  </w:r>
                                </w:p>
                              </w:tc>
                              <w:tc>
                                <w:tcPr>
                                  <w:tcW w:w="1170" w:type="dxa"/>
                                  <w:shd w:val="clear" w:color="auto" w:fill="CCEDFF"/>
                                </w:tcPr>
                                <w:p w14:paraId="7326D8B8" w14:textId="77777777" w:rsidR="00EF3DFB" w:rsidRDefault="00D27C17">
                                  <w:pPr>
                                    <w:pStyle w:val="TableParagraph"/>
                                    <w:spacing w:before="147"/>
                                    <w:ind w:right="122"/>
                                    <w:jc w:val="right"/>
                                    <w:rPr>
                                      <w:sz w:val="16"/>
                                    </w:rPr>
                                  </w:pPr>
                                  <w:r>
                                    <w:rPr>
                                      <w:sz w:val="16"/>
                                    </w:rPr>
                                    <w:t>101</w:t>
                                  </w:r>
                                </w:p>
                              </w:tc>
                              <w:tc>
                                <w:tcPr>
                                  <w:tcW w:w="975" w:type="dxa"/>
                                  <w:shd w:val="clear" w:color="auto" w:fill="CCEDFF"/>
                                </w:tcPr>
                                <w:p w14:paraId="7326D8B9" w14:textId="77777777" w:rsidR="00EF3DFB" w:rsidRDefault="00D27C17">
                                  <w:pPr>
                                    <w:pStyle w:val="TableParagraph"/>
                                    <w:spacing w:before="147"/>
                                    <w:ind w:right="68"/>
                                    <w:jc w:val="right"/>
                                    <w:rPr>
                                      <w:sz w:val="16"/>
                                    </w:rPr>
                                  </w:pPr>
                                  <w:r>
                                    <w:rPr>
                                      <w:sz w:val="16"/>
                                    </w:rPr>
                                    <w:t>(1)</w:t>
                                  </w:r>
                                </w:p>
                              </w:tc>
                              <w:tc>
                                <w:tcPr>
                                  <w:tcW w:w="1123" w:type="dxa"/>
                                  <w:shd w:val="clear" w:color="auto" w:fill="CCEDFF"/>
                                </w:tcPr>
                                <w:p w14:paraId="7326D8BA" w14:textId="77777777" w:rsidR="00EF3DFB" w:rsidRDefault="00D27C17">
                                  <w:pPr>
                                    <w:pStyle w:val="TableParagraph"/>
                                    <w:spacing w:before="147"/>
                                    <w:ind w:right="75"/>
                                    <w:jc w:val="right"/>
                                    <w:rPr>
                                      <w:sz w:val="16"/>
                                    </w:rPr>
                                  </w:pPr>
                                  <w:r>
                                    <w:rPr>
                                      <w:sz w:val="16"/>
                                    </w:rPr>
                                    <w:t>100</w:t>
                                  </w:r>
                                </w:p>
                              </w:tc>
                            </w:tr>
                            <w:tr w:rsidR="00EF3DFB" w14:paraId="7326D8C4" w14:textId="77777777">
                              <w:trPr>
                                <w:trHeight w:val="495"/>
                              </w:trPr>
                              <w:tc>
                                <w:tcPr>
                                  <w:tcW w:w="3146" w:type="dxa"/>
                                </w:tcPr>
                                <w:p w14:paraId="7326D8BC"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tcPr>
                                <w:p w14:paraId="7326D8BD" w14:textId="77777777" w:rsidR="00EF3DFB" w:rsidRDefault="00D27C17">
                                  <w:pPr>
                                    <w:pStyle w:val="TableParagraph"/>
                                    <w:spacing w:before="147"/>
                                    <w:ind w:right="122"/>
                                    <w:jc w:val="right"/>
                                    <w:rPr>
                                      <w:sz w:val="16"/>
                                    </w:rPr>
                                  </w:pPr>
                                  <w:r>
                                    <w:rPr>
                                      <w:sz w:val="16"/>
                                    </w:rPr>
                                    <w:t>—</w:t>
                                  </w:r>
                                </w:p>
                              </w:tc>
                              <w:tc>
                                <w:tcPr>
                                  <w:tcW w:w="975" w:type="dxa"/>
                                </w:tcPr>
                                <w:p w14:paraId="7326D8BE" w14:textId="77777777" w:rsidR="00EF3DFB" w:rsidRDefault="00D27C17">
                                  <w:pPr>
                                    <w:pStyle w:val="TableParagraph"/>
                                    <w:spacing w:before="147"/>
                                    <w:ind w:right="68"/>
                                    <w:jc w:val="right"/>
                                    <w:rPr>
                                      <w:sz w:val="16"/>
                                    </w:rPr>
                                  </w:pPr>
                                  <w:r>
                                    <w:rPr>
                                      <w:sz w:val="16"/>
                                    </w:rPr>
                                    <w:t>(393)</w:t>
                                  </w:r>
                                </w:p>
                              </w:tc>
                              <w:tc>
                                <w:tcPr>
                                  <w:tcW w:w="975" w:type="dxa"/>
                                </w:tcPr>
                                <w:p w14:paraId="7326D8BF" w14:textId="77777777" w:rsidR="00EF3DFB" w:rsidRDefault="00D27C17">
                                  <w:pPr>
                                    <w:pStyle w:val="TableParagraph"/>
                                    <w:spacing w:before="147"/>
                                    <w:ind w:right="122"/>
                                    <w:jc w:val="right"/>
                                    <w:rPr>
                                      <w:sz w:val="16"/>
                                    </w:rPr>
                                  </w:pPr>
                                  <w:r>
                                    <w:rPr>
                                      <w:sz w:val="16"/>
                                    </w:rPr>
                                    <w:t>—</w:t>
                                  </w:r>
                                </w:p>
                              </w:tc>
                              <w:tc>
                                <w:tcPr>
                                  <w:tcW w:w="1290" w:type="dxa"/>
                                </w:tcPr>
                                <w:p w14:paraId="7326D8C0" w14:textId="77777777" w:rsidR="00EF3DFB" w:rsidRDefault="00D27C17">
                                  <w:pPr>
                                    <w:pStyle w:val="TableParagraph"/>
                                    <w:spacing w:before="147"/>
                                    <w:ind w:right="122"/>
                                    <w:jc w:val="right"/>
                                    <w:rPr>
                                      <w:sz w:val="16"/>
                                    </w:rPr>
                                  </w:pPr>
                                  <w:r>
                                    <w:rPr>
                                      <w:sz w:val="16"/>
                                    </w:rPr>
                                    <w:t>—</w:t>
                                  </w:r>
                                </w:p>
                              </w:tc>
                              <w:tc>
                                <w:tcPr>
                                  <w:tcW w:w="1170" w:type="dxa"/>
                                </w:tcPr>
                                <w:p w14:paraId="7326D8C1" w14:textId="77777777" w:rsidR="00EF3DFB" w:rsidRDefault="00D27C17">
                                  <w:pPr>
                                    <w:pStyle w:val="TableParagraph"/>
                                    <w:spacing w:before="147"/>
                                    <w:ind w:right="68"/>
                                    <w:jc w:val="right"/>
                                    <w:rPr>
                                      <w:sz w:val="16"/>
                                    </w:rPr>
                                  </w:pPr>
                                  <w:r>
                                    <w:rPr>
                                      <w:sz w:val="16"/>
                                    </w:rPr>
                                    <w:t>(393)</w:t>
                                  </w:r>
                                </w:p>
                              </w:tc>
                              <w:tc>
                                <w:tcPr>
                                  <w:tcW w:w="975" w:type="dxa"/>
                                </w:tcPr>
                                <w:p w14:paraId="7326D8C2" w14:textId="77777777" w:rsidR="00EF3DFB" w:rsidRDefault="00D27C17">
                                  <w:pPr>
                                    <w:pStyle w:val="TableParagraph"/>
                                    <w:spacing w:before="147"/>
                                    <w:ind w:right="122"/>
                                    <w:jc w:val="right"/>
                                    <w:rPr>
                                      <w:sz w:val="16"/>
                                    </w:rPr>
                                  </w:pPr>
                                  <w:r>
                                    <w:rPr>
                                      <w:sz w:val="16"/>
                                    </w:rPr>
                                    <w:t>—</w:t>
                                  </w:r>
                                </w:p>
                              </w:tc>
                              <w:tc>
                                <w:tcPr>
                                  <w:tcW w:w="1123" w:type="dxa"/>
                                </w:tcPr>
                                <w:p w14:paraId="7326D8C3" w14:textId="77777777" w:rsidR="00EF3DFB" w:rsidRDefault="00D27C17">
                                  <w:pPr>
                                    <w:pStyle w:val="TableParagraph"/>
                                    <w:spacing w:before="147"/>
                                    <w:ind w:right="21"/>
                                    <w:jc w:val="right"/>
                                    <w:rPr>
                                      <w:sz w:val="16"/>
                                    </w:rPr>
                                  </w:pPr>
                                  <w:r>
                                    <w:rPr>
                                      <w:sz w:val="16"/>
                                    </w:rPr>
                                    <w:t>(393)</w:t>
                                  </w:r>
                                </w:p>
                              </w:tc>
                            </w:tr>
                            <w:tr w:rsidR="00EF3DFB" w14:paraId="7326D8CD" w14:textId="77777777">
                              <w:trPr>
                                <w:trHeight w:val="495"/>
                              </w:trPr>
                              <w:tc>
                                <w:tcPr>
                                  <w:tcW w:w="3146" w:type="dxa"/>
                                  <w:shd w:val="clear" w:color="auto" w:fill="CCEDFF"/>
                                </w:tcPr>
                                <w:p w14:paraId="7326D8C5"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shd w:val="clear" w:color="auto" w:fill="CCEDFF"/>
                                </w:tcPr>
                                <w:p w14:paraId="7326D8C6" w14:textId="77777777" w:rsidR="00EF3DFB" w:rsidRDefault="00D27C17">
                                  <w:pPr>
                                    <w:pStyle w:val="TableParagraph"/>
                                    <w:spacing w:before="147"/>
                                    <w:ind w:right="68"/>
                                    <w:jc w:val="right"/>
                                    <w:rPr>
                                      <w:sz w:val="16"/>
                                    </w:rPr>
                                  </w:pPr>
                                  <w:r>
                                    <w:rPr>
                                      <w:sz w:val="16"/>
                                    </w:rPr>
                                    <w:t>(5)</w:t>
                                  </w:r>
                                </w:p>
                              </w:tc>
                              <w:tc>
                                <w:tcPr>
                                  <w:tcW w:w="975" w:type="dxa"/>
                                  <w:shd w:val="clear" w:color="auto" w:fill="CCEDFF"/>
                                </w:tcPr>
                                <w:p w14:paraId="7326D8C7" w14:textId="77777777" w:rsidR="00EF3DFB" w:rsidRDefault="00D27C17">
                                  <w:pPr>
                                    <w:pStyle w:val="TableParagraph"/>
                                    <w:spacing w:before="147"/>
                                    <w:ind w:right="122"/>
                                    <w:jc w:val="right"/>
                                    <w:rPr>
                                      <w:sz w:val="16"/>
                                    </w:rPr>
                                  </w:pPr>
                                  <w:r>
                                    <w:rPr>
                                      <w:sz w:val="16"/>
                                    </w:rPr>
                                    <w:t>42</w:t>
                                  </w:r>
                                </w:p>
                              </w:tc>
                              <w:tc>
                                <w:tcPr>
                                  <w:tcW w:w="975" w:type="dxa"/>
                                  <w:shd w:val="clear" w:color="auto" w:fill="CCEDFF"/>
                                </w:tcPr>
                                <w:p w14:paraId="7326D8C8"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8C9"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CA" w14:textId="77777777" w:rsidR="00EF3DFB" w:rsidRDefault="00D27C17">
                                  <w:pPr>
                                    <w:pStyle w:val="TableParagraph"/>
                                    <w:spacing w:before="147"/>
                                    <w:ind w:right="122"/>
                                    <w:jc w:val="right"/>
                                    <w:rPr>
                                      <w:sz w:val="16"/>
                                    </w:rPr>
                                  </w:pPr>
                                  <w:r>
                                    <w:rPr>
                                      <w:sz w:val="16"/>
                                    </w:rPr>
                                    <w:t>38</w:t>
                                  </w:r>
                                </w:p>
                              </w:tc>
                              <w:tc>
                                <w:tcPr>
                                  <w:tcW w:w="975" w:type="dxa"/>
                                  <w:shd w:val="clear" w:color="auto" w:fill="CCEDFF"/>
                                </w:tcPr>
                                <w:p w14:paraId="7326D8CB"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CC" w14:textId="77777777" w:rsidR="00EF3DFB" w:rsidRDefault="00D27C17">
                                  <w:pPr>
                                    <w:pStyle w:val="TableParagraph"/>
                                    <w:spacing w:before="147"/>
                                    <w:ind w:right="75"/>
                                    <w:jc w:val="right"/>
                                    <w:rPr>
                                      <w:sz w:val="16"/>
                                    </w:rPr>
                                  </w:pPr>
                                  <w:r>
                                    <w:rPr>
                                      <w:sz w:val="16"/>
                                    </w:rPr>
                                    <w:t>38</w:t>
                                  </w:r>
                                </w:p>
                              </w:tc>
                            </w:tr>
                            <w:tr w:rsidR="00EF3DFB" w14:paraId="7326D8D7" w14:textId="77777777">
                              <w:trPr>
                                <w:trHeight w:val="495"/>
                              </w:trPr>
                              <w:tc>
                                <w:tcPr>
                                  <w:tcW w:w="3146" w:type="dxa"/>
                                </w:tcPr>
                                <w:p w14:paraId="7326D8CE" w14:textId="77777777" w:rsidR="00EF3DFB" w:rsidRDefault="00D27C17">
                                  <w:pPr>
                                    <w:pStyle w:val="TableParagraph"/>
                                    <w:spacing w:line="160" w:lineRule="exact"/>
                                    <w:ind w:left="52"/>
                                    <w:rPr>
                                      <w:sz w:val="16"/>
                                    </w:rPr>
                                  </w:pPr>
                                  <w:r>
                                    <w:rPr>
                                      <w:sz w:val="16"/>
                                    </w:rPr>
                                    <w:t>Portion of net income</w:t>
                                  </w:r>
                                </w:p>
                                <w:p w14:paraId="7326D8CF" w14:textId="77777777" w:rsidR="00EF3DFB" w:rsidRDefault="00D27C17">
                                  <w:pPr>
                                    <w:pStyle w:val="TableParagraph"/>
                                    <w:tabs>
                                      <w:tab w:val="left" w:pos="2861"/>
                                    </w:tabs>
                                    <w:spacing w:before="9" w:line="160" w:lineRule="exact"/>
                                    <w:ind w:left="52" w:right="122"/>
                                    <w:rPr>
                                      <w:sz w:val="16"/>
                                    </w:rPr>
                                  </w:pPr>
                                  <w:r>
                                    <w:rPr>
                                      <w:sz w:val="16"/>
                                    </w:rPr>
                                    <w:t>attributable to noncontrolling</w:t>
                                  </w:r>
                                  <w:r>
                                    <w:rPr>
                                      <w:sz w:val="16"/>
                                    </w:rPr>
                                    <w:tab/>
                                    <w:t>— interests</w:t>
                                  </w:r>
                                </w:p>
                              </w:tc>
                              <w:tc>
                                <w:tcPr>
                                  <w:tcW w:w="975" w:type="dxa"/>
                                </w:tcPr>
                                <w:p w14:paraId="7326D8D0" w14:textId="77777777" w:rsidR="00EF3DFB" w:rsidRDefault="00D27C17">
                                  <w:pPr>
                                    <w:pStyle w:val="TableParagraph"/>
                                    <w:spacing w:before="147"/>
                                    <w:ind w:right="122"/>
                                    <w:jc w:val="right"/>
                                    <w:rPr>
                                      <w:sz w:val="16"/>
                                    </w:rPr>
                                  </w:pPr>
                                  <w:r>
                                    <w:rPr>
                                      <w:sz w:val="16"/>
                                    </w:rPr>
                                    <w:t>—</w:t>
                                  </w:r>
                                </w:p>
                              </w:tc>
                              <w:tc>
                                <w:tcPr>
                                  <w:tcW w:w="975" w:type="dxa"/>
                                </w:tcPr>
                                <w:p w14:paraId="7326D8D1" w14:textId="77777777" w:rsidR="00EF3DFB" w:rsidRDefault="00D27C17">
                                  <w:pPr>
                                    <w:pStyle w:val="TableParagraph"/>
                                    <w:spacing w:before="147"/>
                                    <w:ind w:right="122"/>
                                    <w:jc w:val="right"/>
                                    <w:rPr>
                                      <w:sz w:val="16"/>
                                    </w:rPr>
                                  </w:pPr>
                                  <w:r>
                                    <w:rPr>
                                      <w:sz w:val="16"/>
                                    </w:rPr>
                                    <w:t>—</w:t>
                                  </w:r>
                                </w:p>
                              </w:tc>
                              <w:tc>
                                <w:tcPr>
                                  <w:tcW w:w="975" w:type="dxa"/>
                                </w:tcPr>
                                <w:p w14:paraId="7326D8D2" w14:textId="77777777" w:rsidR="00EF3DFB" w:rsidRDefault="00D27C17">
                                  <w:pPr>
                                    <w:pStyle w:val="TableParagraph"/>
                                    <w:spacing w:before="147"/>
                                    <w:ind w:right="122"/>
                                    <w:jc w:val="right"/>
                                    <w:rPr>
                                      <w:sz w:val="16"/>
                                    </w:rPr>
                                  </w:pPr>
                                  <w:r>
                                    <w:rPr>
                                      <w:sz w:val="16"/>
                                    </w:rPr>
                                    <w:t>—</w:t>
                                  </w:r>
                                </w:p>
                              </w:tc>
                              <w:tc>
                                <w:tcPr>
                                  <w:tcW w:w="1290" w:type="dxa"/>
                                </w:tcPr>
                                <w:p w14:paraId="7326D8D3" w14:textId="77777777" w:rsidR="00EF3DFB" w:rsidRDefault="00D27C17">
                                  <w:pPr>
                                    <w:pStyle w:val="TableParagraph"/>
                                    <w:spacing w:before="147"/>
                                    <w:ind w:right="68"/>
                                    <w:jc w:val="right"/>
                                    <w:rPr>
                                      <w:sz w:val="16"/>
                                    </w:rPr>
                                  </w:pPr>
                                  <w:r>
                                    <w:rPr>
                                      <w:sz w:val="16"/>
                                    </w:rPr>
                                    <w:t>(1)</w:t>
                                  </w:r>
                                </w:p>
                              </w:tc>
                              <w:tc>
                                <w:tcPr>
                                  <w:tcW w:w="1170" w:type="dxa"/>
                                </w:tcPr>
                                <w:p w14:paraId="7326D8D4" w14:textId="77777777" w:rsidR="00EF3DFB" w:rsidRDefault="00D27C17">
                                  <w:pPr>
                                    <w:pStyle w:val="TableParagraph"/>
                                    <w:spacing w:before="147"/>
                                    <w:ind w:right="68"/>
                                    <w:jc w:val="right"/>
                                    <w:rPr>
                                      <w:sz w:val="16"/>
                                    </w:rPr>
                                  </w:pPr>
                                  <w:r>
                                    <w:rPr>
                                      <w:sz w:val="16"/>
                                    </w:rPr>
                                    <w:t>(1)</w:t>
                                  </w:r>
                                </w:p>
                              </w:tc>
                              <w:tc>
                                <w:tcPr>
                                  <w:tcW w:w="975" w:type="dxa"/>
                                </w:tcPr>
                                <w:p w14:paraId="7326D8D5" w14:textId="77777777" w:rsidR="00EF3DFB" w:rsidRDefault="00D27C17">
                                  <w:pPr>
                                    <w:pStyle w:val="TableParagraph"/>
                                    <w:spacing w:before="147"/>
                                    <w:ind w:right="122"/>
                                    <w:jc w:val="right"/>
                                    <w:rPr>
                                      <w:sz w:val="16"/>
                                    </w:rPr>
                                  </w:pPr>
                                  <w:r>
                                    <w:rPr>
                                      <w:sz w:val="16"/>
                                    </w:rPr>
                                    <w:t>2</w:t>
                                  </w:r>
                                </w:p>
                              </w:tc>
                              <w:tc>
                                <w:tcPr>
                                  <w:tcW w:w="1123" w:type="dxa"/>
                                </w:tcPr>
                                <w:p w14:paraId="7326D8D6" w14:textId="77777777" w:rsidR="00EF3DFB" w:rsidRDefault="00D27C17">
                                  <w:pPr>
                                    <w:pStyle w:val="TableParagraph"/>
                                    <w:spacing w:before="147"/>
                                    <w:ind w:right="75"/>
                                    <w:jc w:val="right"/>
                                    <w:rPr>
                                      <w:sz w:val="16"/>
                                    </w:rPr>
                                  </w:pPr>
                                  <w:r>
                                    <w:rPr>
                                      <w:sz w:val="16"/>
                                    </w:rPr>
                                    <w:t>1</w:t>
                                  </w:r>
                                </w:p>
                              </w:tc>
                            </w:tr>
                            <w:tr w:rsidR="00EF3DFB" w14:paraId="7326D8E8" w14:textId="77777777">
                              <w:trPr>
                                <w:trHeight w:val="575"/>
                              </w:trPr>
                              <w:tc>
                                <w:tcPr>
                                  <w:tcW w:w="3146" w:type="dxa"/>
                                  <w:tcBorders>
                                    <w:bottom w:val="single" w:sz="8" w:space="0" w:color="000000"/>
                                  </w:tcBorders>
                                  <w:shd w:val="clear" w:color="auto" w:fill="CCEDFF"/>
                                </w:tcPr>
                                <w:p w14:paraId="7326D8D8" w14:textId="77777777" w:rsidR="00EF3DFB" w:rsidRDefault="00EF3DFB">
                                  <w:pPr>
                                    <w:pStyle w:val="TableParagraph"/>
                                    <w:spacing w:before="3"/>
                                    <w:rPr>
                                      <w:i/>
                                      <w:sz w:val="18"/>
                                    </w:rPr>
                                  </w:pPr>
                                </w:p>
                                <w:p w14:paraId="7326D8D9" w14:textId="77777777" w:rsidR="00EF3DFB" w:rsidRDefault="00D27C17">
                                  <w:pPr>
                                    <w:pStyle w:val="TableParagraph"/>
                                    <w:tabs>
                                      <w:tab w:val="left" w:pos="2861"/>
                                    </w:tabs>
                                    <w:spacing w:line="208" w:lineRule="auto"/>
                                    <w:ind w:left="52" w:right="122"/>
                                    <w:rPr>
                                      <w:sz w:val="16"/>
                                    </w:rPr>
                                  </w:pPr>
                                  <w:r>
                                    <w:rPr>
                                      <w:sz w:val="16"/>
                                    </w:rPr>
                                    <w:t>Distributions</w:t>
                                  </w:r>
                                  <w:r>
                                    <w:rPr>
                                      <w:spacing w:val="-2"/>
                                      <w:sz w:val="16"/>
                                    </w:rPr>
                                    <w:t xml:space="preserve"> </w:t>
                                  </w:r>
                                  <w:r>
                                    <w:rPr>
                                      <w:sz w:val="16"/>
                                    </w:rPr>
                                    <w:t>to</w:t>
                                  </w:r>
                                  <w:r>
                                    <w:rPr>
                                      <w:spacing w:val="-1"/>
                                      <w:sz w:val="16"/>
                                    </w:rPr>
                                    <w:t xml:space="preserve"> </w:t>
                                  </w:r>
                                  <w:r>
                                    <w:rPr>
                                      <w:sz w:val="16"/>
                                    </w:rPr>
                                    <w:t>noncontrolling</w:t>
                                  </w:r>
                                  <w:r>
                                    <w:rPr>
                                      <w:sz w:val="16"/>
                                    </w:rPr>
                                    <w:tab/>
                                  </w:r>
                                  <w:r>
                                    <w:rPr>
                                      <w:position w:val="2"/>
                                      <w:sz w:val="16"/>
                                    </w:rPr>
                                    <w:t xml:space="preserve">— </w:t>
                                  </w:r>
                                  <w:r>
                                    <w:rPr>
                                      <w:sz w:val="16"/>
                                    </w:rPr>
                                    <w:t>interests</w:t>
                                  </w:r>
                                </w:p>
                              </w:tc>
                              <w:tc>
                                <w:tcPr>
                                  <w:tcW w:w="975" w:type="dxa"/>
                                  <w:tcBorders>
                                    <w:bottom w:val="single" w:sz="8" w:space="0" w:color="000000"/>
                                  </w:tcBorders>
                                  <w:shd w:val="clear" w:color="auto" w:fill="CCEDFF"/>
                                </w:tcPr>
                                <w:p w14:paraId="7326D8DA" w14:textId="77777777" w:rsidR="00EF3DFB" w:rsidRDefault="00EF3DFB">
                                  <w:pPr>
                                    <w:pStyle w:val="TableParagraph"/>
                                    <w:spacing w:before="8"/>
                                    <w:rPr>
                                      <w:i/>
                                      <w:sz w:val="16"/>
                                    </w:rPr>
                                  </w:pPr>
                                </w:p>
                                <w:p w14:paraId="7326D8DB"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DC" w14:textId="77777777" w:rsidR="00EF3DFB" w:rsidRDefault="00EF3DFB">
                                  <w:pPr>
                                    <w:pStyle w:val="TableParagraph"/>
                                    <w:spacing w:before="8"/>
                                    <w:rPr>
                                      <w:i/>
                                      <w:sz w:val="16"/>
                                    </w:rPr>
                                  </w:pPr>
                                </w:p>
                                <w:p w14:paraId="7326D8DD"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DE" w14:textId="77777777" w:rsidR="00EF3DFB" w:rsidRDefault="00EF3DFB">
                                  <w:pPr>
                                    <w:pStyle w:val="TableParagraph"/>
                                    <w:spacing w:before="8"/>
                                    <w:rPr>
                                      <w:i/>
                                      <w:sz w:val="16"/>
                                    </w:rPr>
                                  </w:pPr>
                                </w:p>
                                <w:p w14:paraId="7326D8DF"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8E0" w14:textId="77777777" w:rsidR="00EF3DFB" w:rsidRDefault="00EF3DFB">
                                  <w:pPr>
                                    <w:pStyle w:val="TableParagraph"/>
                                    <w:spacing w:before="8"/>
                                    <w:rPr>
                                      <w:i/>
                                      <w:sz w:val="16"/>
                                    </w:rPr>
                                  </w:pPr>
                                </w:p>
                                <w:p w14:paraId="7326D8E1" w14:textId="77777777" w:rsidR="00EF3DFB" w:rsidRDefault="00D27C17">
                                  <w:pPr>
                                    <w:pStyle w:val="TableParagraph"/>
                                    <w:ind w:right="122"/>
                                    <w:jc w:val="right"/>
                                    <w:rPr>
                                      <w:sz w:val="16"/>
                                    </w:rPr>
                                  </w:pPr>
                                  <w:r>
                                    <w:rPr>
                                      <w:sz w:val="16"/>
                                    </w:rPr>
                                    <w:t>—</w:t>
                                  </w:r>
                                </w:p>
                              </w:tc>
                              <w:tc>
                                <w:tcPr>
                                  <w:tcW w:w="1170" w:type="dxa"/>
                                  <w:tcBorders>
                                    <w:bottom w:val="single" w:sz="8" w:space="0" w:color="000000"/>
                                  </w:tcBorders>
                                  <w:shd w:val="clear" w:color="auto" w:fill="CCEDFF"/>
                                </w:tcPr>
                                <w:p w14:paraId="7326D8E2" w14:textId="77777777" w:rsidR="00EF3DFB" w:rsidRDefault="00EF3DFB">
                                  <w:pPr>
                                    <w:pStyle w:val="TableParagraph"/>
                                    <w:spacing w:before="8"/>
                                    <w:rPr>
                                      <w:i/>
                                      <w:sz w:val="16"/>
                                    </w:rPr>
                                  </w:pPr>
                                </w:p>
                                <w:p w14:paraId="7326D8E3"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E4" w14:textId="77777777" w:rsidR="00EF3DFB" w:rsidRDefault="00EF3DFB">
                                  <w:pPr>
                                    <w:pStyle w:val="TableParagraph"/>
                                    <w:spacing w:before="8"/>
                                    <w:rPr>
                                      <w:i/>
                                      <w:sz w:val="16"/>
                                    </w:rPr>
                                  </w:pPr>
                                </w:p>
                                <w:p w14:paraId="7326D8E5" w14:textId="77777777" w:rsidR="00EF3DFB" w:rsidRDefault="00D27C17">
                                  <w:pPr>
                                    <w:pStyle w:val="TableParagraph"/>
                                    <w:ind w:right="68"/>
                                    <w:jc w:val="right"/>
                                    <w:rPr>
                                      <w:sz w:val="16"/>
                                    </w:rPr>
                                  </w:pPr>
                                  <w:r>
                                    <w:rPr>
                                      <w:sz w:val="16"/>
                                    </w:rPr>
                                    <w:t>(3)</w:t>
                                  </w:r>
                                </w:p>
                              </w:tc>
                              <w:tc>
                                <w:tcPr>
                                  <w:tcW w:w="1123" w:type="dxa"/>
                                  <w:tcBorders>
                                    <w:bottom w:val="single" w:sz="8" w:space="0" w:color="000000"/>
                                  </w:tcBorders>
                                  <w:shd w:val="clear" w:color="auto" w:fill="CCEDFF"/>
                                </w:tcPr>
                                <w:p w14:paraId="7326D8E6" w14:textId="77777777" w:rsidR="00EF3DFB" w:rsidRDefault="00EF3DFB">
                                  <w:pPr>
                                    <w:pStyle w:val="TableParagraph"/>
                                    <w:spacing w:before="8"/>
                                    <w:rPr>
                                      <w:i/>
                                      <w:sz w:val="16"/>
                                    </w:rPr>
                                  </w:pPr>
                                </w:p>
                                <w:p w14:paraId="7326D8E7" w14:textId="77777777" w:rsidR="00EF3DFB" w:rsidRDefault="00D27C17">
                                  <w:pPr>
                                    <w:pStyle w:val="TableParagraph"/>
                                    <w:ind w:right="21"/>
                                    <w:jc w:val="right"/>
                                    <w:rPr>
                                      <w:sz w:val="16"/>
                                    </w:rPr>
                                  </w:pPr>
                                  <w:r>
                                    <w:rPr>
                                      <w:sz w:val="16"/>
                                    </w:rPr>
                                    <w:t>(3)</w:t>
                                  </w:r>
                                </w:p>
                              </w:tc>
                            </w:tr>
                            <w:tr w:rsidR="00EF3DFB" w14:paraId="7326D8F1" w14:textId="77777777">
                              <w:trPr>
                                <w:trHeight w:val="485"/>
                              </w:trPr>
                              <w:tc>
                                <w:tcPr>
                                  <w:tcW w:w="3146" w:type="dxa"/>
                                  <w:tcBorders>
                                    <w:top w:val="single" w:sz="8" w:space="0" w:color="000000"/>
                                  </w:tcBorders>
                                </w:tcPr>
                                <w:p w14:paraId="7326D8E9"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2019  </w:t>
                                  </w:r>
                                  <w:r>
                                    <w:rPr>
                                      <w:b/>
                                      <w:spacing w:val="20"/>
                                      <w:sz w:val="16"/>
                                    </w:rPr>
                                    <w:t xml:space="preserve"> </w:t>
                                  </w:r>
                                  <w:r>
                                    <w:rPr>
                                      <w:b/>
                                      <w:sz w:val="16"/>
                                    </w:rPr>
                                    <w:t>$</w:t>
                                  </w:r>
                                  <w:r>
                                    <w:rPr>
                                      <w:b/>
                                      <w:sz w:val="16"/>
                                    </w:rPr>
                                    <w:tab/>
                                    <w:t>447</w:t>
                                  </w:r>
                                </w:p>
                              </w:tc>
                              <w:tc>
                                <w:tcPr>
                                  <w:tcW w:w="975" w:type="dxa"/>
                                  <w:tcBorders>
                                    <w:top w:val="single" w:sz="8" w:space="0" w:color="000000"/>
                                  </w:tcBorders>
                                </w:tcPr>
                                <w:p w14:paraId="7326D8EA" w14:textId="77777777" w:rsidR="00EF3DFB" w:rsidRDefault="00D27C17">
                                  <w:pPr>
                                    <w:pStyle w:val="TableParagraph"/>
                                    <w:tabs>
                                      <w:tab w:val="left" w:pos="485"/>
                                    </w:tabs>
                                    <w:spacing w:before="136"/>
                                    <w:ind w:right="68"/>
                                    <w:jc w:val="right"/>
                                    <w:rPr>
                                      <w:b/>
                                      <w:sz w:val="16"/>
                                    </w:rPr>
                                  </w:pPr>
                                  <w:r>
                                    <w:rPr>
                                      <w:b/>
                                      <w:sz w:val="16"/>
                                    </w:rPr>
                                    <w:t>$</w:t>
                                  </w:r>
                                  <w:r>
                                    <w:rPr>
                                      <w:b/>
                                      <w:sz w:val="16"/>
                                    </w:rPr>
                                    <w:tab/>
                                    <w:t>(590)</w:t>
                                  </w:r>
                                </w:p>
                              </w:tc>
                              <w:tc>
                                <w:tcPr>
                                  <w:tcW w:w="975" w:type="dxa"/>
                                  <w:tcBorders>
                                    <w:top w:val="single" w:sz="8" w:space="0" w:color="000000"/>
                                  </w:tcBorders>
                                </w:tcPr>
                                <w:p w14:paraId="7326D8EB"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8,430</w:t>
                                  </w:r>
                                </w:p>
                              </w:tc>
                              <w:tc>
                                <w:tcPr>
                                  <w:tcW w:w="975" w:type="dxa"/>
                                  <w:tcBorders>
                                    <w:top w:val="single" w:sz="8" w:space="0" w:color="000000"/>
                                  </w:tcBorders>
                                </w:tcPr>
                                <w:p w14:paraId="7326D8EC" w14:textId="77777777" w:rsidR="00EF3DFB" w:rsidRDefault="00D27C17">
                                  <w:pPr>
                                    <w:pStyle w:val="TableParagraph"/>
                                    <w:tabs>
                                      <w:tab w:val="left" w:pos="437"/>
                                    </w:tabs>
                                    <w:spacing w:before="136"/>
                                    <w:ind w:left="71"/>
                                    <w:rPr>
                                      <w:b/>
                                      <w:sz w:val="16"/>
                                    </w:rPr>
                                  </w:pPr>
                                  <w:r>
                                    <w:rPr>
                                      <w:b/>
                                      <w:sz w:val="16"/>
                                    </w:rPr>
                                    <w:t>$</w:t>
                                  </w:r>
                                  <w:r>
                                    <w:rPr>
                                      <w:b/>
                                      <w:sz w:val="16"/>
                                    </w:rPr>
                                    <w:tab/>
                                    <w:t>(2,404)</w:t>
                                  </w:r>
                                </w:p>
                              </w:tc>
                              <w:tc>
                                <w:tcPr>
                                  <w:tcW w:w="1290" w:type="dxa"/>
                                  <w:tcBorders>
                                    <w:top w:val="single" w:sz="8" w:space="0" w:color="000000"/>
                                  </w:tcBorders>
                                </w:tcPr>
                                <w:p w14:paraId="7326D8ED" w14:textId="77777777" w:rsidR="00EF3DFB" w:rsidRDefault="00D27C17">
                                  <w:pPr>
                                    <w:pStyle w:val="TableParagraph"/>
                                    <w:tabs>
                                      <w:tab w:val="left" w:pos="800"/>
                                    </w:tabs>
                                    <w:spacing w:before="136"/>
                                    <w:ind w:right="68"/>
                                    <w:jc w:val="right"/>
                                    <w:rPr>
                                      <w:b/>
                                      <w:sz w:val="16"/>
                                    </w:rPr>
                                  </w:pPr>
                                  <w:r>
                                    <w:rPr>
                                      <w:b/>
                                      <w:sz w:val="16"/>
                                    </w:rPr>
                                    <w:t>$</w:t>
                                  </w:r>
                                  <w:r>
                                    <w:rPr>
                                      <w:b/>
                                      <w:sz w:val="16"/>
                                    </w:rPr>
                                    <w:tab/>
                                    <w:t>(920)</w:t>
                                  </w:r>
                                </w:p>
                              </w:tc>
                              <w:tc>
                                <w:tcPr>
                                  <w:tcW w:w="1170" w:type="dxa"/>
                                  <w:tcBorders>
                                    <w:top w:val="single" w:sz="8" w:space="0" w:color="000000"/>
                                  </w:tcBorders>
                                </w:tcPr>
                                <w:p w14:paraId="7326D8EE" w14:textId="77777777" w:rsidR="00EF3DFB" w:rsidRDefault="00D27C17">
                                  <w:pPr>
                                    <w:pStyle w:val="TableParagraph"/>
                                    <w:tabs>
                                      <w:tab w:val="left" w:pos="613"/>
                                    </w:tabs>
                                    <w:spacing w:before="136"/>
                                    <w:ind w:right="122"/>
                                    <w:jc w:val="right"/>
                                    <w:rPr>
                                      <w:b/>
                                      <w:sz w:val="16"/>
                                    </w:rPr>
                                  </w:pPr>
                                  <w:r>
                                    <w:rPr>
                                      <w:b/>
                                      <w:sz w:val="16"/>
                                    </w:rPr>
                                    <w:t>$</w:t>
                                  </w:r>
                                  <w:r>
                                    <w:rPr>
                                      <w:b/>
                                      <w:sz w:val="16"/>
                                    </w:rPr>
                                    <w:tab/>
                                    <w:t>4,963</w:t>
                                  </w:r>
                                </w:p>
                              </w:tc>
                              <w:tc>
                                <w:tcPr>
                                  <w:tcW w:w="975" w:type="dxa"/>
                                  <w:tcBorders>
                                    <w:top w:val="single" w:sz="8" w:space="0" w:color="000000"/>
                                  </w:tcBorders>
                                </w:tcPr>
                                <w:p w14:paraId="7326D8EF" w14:textId="77777777" w:rsidR="00EF3DFB" w:rsidRDefault="00D27C17">
                                  <w:pPr>
                                    <w:pStyle w:val="TableParagraph"/>
                                    <w:tabs>
                                      <w:tab w:val="left" w:pos="690"/>
                                    </w:tabs>
                                    <w:spacing w:before="136"/>
                                    <w:ind w:left="71"/>
                                    <w:rPr>
                                      <w:b/>
                                      <w:sz w:val="16"/>
                                    </w:rPr>
                                  </w:pPr>
                                  <w:r>
                                    <w:rPr>
                                      <w:b/>
                                      <w:sz w:val="16"/>
                                    </w:rPr>
                                    <w:t>$</w:t>
                                  </w:r>
                                  <w:r>
                                    <w:rPr>
                                      <w:b/>
                                      <w:sz w:val="16"/>
                                    </w:rPr>
                                    <w:tab/>
                                    <w:t>33</w:t>
                                  </w:r>
                                </w:p>
                              </w:tc>
                              <w:tc>
                                <w:tcPr>
                                  <w:tcW w:w="1123" w:type="dxa"/>
                                  <w:tcBorders>
                                    <w:top w:val="single" w:sz="8" w:space="0" w:color="000000"/>
                                  </w:tcBorders>
                                </w:tcPr>
                                <w:p w14:paraId="7326D8F0" w14:textId="77777777" w:rsidR="00EF3DFB" w:rsidRDefault="00D27C17">
                                  <w:pPr>
                                    <w:pStyle w:val="TableParagraph"/>
                                    <w:tabs>
                                      <w:tab w:val="left" w:pos="613"/>
                                    </w:tabs>
                                    <w:spacing w:before="136"/>
                                    <w:ind w:right="75"/>
                                    <w:jc w:val="right"/>
                                    <w:rPr>
                                      <w:b/>
                                      <w:sz w:val="16"/>
                                    </w:rPr>
                                  </w:pPr>
                                  <w:r>
                                    <w:rPr>
                                      <w:b/>
                                      <w:sz w:val="16"/>
                                    </w:rPr>
                                    <w:t>$</w:t>
                                  </w:r>
                                  <w:r>
                                    <w:rPr>
                                      <w:b/>
                                      <w:sz w:val="16"/>
                                    </w:rPr>
                                    <w:tab/>
                                    <w:t>4,996</w:t>
                                  </w:r>
                                </w:p>
                              </w:tc>
                            </w:tr>
                            <w:tr w:rsidR="00EF3DFB" w14:paraId="7326D8FA" w14:textId="77777777">
                              <w:trPr>
                                <w:trHeight w:val="495"/>
                              </w:trPr>
                              <w:tc>
                                <w:tcPr>
                                  <w:tcW w:w="3146" w:type="dxa"/>
                                  <w:shd w:val="clear" w:color="auto" w:fill="CCEDFF"/>
                                </w:tcPr>
                                <w:p w14:paraId="7326D8F2"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income</w:t>
                                  </w:r>
                                  <w:r>
                                    <w:rPr>
                                      <w:spacing w:val="-1"/>
                                      <w:sz w:val="16"/>
                                    </w:rPr>
                                    <w:t xml:space="preserve"> </w:t>
                                  </w:r>
                                  <w:r>
                                    <w:rPr>
                                      <w:sz w:val="16"/>
                                    </w:rPr>
                                    <w:t>(loss)</w:t>
                                  </w:r>
                                  <w:r>
                                    <w:rPr>
                                      <w:sz w:val="16"/>
                                    </w:rPr>
                                    <w:tab/>
                                    <w:t>—</w:t>
                                  </w:r>
                                </w:p>
                              </w:tc>
                              <w:tc>
                                <w:tcPr>
                                  <w:tcW w:w="975" w:type="dxa"/>
                                  <w:shd w:val="clear" w:color="auto" w:fill="CCEDFF"/>
                                </w:tcPr>
                                <w:p w14:paraId="7326D8F3"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F4"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F5" w14:textId="77777777" w:rsidR="00EF3DFB" w:rsidRDefault="00D27C17">
                                  <w:pPr>
                                    <w:pStyle w:val="TableParagraph"/>
                                    <w:spacing w:before="147"/>
                                    <w:ind w:right="68"/>
                                    <w:jc w:val="right"/>
                                    <w:rPr>
                                      <w:sz w:val="16"/>
                                    </w:rPr>
                                  </w:pPr>
                                  <w:r>
                                    <w:rPr>
                                      <w:sz w:val="16"/>
                                    </w:rPr>
                                    <w:t>(770)</w:t>
                                  </w:r>
                                </w:p>
                              </w:tc>
                              <w:tc>
                                <w:tcPr>
                                  <w:tcW w:w="1290" w:type="dxa"/>
                                  <w:shd w:val="clear" w:color="auto" w:fill="CCEDFF"/>
                                </w:tcPr>
                                <w:p w14:paraId="7326D8F6" w14:textId="77777777" w:rsidR="00EF3DFB" w:rsidRDefault="00D27C17">
                                  <w:pPr>
                                    <w:pStyle w:val="TableParagraph"/>
                                    <w:spacing w:before="147"/>
                                    <w:ind w:right="122"/>
                                    <w:jc w:val="right"/>
                                    <w:rPr>
                                      <w:sz w:val="16"/>
                                    </w:rPr>
                                  </w:pPr>
                                  <w:r>
                                    <w:rPr>
                                      <w:sz w:val="16"/>
                                    </w:rPr>
                                    <w:t>45</w:t>
                                  </w:r>
                                </w:p>
                              </w:tc>
                              <w:tc>
                                <w:tcPr>
                                  <w:tcW w:w="1170" w:type="dxa"/>
                                  <w:shd w:val="clear" w:color="auto" w:fill="CCEDFF"/>
                                </w:tcPr>
                                <w:p w14:paraId="7326D8F7" w14:textId="77777777" w:rsidR="00EF3DFB" w:rsidRDefault="00D27C17">
                                  <w:pPr>
                                    <w:pStyle w:val="TableParagraph"/>
                                    <w:spacing w:before="147"/>
                                    <w:ind w:right="68"/>
                                    <w:jc w:val="right"/>
                                    <w:rPr>
                                      <w:sz w:val="16"/>
                                    </w:rPr>
                                  </w:pPr>
                                  <w:r>
                                    <w:rPr>
                                      <w:sz w:val="16"/>
                                    </w:rPr>
                                    <w:t>(725)</w:t>
                                  </w:r>
                                </w:p>
                              </w:tc>
                              <w:tc>
                                <w:tcPr>
                                  <w:tcW w:w="975" w:type="dxa"/>
                                  <w:shd w:val="clear" w:color="auto" w:fill="CCEDFF"/>
                                </w:tcPr>
                                <w:p w14:paraId="7326D8F8" w14:textId="77777777" w:rsidR="00EF3DFB" w:rsidRDefault="00D27C17">
                                  <w:pPr>
                                    <w:pStyle w:val="TableParagraph"/>
                                    <w:spacing w:before="147"/>
                                    <w:ind w:right="68"/>
                                    <w:jc w:val="right"/>
                                    <w:rPr>
                                      <w:sz w:val="16"/>
                                    </w:rPr>
                                  </w:pPr>
                                  <w:r>
                                    <w:rPr>
                                      <w:sz w:val="16"/>
                                    </w:rPr>
                                    <w:t>(5)</w:t>
                                  </w:r>
                                </w:p>
                              </w:tc>
                              <w:tc>
                                <w:tcPr>
                                  <w:tcW w:w="1123" w:type="dxa"/>
                                  <w:shd w:val="clear" w:color="auto" w:fill="CCEDFF"/>
                                </w:tcPr>
                                <w:p w14:paraId="7326D8F9" w14:textId="77777777" w:rsidR="00EF3DFB" w:rsidRDefault="00D27C17">
                                  <w:pPr>
                                    <w:pStyle w:val="TableParagraph"/>
                                    <w:spacing w:before="147"/>
                                    <w:ind w:right="21"/>
                                    <w:jc w:val="right"/>
                                    <w:rPr>
                                      <w:sz w:val="16"/>
                                    </w:rPr>
                                  </w:pPr>
                                  <w:r>
                                    <w:rPr>
                                      <w:sz w:val="16"/>
                                    </w:rPr>
                                    <w:t>(730)</w:t>
                                  </w:r>
                                </w:p>
                              </w:tc>
                            </w:tr>
                            <w:tr w:rsidR="00EF3DFB" w14:paraId="7326D903" w14:textId="77777777">
                              <w:trPr>
                                <w:trHeight w:val="495"/>
                              </w:trPr>
                              <w:tc>
                                <w:tcPr>
                                  <w:tcW w:w="3146" w:type="dxa"/>
                                </w:tcPr>
                                <w:p w14:paraId="7326D8FB"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tcPr>
                                <w:p w14:paraId="7326D8FC" w14:textId="77777777" w:rsidR="00EF3DFB" w:rsidRDefault="00D27C17">
                                  <w:pPr>
                                    <w:pStyle w:val="TableParagraph"/>
                                    <w:spacing w:before="147"/>
                                    <w:ind w:right="122"/>
                                    <w:jc w:val="right"/>
                                    <w:rPr>
                                      <w:sz w:val="16"/>
                                    </w:rPr>
                                  </w:pPr>
                                  <w:r>
                                    <w:rPr>
                                      <w:sz w:val="16"/>
                                    </w:rPr>
                                    <w:t>—</w:t>
                                  </w:r>
                                </w:p>
                              </w:tc>
                              <w:tc>
                                <w:tcPr>
                                  <w:tcW w:w="975" w:type="dxa"/>
                                </w:tcPr>
                                <w:p w14:paraId="7326D8FD" w14:textId="77777777" w:rsidR="00EF3DFB" w:rsidRDefault="00D27C17">
                                  <w:pPr>
                                    <w:pStyle w:val="TableParagraph"/>
                                    <w:spacing w:before="147"/>
                                    <w:ind w:right="68"/>
                                    <w:jc w:val="right"/>
                                    <w:rPr>
                                      <w:sz w:val="16"/>
                                    </w:rPr>
                                  </w:pPr>
                                  <w:r>
                                    <w:rPr>
                                      <w:sz w:val="16"/>
                                    </w:rPr>
                                    <w:t>(392)</w:t>
                                  </w:r>
                                </w:p>
                              </w:tc>
                              <w:tc>
                                <w:tcPr>
                                  <w:tcW w:w="975" w:type="dxa"/>
                                </w:tcPr>
                                <w:p w14:paraId="7326D8FE" w14:textId="77777777" w:rsidR="00EF3DFB" w:rsidRDefault="00D27C17">
                                  <w:pPr>
                                    <w:pStyle w:val="TableParagraph"/>
                                    <w:spacing w:before="147"/>
                                    <w:ind w:right="122"/>
                                    <w:jc w:val="right"/>
                                    <w:rPr>
                                      <w:sz w:val="16"/>
                                    </w:rPr>
                                  </w:pPr>
                                  <w:r>
                                    <w:rPr>
                                      <w:sz w:val="16"/>
                                    </w:rPr>
                                    <w:t>—</w:t>
                                  </w:r>
                                </w:p>
                              </w:tc>
                              <w:tc>
                                <w:tcPr>
                                  <w:tcW w:w="1290" w:type="dxa"/>
                                </w:tcPr>
                                <w:p w14:paraId="7326D8FF" w14:textId="77777777" w:rsidR="00EF3DFB" w:rsidRDefault="00D27C17">
                                  <w:pPr>
                                    <w:pStyle w:val="TableParagraph"/>
                                    <w:spacing w:before="147"/>
                                    <w:ind w:right="122"/>
                                    <w:jc w:val="right"/>
                                    <w:rPr>
                                      <w:sz w:val="16"/>
                                    </w:rPr>
                                  </w:pPr>
                                  <w:r>
                                    <w:rPr>
                                      <w:sz w:val="16"/>
                                    </w:rPr>
                                    <w:t>—</w:t>
                                  </w:r>
                                </w:p>
                              </w:tc>
                              <w:tc>
                                <w:tcPr>
                                  <w:tcW w:w="1170" w:type="dxa"/>
                                </w:tcPr>
                                <w:p w14:paraId="7326D900" w14:textId="77777777" w:rsidR="00EF3DFB" w:rsidRDefault="00D27C17">
                                  <w:pPr>
                                    <w:pStyle w:val="TableParagraph"/>
                                    <w:spacing w:before="147"/>
                                    <w:ind w:right="68"/>
                                    <w:jc w:val="right"/>
                                    <w:rPr>
                                      <w:sz w:val="16"/>
                                    </w:rPr>
                                  </w:pPr>
                                  <w:r>
                                    <w:rPr>
                                      <w:sz w:val="16"/>
                                    </w:rPr>
                                    <w:t>(392)</w:t>
                                  </w:r>
                                </w:p>
                              </w:tc>
                              <w:tc>
                                <w:tcPr>
                                  <w:tcW w:w="975" w:type="dxa"/>
                                </w:tcPr>
                                <w:p w14:paraId="7326D901" w14:textId="77777777" w:rsidR="00EF3DFB" w:rsidRDefault="00D27C17">
                                  <w:pPr>
                                    <w:pStyle w:val="TableParagraph"/>
                                    <w:spacing w:before="147"/>
                                    <w:ind w:right="122"/>
                                    <w:jc w:val="right"/>
                                    <w:rPr>
                                      <w:sz w:val="16"/>
                                    </w:rPr>
                                  </w:pPr>
                                  <w:r>
                                    <w:rPr>
                                      <w:sz w:val="16"/>
                                    </w:rPr>
                                    <w:t>—</w:t>
                                  </w:r>
                                </w:p>
                              </w:tc>
                              <w:tc>
                                <w:tcPr>
                                  <w:tcW w:w="1123" w:type="dxa"/>
                                </w:tcPr>
                                <w:p w14:paraId="7326D902" w14:textId="77777777" w:rsidR="00EF3DFB" w:rsidRDefault="00D27C17">
                                  <w:pPr>
                                    <w:pStyle w:val="TableParagraph"/>
                                    <w:spacing w:before="147"/>
                                    <w:ind w:right="21"/>
                                    <w:jc w:val="right"/>
                                    <w:rPr>
                                      <w:sz w:val="16"/>
                                    </w:rPr>
                                  </w:pPr>
                                  <w:r>
                                    <w:rPr>
                                      <w:sz w:val="16"/>
                                    </w:rPr>
                                    <w:t>(392)</w:t>
                                  </w:r>
                                </w:p>
                              </w:tc>
                            </w:tr>
                            <w:tr w:rsidR="00EF3DFB" w14:paraId="7326D90C" w14:textId="77777777">
                              <w:trPr>
                                <w:trHeight w:val="495"/>
                              </w:trPr>
                              <w:tc>
                                <w:tcPr>
                                  <w:tcW w:w="3146" w:type="dxa"/>
                                  <w:shd w:val="clear" w:color="auto" w:fill="CCEDFF"/>
                                </w:tcPr>
                                <w:p w14:paraId="7326D904"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shd w:val="clear" w:color="auto" w:fill="CCEDFF"/>
                                </w:tcPr>
                                <w:p w14:paraId="7326D905" w14:textId="77777777" w:rsidR="00EF3DFB" w:rsidRDefault="00D27C17">
                                  <w:pPr>
                                    <w:pStyle w:val="TableParagraph"/>
                                    <w:spacing w:before="147"/>
                                    <w:ind w:right="68"/>
                                    <w:jc w:val="right"/>
                                    <w:rPr>
                                      <w:sz w:val="16"/>
                                    </w:rPr>
                                  </w:pPr>
                                  <w:r>
                                    <w:rPr>
                                      <w:sz w:val="16"/>
                                    </w:rPr>
                                    <w:t>(8)</w:t>
                                  </w:r>
                                </w:p>
                              </w:tc>
                              <w:tc>
                                <w:tcPr>
                                  <w:tcW w:w="975" w:type="dxa"/>
                                  <w:shd w:val="clear" w:color="auto" w:fill="CCEDFF"/>
                                </w:tcPr>
                                <w:p w14:paraId="7326D906" w14:textId="77777777" w:rsidR="00EF3DFB" w:rsidRDefault="00D27C17">
                                  <w:pPr>
                                    <w:pStyle w:val="TableParagraph"/>
                                    <w:spacing w:before="147"/>
                                    <w:ind w:right="122"/>
                                    <w:jc w:val="right"/>
                                    <w:rPr>
                                      <w:sz w:val="16"/>
                                    </w:rPr>
                                  </w:pPr>
                                  <w:r>
                                    <w:rPr>
                                      <w:sz w:val="16"/>
                                    </w:rPr>
                                    <w:t>40</w:t>
                                  </w:r>
                                </w:p>
                              </w:tc>
                              <w:tc>
                                <w:tcPr>
                                  <w:tcW w:w="975" w:type="dxa"/>
                                  <w:shd w:val="clear" w:color="auto" w:fill="CCEDFF"/>
                                </w:tcPr>
                                <w:p w14:paraId="7326D907"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908"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909" w14:textId="77777777" w:rsidR="00EF3DFB" w:rsidRDefault="00D27C17">
                                  <w:pPr>
                                    <w:pStyle w:val="TableParagraph"/>
                                    <w:spacing w:before="147"/>
                                    <w:ind w:right="122"/>
                                    <w:jc w:val="right"/>
                                    <w:rPr>
                                      <w:sz w:val="16"/>
                                    </w:rPr>
                                  </w:pPr>
                                  <w:r>
                                    <w:rPr>
                                      <w:sz w:val="16"/>
                                    </w:rPr>
                                    <w:t>33</w:t>
                                  </w:r>
                                </w:p>
                              </w:tc>
                              <w:tc>
                                <w:tcPr>
                                  <w:tcW w:w="975" w:type="dxa"/>
                                  <w:shd w:val="clear" w:color="auto" w:fill="CCEDFF"/>
                                </w:tcPr>
                                <w:p w14:paraId="7326D90A"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90B" w14:textId="77777777" w:rsidR="00EF3DFB" w:rsidRDefault="00D27C17">
                                  <w:pPr>
                                    <w:pStyle w:val="TableParagraph"/>
                                    <w:spacing w:before="147"/>
                                    <w:ind w:right="75"/>
                                    <w:jc w:val="right"/>
                                    <w:rPr>
                                      <w:sz w:val="16"/>
                                    </w:rPr>
                                  </w:pPr>
                                  <w:r>
                                    <w:rPr>
                                      <w:sz w:val="16"/>
                                    </w:rPr>
                                    <w:t>33</w:t>
                                  </w:r>
                                </w:p>
                              </w:tc>
                            </w:tr>
                            <w:tr w:rsidR="00EF3DFB" w14:paraId="7326D91D" w14:textId="77777777">
                              <w:trPr>
                                <w:trHeight w:val="585"/>
                              </w:trPr>
                              <w:tc>
                                <w:tcPr>
                                  <w:tcW w:w="3146" w:type="dxa"/>
                                </w:tcPr>
                                <w:p w14:paraId="7326D90D" w14:textId="77777777" w:rsidR="00EF3DFB" w:rsidRDefault="00EF3DFB">
                                  <w:pPr>
                                    <w:pStyle w:val="TableParagraph"/>
                                    <w:spacing w:before="3"/>
                                    <w:rPr>
                                      <w:i/>
                                      <w:sz w:val="18"/>
                                    </w:rPr>
                                  </w:pPr>
                                </w:p>
                                <w:p w14:paraId="7326D90E" w14:textId="77777777" w:rsidR="00EF3DFB" w:rsidRDefault="00D27C17">
                                  <w:pPr>
                                    <w:pStyle w:val="TableParagraph"/>
                                    <w:tabs>
                                      <w:tab w:val="left" w:pos="2861"/>
                                    </w:tabs>
                                    <w:spacing w:line="208" w:lineRule="auto"/>
                                    <w:ind w:left="52" w:right="122"/>
                                    <w:rPr>
                                      <w:sz w:val="16"/>
                                    </w:rPr>
                                  </w:pPr>
                                  <w:r>
                                    <w:rPr>
                                      <w:sz w:val="16"/>
                                    </w:rPr>
                                    <w:t>Portion of net loss</w:t>
                                  </w:r>
                                  <w:r>
                                    <w:rPr>
                                      <w:spacing w:val="-3"/>
                                      <w:sz w:val="16"/>
                                    </w:rPr>
                                    <w:t xml:space="preserve"> </w:t>
                                  </w:r>
                                  <w:r>
                                    <w:rPr>
                                      <w:sz w:val="16"/>
                                    </w:rPr>
                                    <w:t>attributable</w:t>
                                  </w:r>
                                  <w:r>
                                    <w:rPr>
                                      <w:spacing w:val="-1"/>
                                      <w:sz w:val="16"/>
                                    </w:rPr>
                                    <w:t xml:space="preserve"> </w:t>
                                  </w:r>
                                  <w:r>
                                    <w:rPr>
                                      <w:sz w:val="16"/>
                                    </w:rPr>
                                    <w:t>to</w:t>
                                  </w:r>
                                  <w:r>
                                    <w:rPr>
                                      <w:sz w:val="16"/>
                                    </w:rPr>
                                    <w:tab/>
                                  </w:r>
                                  <w:r>
                                    <w:rPr>
                                      <w:position w:val="2"/>
                                      <w:sz w:val="16"/>
                                    </w:rPr>
                                    <w:t xml:space="preserve">— </w:t>
                                  </w:r>
                                  <w:r>
                                    <w:rPr>
                                      <w:sz w:val="16"/>
                                    </w:rPr>
                                    <w:t>noncontrolling</w:t>
                                  </w:r>
                                  <w:r>
                                    <w:rPr>
                                      <w:spacing w:val="-1"/>
                                      <w:sz w:val="16"/>
                                    </w:rPr>
                                    <w:t xml:space="preserve"> </w:t>
                                  </w:r>
                                  <w:r>
                                    <w:rPr>
                                      <w:sz w:val="16"/>
                                    </w:rPr>
                                    <w:t>interests</w:t>
                                  </w:r>
                                </w:p>
                              </w:tc>
                              <w:tc>
                                <w:tcPr>
                                  <w:tcW w:w="975" w:type="dxa"/>
                                </w:tcPr>
                                <w:p w14:paraId="7326D90F" w14:textId="77777777" w:rsidR="00EF3DFB" w:rsidRDefault="00EF3DFB">
                                  <w:pPr>
                                    <w:pStyle w:val="TableParagraph"/>
                                    <w:spacing w:before="8"/>
                                    <w:rPr>
                                      <w:i/>
                                      <w:sz w:val="16"/>
                                    </w:rPr>
                                  </w:pPr>
                                </w:p>
                                <w:p w14:paraId="7326D910" w14:textId="77777777" w:rsidR="00EF3DFB" w:rsidRDefault="00D27C17">
                                  <w:pPr>
                                    <w:pStyle w:val="TableParagraph"/>
                                    <w:ind w:right="122"/>
                                    <w:jc w:val="right"/>
                                    <w:rPr>
                                      <w:sz w:val="16"/>
                                    </w:rPr>
                                  </w:pPr>
                                  <w:r>
                                    <w:rPr>
                                      <w:sz w:val="16"/>
                                    </w:rPr>
                                    <w:t>—</w:t>
                                  </w:r>
                                </w:p>
                              </w:tc>
                              <w:tc>
                                <w:tcPr>
                                  <w:tcW w:w="975" w:type="dxa"/>
                                </w:tcPr>
                                <w:p w14:paraId="7326D911" w14:textId="77777777" w:rsidR="00EF3DFB" w:rsidRDefault="00EF3DFB">
                                  <w:pPr>
                                    <w:pStyle w:val="TableParagraph"/>
                                    <w:spacing w:before="8"/>
                                    <w:rPr>
                                      <w:i/>
                                      <w:sz w:val="16"/>
                                    </w:rPr>
                                  </w:pPr>
                                </w:p>
                                <w:p w14:paraId="7326D912" w14:textId="77777777" w:rsidR="00EF3DFB" w:rsidRDefault="00D27C17">
                                  <w:pPr>
                                    <w:pStyle w:val="TableParagraph"/>
                                    <w:ind w:right="122"/>
                                    <w:jc w:val="right"/>
                                    <w:rPr>
                                      <w:sz w:val="16"/>
                                    </w:rPr>
                                  </w:pPr>
                                  <w:r>
                                    <w:rPr>
                                      <w:sz w:val="16"/>
                                    </w:rPr>
                                    <w:t>—</w:t>
                                  </w:r>
                                </w:p>
                              </w:tc>
                              <w:tc>
                                <w:tcPr>
                                  <w:tcW w:w="975" w:type="dxa"/>
                                </w:tcPr>
                                <w:p w14:paraId="7326D913" w14:textId="77777777" w:rsidR="00EF3DFB" w:rsidRDefault="00EF3DFB">
                                  <w:pPr>
                                    <w:pStyle w:val="TableParagraph"/>
                                    <w:spacing w:before="8"/>
                                    <w:rPr>
                                      <w:i/>
                                      <w:sz w:val="16"/>
                                    </w:rPr>
                                  </w:pPr>
                                </w:p>
                                <w:p w14:paraId="7326D914" w14:textId="77777777" w:rsidR="00EF3DFB" w:rsidRDefault="00D27C17">
                                  <w:pPr>
                                    <w:pStyle w:val="TableParagraph"/>
                                    <w:ind w:right="122"/>
                                    <w:jc w:val="right"/>
                                    <w:rPr>
                                      <w:sz w:val="16"/>
                                    </w:rPr>
                                  </w:pPr>
                                  <w:r>
                                    <w:rPr>
                                      <w:sz w:val="16"/>
                                    </w:rPr>
                                    <w:t>—</w:t>
                                  </w:r>
                                </w:p>
                              </w:tc>
                              <w:tc>
                                <w:tcPr>
                                  <w:tcW w:w="1290" w:type="dxa"/>
                                </w:tcPr>
                                <w:p w14:paraId="7326D915" w14:textId="77777777" w:rsidR="00EF3DFB" w:rsidRDefault="00EF3DFB">
                                  <w:pPr>
                                    <w:pStyle w:val="TableParagraph"/>
                                    <w:spacing w:before="8"/>
                                    <w:rPr>
                                      <w:i/>
                                      <w:sz w:val="16"/>
                                    </w:rPr>
                                  </w:pPr>
                                </w:p>
                                <w:p w14:paraId="7326D916" w14:textId="77777777" w:rsidR="00EF3DFB" w:rsidRDefault="00D27C17">
                                  <w:pPr>
                                    <w:pStyle w:val="TableParagraph"/>
                                    <w:ind w:right="68"/>
                                    <w:jc w:val="right"/>
                                    <w:rPr>
                                      <w:sz w:val="16"/>
                                    </w:rPr>
                                  </w:pPr>
                                  <w:r>
                                    <w:rPr>
                                      <w:sz w:val="16"/>
                                    </w:rPr>
                                    <w:t>(5)</w:t>
                                  </w:r>
                                </w:p>
                              </w:tc>
                              <w:tc>
                                <w:tcPr>
                                  <w:tcW w:w="1170" w:type="dxa"/>
                                </w:tcPr>
                                <w:p w14:paraId="7326D917" w14:textId="77777777" w:rsidR="00EF3DFB" w:rsidRDefault="00EF3DFB">
                                  <w:pPr>
                                    <w:pStyle w:val="TableParagraph"/>
                                    <w:spacing w:before="8"/>
                                    <w:rPr>
                                      <w:i/>
                                      <w:sz w:val="16"/>
                                    </w:rPr>
                                  </w:pPr>
                                </w:p>
                                <w:p w14:paraId="7326D918" w14:textId="77777777" w:rsidR="00EF3DFB" w:rsidRDefault="00D27C17">
                                  <w:pPr>
                                    <w:pStyle w:val="TableParagraph"/>
                                    <w:ind w:right="68"/>
                                    <w:jc w:val="right"/>
                                    <w:rPr>
                                      <w:sz w:val="16"/>
                                    </w:rPr>
                                  </w:pPr>
                                  <w:r>
                                    <w:rPr>
                                      <w:sz w:val="16"/>
                                    </w:rPr>
                                    <w:t>(5)</w:t>
                                  </w:r>
                                </w:p>
                              </w:tc>
                              <w:tc>
                                <w:tcPr>
                                  <w:tcW w:w="975" w:type="dxa"/>
                                </w:tcPr>
                                <w:p w14:paraId="7326D919" w14:textId="77777777" w:rsidR="00EF3DFB" w:rsidRDefault="00EF3DFB">
                                  <w:pPr>
                                    <w:pStyle w:val="TableParagraph"/>
                                    <w:spacing w:before="8"/>
                                    <w:rPr>
                                      <w:i/>
                                      <w:sz w:val="16"/>
                                    </w:rPr>
                                  </w:pPr>
                                </w:p>
                                <w:p w14:paraId="7326D91A" w14:textId="77777777" w:rsidR="00EF3DFB" w:rsidRDefault="00D27C17">
                                  <w:pPr>
                                    <w:pStyle w:val="TableParagraph"/>
                                    <w:ind w:right="122"/>
                                    <w:jc w:val="right"/>
                                    <w:rPr>
                                      <w:sz w:val="16"/>
                                    </w:rPr>
                                  </w:pPr>
                                  <w:r>
                                    <w:rPr>
                                      <w:sz w:val="16"/>
                                    </w:rPr>
                                    <w:t>1</w:t>
                                  </w:r>
                                </w:p>
                              </w:tc>
                              <w:tc>
                                <w:tcPr>
                                  <w:tcW w:w="1123" w:type="dxa"/>
                                </w:tcPr>
                                <w:p w14:paraId="7326D91B" w14:textId="77777777" w:rsidR="00EF3DFB" w:rsidRDefault="00EF3DFB">
                                  <w:pPr>
                                    <w:pStyle w:val="TableParagraph"/>
                                    <w:spacing w:before="8"/>
                                    <w:rPr>
                                      <w:i/>
                                      <w:sz w:val="16"/>
                                    </w:rPr>
                                  </w:pPr>
                                </w:p>
                                <w:p w14:paraId="7326D91C" w14:textId="77777777" w:rsidR="00EF3DFB" w:rsidRDefault="00D27C17">
                                  <w:pPr>
                                    <w:pStyle w:val="TableParagraph"/>
                                    <w:ind w:right="21"/>
                                    <w:jc w:val="right"/>
                                    <w:rPr>
                                      <w:sz w:val="16"/>
                                    </w:rPr>
                                  </w:pPr>
                                  <w:r>
                                    <w:rPr>
                                      <w:sz w:val="16"/>
                                    </w:rPr>
                                    <w:t>(4)</w:t>
                                  </w:r>
                                </w:p>
                              </w:tc>
                            </w:tr>
                            <w:tr w:rsidR="00EF3DFB" w14:paraId="7326D92D" w14:textId="77777777">
                              <w:trPr>
                                <w:trHeight w:val="590"/>
                              </w:trPr>
                              <w:tc>
                                <w:tcPr>
                                  <w:tcW w:w="3146" w:type="dxa"/>
                                  <w:tcBorders>
                                    <w:bottom w:val="single" w:sz="8" w:space="0" w:color="000000"/>
                                  </w:tcBorders>
                                  <w:shd w:val="clear" w:color="auto" w:fill="CCEDFF"/>
                                </w:tcPr>
                                <w:p w14:paraId="7326D91E" w14:textId="77777777" w:rsidR="00EF3DFB" w:rsidRDefault="00D27C17">
                                  <w:pPr>
                                    <w:pStyle w:val="TableParagraph"/>
                                    <w:tabs>
                                      <w:tab w:val="left" w:pos="2861"/>
                                    </w:tabs>
                                    <w:spacing w:before="120"/>
                                    <w:ind w:left="52"/>
                                    <w:rPr>
                                      <w:sz w:val="16"/>
                                    </w:rPr>
                                  </w:pPr>
                                  <w:r>
                                    <w:rPr>
                                      <w:sz w:val="16"/>
                                    </w:rPr>
                                    <w:t>Distributions</w:t>
                                  </w:r>
                                  <w:r>
                                    <w:rPr>
                                      <w:spacing w:val="-2"/>
                                      <w:sz w:val="16"/>
                                    </w:rPr>
                                    <w:t xml:space="preserve"> </w:t>
                                  </w:r>
                                  <w:r>
                                    <w:rPr>
                                      <w:sz w:val="16"/>
                                    </w:rPr>
                                    <w:t>to</w:t>
                                  </w:r>
                                  <w:r>
                                    <w:rPr>
                                      <w:spacing w:val="-1"/>
                                      <w:sz w:val="16"/>
                                    </w:rPr>
                                    <w:t xml:space="preserve"> </w:t>
                                  </w:r>
                                  <w:r>
                                    <w:rPr>
                                      <w:sz w:val="16"/>
                                    </w:rPr>
                                    <w:t>noncontrolling</w:t>
                                  </w:r>
                                  <w:r>
                                    <w:rPr>
                                      <w:sz w:val="16"/>
                                    </w:rPr>
                                    <w:tab/>
                                  </w:r>
                                  <w:r>
                                    <w:rPr>
                                      <w:position w:val="-7"/>
                                      <w:sz w:val="16"/>
                                    </w:rPr>
                                    <w:t>—</w:t>
                                  </w:r>
                                </w:p>
                              </w:tc>
                              <w:tc>
                                <w:tcPr>
                                  <w:tcW w:w="975" w:type="dxa"/>
                                  <w:tcBorders>
                                    <w:bottom w:val="single" w:sz="8" w:space="0" w:color="000000"/>
                                  </w:tcBorders>
                                  <w:shd w:val="clear" w:color="auto" w:fill="CCEDFF"/>
                                </w:tcPr>
                                <w:p w14:paraId="7326D91F" w14:textId="77777777" w:rsidR="00EF3DFB" w:rsidRDefault="00EF3DFB">
                                  <w:pPr>
                                    <w:pStyle w:val="TableParagraph"/>
                                    <w:spacing w:before="4"/>
                                    <w:rPr>
                                      <w:i/>
                                      <w:sz w:val="17"/>
                                    </w:rPr>
                                  </w:pPr>
                                </w:p>
                                <w:p w14:paraId="7326D920"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1" w14:textId="77777777" w:rsidR="00EF3DFB" w:rsidRDefault="00EF3DFB">
                                  <w:pPr>
                                    <w:pStyle w:val="TableParagraph"/>
                                    <w:spacing w:before="4"/>
                                    <w:rPr>
                                      <w:i/>
                                      <w:sz w:val="17"/>
                                    </w:rPr>
                                  </w:pPr>
                                </w:p>
                                <w:p w14:paraId="7326D922"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3" w14:textId="77777777" w:rsidR="00EF3DFB" w:rsidRDefault="00EF3DFB">
                                  <w:pPr>
                                    <w:pStyle w:val="TableParagraph"/>
                                    <w:spacing w:before="4"/>
                                    <w:rPr>
                                      <w:i/>
                                      <w:sz w:val="17"/>
                                    </w:rPr>
                                  </w:pPr>
                                </w:p>
                                <w:p w14:paraId="7326D924"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925" w14:textId="77777777" w:rsidR="00EF3DFB" w:rsidRDefault="00EF3DFB">
                                  <w:pPr>
                                    <w:pStyle w:val="TableParagraph"/>
                                    <w:spacing w:before="4"/>
                                    <w:rPr>
                                      <w:i/>
                                      <w:sz w:val="17"/>
                                    </w:rPr>
                                  </w:pPr>
                                </w:p>
                                <w:p w14:paraId="7326D926" w14:textId="77777777" w:rsidR="00EF3DFB" w:rsidRDefault="00D27C17">
                                  <w:pPr>
                                    <w:pStyle w:val="TableParagraph"/>
                                    <w:ind w:right="122"/>
                                    <w:jc w:val="right"/>
                                    <w:rPr>
                                      <w:sz w:val="16"/>
                                    </w:rPr>
                                  </w:pPr>
                                  <w:r>
                                    <w:rPr>
                                      <w:sz w:val="16"/>
                                    </w:rPr>
                                    <w:t>—</w:t>
                                  </w:r>
                                </w:p>
                              </w:tc>
                              <w:tc>
                                <w:tcPr>
                                  <w:tcW w:w="1170" w:type="dxa"/>
                                  <w:tcBorders>
                                    <w:bottom w:val="single" w:sz="8" w:space="0" w:color="000000"/>
                                  </w:tcBorders>
                                  <w:shd w:val="clear" w:color="auto" w:fill="CCEDFF"/>
                                </w:tcPr>
                                <w:p w14:paraId="7326D927" w14:textId="77777777" w:rsidR="00EF3DFB" w:rsidRDefault="00EF3DFB">
                                  <w:pPr>
                                    <w:pStyle w:val="TableParagraph"/>
                                    <w:spacing w:before="4"/>
                                    <w:rPr>
                                      <w:i/>
                                      <w:sz w:val="17"/>
                                    </w:rPr>
                                  </w:pPr>
                                </w:p>
                                <w:p w14:paraId="7326D928"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9" w14:textId="77777777" w:rsidR="00EF3DFB" w:rsidRDefault="00EF3DFB">
                                  <w:pPr>
                                    <w:pStyle w:val="TableParagraph"/>
                                    <w:spacing w:before="4"/>
                                    <w:rPr>
                                      <w:i/>
                                      <w:sz w:val="17"/>
                                    </w:rPr>
                                  </w:pPr>
                                </w:p>
                                <w:p w14:paraId="7326D92A" w14:textId="77777777" w:rsidR="00EF3DFB" w:rsidRDefault="00D27C17">
                                  <w:pPr>
                                    <w:pStyle w:val="TableParagraph"/>
                                    <w:ind w:right="68"/>
                                    <w:jc w:val="right"/>
                                    <w:rPr>
                                      <w:sz w:val="16"/>
                                    </w:rPr>
                                  </w:pPr>
                                  <w:r>
                                    <w:rPr>
                                      <w:sz w:val="16"/>
                                    </w:rPr>
                                    <w:t>(3)</w:t>
                                  </w:r>
                                </w:p>
                              </w:tc>
                              <w:tc>
                                <w:tcPr>
                                  <w:tcW w:w="1123" w:type="dxa"/>
                                  <w:tcBorders>
                                    <w:bottom w:val="single" w:sz="8" w:space="0" w:color="000000"/>
                                  </w:tcBorders>
                                  <w:shd w:val="clear" w:color="auto" w:fill="CCEDFF"/>
                                </w:tcPr>
                                <w:p w14:paraId="7326D92B" w14:textId="77777777" w:rsidR="00EF3DFB" w:rsidRDefault="00EF3DFB">
                                  <w:pPr>
                                    <w:pStyle w:val="TableParagraph"/>
                                    <w:spacing w:before="4"/>
                                    <w:rPr>
                                      <w:i/>
                                      <w:sz w:val="17"/>
                                    </w:rPr>
                                  </w:pPr>
                                </w:p>
                                <w:p w14:paraId="7326D92C" w14:textId="77777777" w:rsidR="00EF3DFB" w:rsidRDefault="00D27C17">
                                  <w:pPr>
                                    <w:pStyle w:val="TableParagraph"/>
                                    <w:ind w:right="21"/>
                                    <w:jc w:val="right"/>
                                    <w:rPr>
                                      <w:sz w:val="16"/>
                                    </w:rPr>
                                  </w:pPr>
                                  <w:r>
                                    <w:rPr>
                                      <w:sz w:val="16"/>
                                    </w:rPr>
                                    <w:t>(3)</w:t>
                                  </w:r>
                                </w:p>
                              </w:tc>
                            </w:tr>
                            <w:tr w:rsidR="00EF3DFB" w14:paraId="7326D936" w14:textId="77777777">
                              <w:trPr>
                                <w:trHeight w:val="495"/>
                              </w:trPr>
                              <w:tc>
                                <w:tcPr>
                                  <w:tcW w:w="3146" w:type="dxa"/>
                                  <w:tcBorders>
                                    <w:top w:val="single" w:sz="8" w:space="0" w:color="000000"/>
                                    <w:bottom w:val="single" w:sz="8" w:space="0" w:color="000000"/>
                                  </w:tcBorders>
                                </w:tcPr>
                                <w:p w14:paraId="7326D92E"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2020  </w:t>
                                  </w:r>
                                  <w:r>
                                    <w:rPr>
                                      <w:b/>
                                      <w:spacing w:val="20"/>
                                      <w:sz w:val="16"/>
                                    </w:rPr>
                                    <w:t xml:space="preserve"> </w:t>
                                  </w:r>
                                  <w:r>
                                    <w:rPr>
                                      <w:b/>
                                      <w:sz w:val="16"/>
                                    </w:rPr>
                                    <w:t>$</w:t>
                                  </w:r>
                                  <w:r>
                                    <w:rPr>
                                      <w:b/>
                                      <w:sz w:val="16"/>
                                    </w:rPr>
                                    <w:tab/>
                                    <w:t>448</w:t>
                                  </w:r>
                                </w:p>
                              </w:tc>
                              <w:tc>
                                <w:tcPr>
                                  <w:tcW w:w="975" w:type="dxa"/>
                                  <w:tcBorders>
                                    <w:top w:val="single" w:sz="8" w:space="0" w:color="000000"/>
                                    <w:bottom w:val="single" w:sz="8" w:space="0" w:color="000000"/>
                                  </w:tcBorders>
                                </w:tcPr>
                                <w:p w14:paraId="7326D92F" w14:textId="77777777" w:rsidR="00EF3DFB" w:rsidRDefault="00D27C17">
                                  <w:pPr>
                                    <w:pStyle w:val="TableParagraph"/>
                                    <w:tabs>
                                      <w:tab w:val="left" w:pos="485"/>
                                    </w:tabs>
                                    <w:spacing w:before="136"/>
                                    <w:ind w:right="68"/>
                                    <w:jc w:val="right"/>
                                    <w:rPr>
                                      <w:b/>
                                      <w:sz w:val="16"/>
                                    </w:rPr>
                                  </w:pPr>
                                  <w:r>
                                    <w:rPr>
                                      <w:b/>
                                      <w:sz w:val="16"/>
                                    </w:rPr>
                                    <w:t>$</w:t>
                                  </w:r>
                                  <w:r>
                                    <w:rPr>
                                      <w:b/>
                                      <w:sz w:val="16"/>
                                    </w:rPr>
                                    <w:tab/>
                                    <w:t>(598)</w:t>
                                  </w:r>
                                </w:p>
                              </w:tc>
                              <w:tc>
                                <w:tcPr>
                                  <w:tcW w:w="975" w:type="dxa"/>
                                  <w:tcBorders>
                                    <w:top w:val="single" w:sz="8" w:space="0" w:color="000000"/>
                                    <w:bottom w:val="single" w:sz="8" w:space="0" w:color="000000"/>
                                  </w:tcBorders>
                                </w:tcPr>
                                <w:p w14:paraId="7326D930"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8,078</w:t>
                                  </w:r>
                                </w:p>
                              </w:tc>
                              <w:tc>
                                <w:tcPr>
                                  <w:tcW w:w="975" w:type="dxa"/>
                                  <w:tcBorders>
                                    <w:top w:val="single" w:sz="8" w:space="0" w:color="000000"/>
                                    <w:bottom w:val="single" w:sz="8" w:space="0" w:color="000000"/>
                                  </w:tcBorders>
                                </w:tcPr>
                                <w:p w14:paraId="7326D931" w14:textId="77777777" w:rsidR="00EF3DFB" w:rsidRDefault="00D27C17">
                                  <w:pPr>
                                    <w:pStyle w:val="TableParagraph"/>
                                    <w:tabs>
                                      <w:tab w:val="left" w:pos="437"/>
                                    </w:tabs>
                                    <w:spacing w:before="136"/>
                                    <w:ind w:left="71"/>
                                    <w:rPr>
                                      <w:b/>
                                      <w:sz w:val="16"/>
                                    </w:rPr>
                                  </w:pPr>
                                  <w:r>
                                    <w:rPr>
                                      <w:b/>
                                      <w:sz w:val="16"/>
                                    </w:rPr>
                                    <w:t>$</w:t>
                                  </w:r>
                                  <w:r>
                                    <w:rPr>
                                      <w:b/>
                                      <w:sz w:val="16"/>
                                    </w:rPr>
                                    <w:tab/>
                                    <w:t>(3,174)</w:t>
                                  </w:r>
                                </w:p>
                              </w:tc>
                              <w:tc>
                                <w:tcPr>
                                  <w:tcW w:w="1290" w:type="dxa"/>
                                  <w:tcBorders>
                                    <w:top w:val="single" w:sz="8" w:space="0" w:color="000000"/>
                                    <w:bottom w:val="single" w:sz="8" w:space="0" w:color="000000"/>
                                  </w:tcBorders>
                                </w:tcPr>
                                <w:p w14:paraId="7326D932" w14:textId="77777777" w:rsidR="00EF3DFB" w:rsidRDefault="00D27C17">
                                  <w:pPr>
                                    <w:pStyle w:val="TableParagraph"/>
                                    <w:tabs>
                                      <w:tab w:val="left" w:pos="800"/>
                                    </w:tabs>
                                    <w:spacing w:before="136"/>
                                    <w:ind w:right="68"/>
                                    <w:jc w:val="right"/>
                                    <w:rPr>
                                      <w:b/>
                                      <w:sz w:val="16"/>
                                    </w:rPr>
                                  </w:pPr>
                                  <w:r>
                                    <w:rPr>
                                      <w:b/>
                                      <w:sz w:val="16"/>
                                    </w:rPr>
                                    <w:t>$</w:t>
                                  </w:r>
                                  <w:r>
                                    <w:rPr>
                                      <w:b/>
                                      <w:sz w:val="16"/>
                                    </w:rPr>
                                    <w:tab/>
                                    <w:t>(880)</w:t>
                                  </w:r>
                                </w:p>
                              </w:tc>
                              <w:tc>
                                <w:tcPr>
                                  <w:tcW w:w="1170" w:type="dxa"/>
                                  <w:tcBorders>
                                    <w:top w:val="single" w:sz="8" w:space="0" w:color="000000"/>
                                    <w:bottom w:val="single" w:sz="8" w:space="0" w:color="000000"/>
                                  </w:tcBorders>
                                </w:tcPr>
                                <w:p w14:paraId="7326D933" w14:textId="77777777" w:rsidR="00EF3DFB" w:rsidRDefault="00D27C17">
                                  <w:pPr>
                                    <w:pStyle w:val="TableParagraph"/>
                                    <w:tabs>
                                      <w:tab w:val="left" w:pos="613"/>
                                    </w:tabs>
                                    <w:spacing w:before="136"/>
                                    <w:ind w:right="122"/>
                                    <w:jc w:val="right"/>
                                    <w:rPr>
                                      <w:b/>
                                      <w:sz w:val="16"/>
                                    </w:rPr>
                                  </w:pPr>
                                  <w:r>
                                    <w:rPr>
                                      <w:b/>
                                      <w:sz w:val="16"/>
                                    </w:rPr>
                                    <w:t>$</w:t>
                                  </w:r>
                                  <w:r>
                                    <w:rPr>
                                      <w:b/>
                                      <w:sz w:val="16"/>
                                    </w:rPr>
                                    <w:tab/>
                                    <w:t>3,874</w:t>
                                  </w:r>
                                </w:p>
                              </w:tc>
                              <w:tc>
                                <w:tcPr>
                                  <w:tcW w:w="975" w:type="dxa"/>
                                  <w:tcBorders>
                                    <w:top w:val="single" w:sz="8" w:space="0" w:color="000000"/>
                                    <w:bottom w:val="single" w:sz="8" w:space="0" w:color="000000"/>
                                  </w:tcBorders>
                                </w:tcPr>
                                <w:p w14:paraId="7326D934" w14:textId="77777777" w:rsidR="00EF3DFB" w:rsidRDefault="00D27C17">
                                  <w:pPr>
                                    <w:pStyle w:val="TableParagraph"/>
                                    <w:tabs>
                                      <w:tab w:val="left" w:pos="690"/>
                                    </w:tabs>
                                    <w:spacing w:before="136"/>
                                    <w:ind w:left="71"/>
                                    <w:rPr>
                                      <w:b/>
                                      <w:sz w:val="16"/>
                                    </w:rPr>
                                  </w:pPr>
                                  <w:r>
                                    <w:rPr>
                                      <w:b/>
                                      <w:sz w:val="16"/>
                                    </w:rPr>
                                    <w:t>$</w:t>
                                  </w:r>
                                  <w:r>
                                    <w:rPr>
                                      <w:b/>
                                      <w:sz w:val="16"/>
                                    </w:rPr>
                                    <w:tab/>
                                    <w:t>26</w:t>
                                  </w:r>
                                </w:p>
                              </w:tc>
                              <w:tc>
                                <w:tcPr>
                                  <w:tcW w:w="1123" w:type="dxa"/>
                                  <w:tcBorders>
                                    <w:top w:val="single" w:sz="8" w:space="0" w:color="000000"/>
                                    <w:bottom w:val="single" w:sz="8" w:space="0" w:color="000000"/>
                                  </w:tcBorders>
                                </w:tcPr>
                                <w:p w14:paraId="7326D935" w14:textId="77777777" w:rsidR="00EF3DFB" w:rsidRDefault="00D27C17">
                                  <w:pPr>
                                    <w:pStyle w:val="TableParagraph"/>
                                    <w:tabs>
                                      <w:tab w:val="left" w:pos="613"/>
                                    </w:tabs>
                                    <w:spacing w:before="136"/>
                                    <w:ind w:right="75"/>
                                    <w:jc w:val="right"/>
                                    <w:rPr>
                                      <w:b/>
                                      <w:sz w:val="16"/>
                                    </w:rPr>
                                  </w:pPr>
                                  <w:r>
                                    <w:rPr>
                                      <w:b/>
                                      <w:sz w:val="16"/>
                                    </w:rPr>
                                    <w:t>$</w:t>
                                  </w:r>
                                  <w:r>
                                    <w:rPr>
                                      <w:b/>
                                      <w:sz w:val="16"/>
                                    </w:rPr>
                                    <w:tab/>
                                    <w:t>3,900</w:t>
                                  </w:r>
                                </w:p>
                              </w:tc>
                            </w:tr>
                          </w:tbl>
                          <w:p w14:paraId="7326D937" w14:textId="77777777" w:rsidR="00EF3DFB" w:rsidRDefault="00EF3D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04" id="Text Box 459" o:spid="_x0000_s1035" type="#_x0000_t202" style="position:absolute;left:0;text-align:left;margin-left:40.5pt;margin-top:22.2pt;width:531.5pt;height:560.9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46"/>
                        <w:gridCol w:w="975"/>
                        <w:gridCol w:w="975"/>
                        <w:gridCol w:w="975"/>
                        <w:gridCol w:w="1290"/>
                        <w:gridCol w:w="1170"/>
                        <w:gridCol w:w="975"/>
                        <w:gridCol w:w="1123"/>
                      </w:tblGrid>
                      <w:tr w:rsidR="00EF3DFB" w14:paraId="7326D85C" w14:textId="77777777">
                        <w:trPr>
                          <w:trHeight w:val="937"/>
                        </w:trPr>
                        <w:tc>
                          <w:tcPr>
                            <w:tcW w:w="3146" w:type="dxa"/>
                          </w:tcPr>
                          <w:p w14:paraId="7326D84B" w14:textId="77777777" w:rsidR="00EF3DFB" w:rsidRDefault="00EF3DFB">
                            <w:pPr>
                              <w:pStyle w:val="TableParagraph"/>
                              <w:rPr>
                                <w:i/>
                                <w:sz w:val="18"/>
                              </w:rPr>
                            </w:pPr>
                          </w:p>
                          <w:p w14:paraId="7326D84C" w14:textId="77777777" w:rsidR="00EF3DFB" w:rsidRDefault="00EF3DFB">
                            <w:pPr>
                              <w:pStyle w:val="TableParagraph"/>
                              <w:spacing w:before="9"/>
                              <w:rPr>
                                <w:i/>
                                <w:sz w:val="14"/>
                              </w:rPr>
                            </w:pPr>
                          </w:p>
                          <w:p w14:paraId="7326D84D" w14:textId="77777777" w:rsidR="00EF3DFB" w:rsidRDefault="00D27C17">
                            <w:pPr>
                              <w:pStyle w:val="TableParagraph"/>
                              <w:spacing w:line="249" w:lineRule="auto"/>
                              <w:ind w:left="2448" w:right="171" w:hanging="125"/>
                              <w:rPr>
                                <w:b/>
                                <w:sz w:val="16"/>
                              </w:rPr>
                            </w:pPr>
                            <w:r>
                              <w:rPr>
                                <w:b/>
                                <w:sz w:val="16"/>
                              </w:rPr>
                              <w:t>Common Stock</w:t>
                            </w:r>
                          </w:p>
                        </w:tc>
                        <w:tc>
                          <w:tcPr>
                            <w:tcW w:w="975" w:type="dxa"/>
                          </w:tcPr>
                          <w:p w14:paraId="7326D84E" w14:textId="77777777" w:rsidR="00EF3DFB" w:rsidRDefault="00EF3DFB">
                            <w:pPr>
                              <w:pStyle w:val="TableParagraph"/>
                              <w:rPr>
                                <w:i/>
                                <w:sz w:val="18"/>
                              </w:rPr>
                            </w:pPr>
                          </w:p>
                          <w:p w14:paraId="7326D84F" w14:textId="77777777" w:rsidR="00EF3DFB" w:rsidRDefault="00EF3DFB">
                            <w:pPr>
                              <w:pStyle w:val="TableParagraph"/>
                              <w:spacing w:before="9"/>
                              <w:rPr>
                                <w:i/>
                                <w:sz w:val="14"/>
                              </w:rPr>
                            </w:pPr>
                          </w:p>
                          <w:p w14:paraId="7326D850" w14:textId="77777777" w:rsidR="00EF3DFB" w:rsidRDefault="00D27C17">
                            <w:pPr>
                              <w:pStyle w:val="TableParagraph"/>
                              <w:spacing w:line="249" w:lineRule="auto"/>
                              <w:ind w:left="277" w:right="171" w:hanging="125"/>
                              <w:rPr>
                                <w:b/>
                                <w:sz w:val="16"/>
                              </w:rPr>
                            </w:pPr>
                            <w:r>
                              <w:rPr>
                                <w:b/>
                                <w:sz w:val="16"/>
                              </w:rPr>
                              <w:t>Treasury Stock</w:t>
                            </w:r>
                          </w:p>
                        </w:tc>
                        <w:tc>
                          <w:tcPr>
                            <w:tcW w:w="975" w:type="dxa"/>
                          </w:tcPr>
                          <w:p w14:paraId="7326D851" w14:textId="77777777" w:rsidR="00EF3DFB" w:rsidRDefault="00EF3DFB">
                            <w:pPr>
                              <w:pStyle w:val="TableParagraph"/>
                              <w:spacing w:before="1"/>
                              <w:rPr>
                                <w:i/>
                                <w:sz w:val="16"/>
                              </w:rPr>
                            </w:pPr>
                          </w:p>
                          <w:p w14:paraId="7326D852" w14:textId="77777777" w:rsidR="00EF3DFB" w:rsidRDefault="00D27C17">
                            <w:pPr>
                              <w:pStyle w:val="TableParagraph"/>
                              <w:spacing w:line="249" w:lineRule="auto"/>
                              <w:ind w:left="211" w:right="139" w:hanging="107"/>
                              <w:rPr>
                                <w:b/>
                                <w:sz w:val="16"/>
                              </w:rPr>
                            </w:pPr>
                            <w:r>
                              <w:rPr>
                                <w:b/>
                                <w:sz w:val="16"/>
                              </w:rPr>
                              <w:t>Additional Paid-In Capital</w:t>
                            </w:r>
                          </w:p>
                        </w:tc>
                        <w:tc>
                          <w:tcPr>
                            <w:tcW w:w="975" w:type="dxa"/>
                          </w:tcPr>
                          <w:p w14:paraId="7326D853" w14:textId="77777777" w:rsidR="00EF3DFB" w:rsidRDefault="00EF3DFB">
                            <w:pPr>
                              <w:pStyle w:val="TableParagraph"/>
                              <w:rPr>
                                <w:i/>
                                <w:sz w:val="18"/>
                              </w:rPr>
                            </w:pPr>
                          </w:p>
                          <w:p w14:paraId="7326D854" w14:textId="77777777" w:rsidR="00EF3DFB" w:rsidRDefault="00EF3DFB">
                            <w:pPr>
                              <w:pStyle w:val="TableParagraph"/>
                              <w:spacing w:before="9"/>
                              <w:rPr>
                                <w:i/>
                                <w:sz w:val="14"/>
                              </w:rPr>
                            </w:pPr>
                          </w:p>
                          <w:p w14:paraId="7326D855" w14:textId="77777777" w:rsidR="00EF3DFB" w:rsidRDefault="00D27C17">
                            <w:pPr>
                              <w:pStyle w:val="TableParagraph"/>
                              <w:spacing w:line="249" w:lineRule="auto"/>
                              <w:ind w:left="242" w:right="179" w:hanging="80"/>
                              <w:rPr>
                                <w:b/>
                                <w:sz w:val="16"/>
                              </w:rPr>
                            </w:pPr>
                            <w:r>
                              <w:rPr>
                                <w:b/>
                                <w:sz w:val="16"/>
                              </w:rPr>
                              <w:t>Retained Deficit</w:t>
                            </w:r>
                          </w:p>
                        </w:tc>
                        <w:tc>
                          <w:tcPr>
                            <w:tcW w:w="1290" w:type="dxa"/>
                          </w:tcPr>
                          <w:p w14:paraId="7326D856" w14:textId="77777777" w:rsidR="00EF3DFB" w:rsidRDefault="00D27C17">
                            <w:pPr>
                              <w:pStyle w:val="TableParagraph"/>
                              <w:spacing w:line="249" w:lineRule="auto"/>
                              <w:ind w:left="93" w:right="128"/>
                              <w:jc w:val="center"/>
                              <w:rPr>
                                <w:b/>
                                <w:sz w:val="16"/>
                              </w:rPr>
                            </w:pPr>
                            <w:r>
                              <w:rPr>
                                <w:b/>
                                <w:sz w:val="16"/>
                              </w:rPr>
                              <w:t>Accumulated Other Comprehensive Income (Loss)</w:t>
                            </w:r>
                          </w:p>
                        </w:tc>
                        <w:tc>
                          <w:tcPr>
                            <w:tcW w:w="1170" w:type="dxa"/>
                          </w:tcPr>
                          <w:p w14:paraId="7326D857" w14:textId="77777777" w:rsidR="00EF3DFB" w:rsidRDefault="00D27C17">
                            <w:pPr>
                              <w:pStyle w:val="TableParagraph"/>
                              <w:spacing w:line="249" w:lineRule="auto"/>
                              <w:ind w:left="100" w:right="135"/>
                              <w:jc w:val="center"/>
                              <w:rPr>
                                <w:b/>
                                <w:sz w:val="16"/>
                              </w:rPr>
                            </w:pPr>
                            <w:r>
                              <w:rPr>
                                <w:b/>
                                <w:sz w:val="16"/>
                              </w:rPr>
                              <w:t>Stockholders' Equity Attributable to Parent</w:t>
                            </w:r>
                          </w:p>
                        </w:tc>
                        <w:tc>
                          <w:tcPr>
                            <w:tcW w:w="975" w:type="dxa"/>
                          </w:tcPr>
                          <w:p w14:paraId="7326D858" w14:textId="77777777" w:rsidR="00EF3DFB" w:rsidRDefault="00EF3DFB">
                            <w:pPr>
                              <w:pStyle w:val="TableParagraph"/>
                              <w:spacing w:before="1"/>
                              <w:rPr>
                                <w:i/>
                                <w:sz w:val="16"/>
                              </w:rPr>
                            </w:pPr>
                          </w:p>
                          <w:p w14:paraId="7326D859" w14:textId="77777777" w:rsidR="00EF3DFB" w:rsidRDefault="00D27C17">
                            <w:pPr>
                              <w:pStyle w:val="TableParagraph"/>
                              <w:spacing w:line="249" w:lineRule="auto"/>
                              <w:ind w:left="96" w:right="130" w:hanging="1"/>
                              <w:jc w:val="center"/>
                              <w:rPr>
                                <w:b/>
                                <w:sz w:val="16"/>
                              </w:rPr>
                            </w:pPr>
                            <w:r>
                              <w:rPr>
                                <w:b/>
                                <w:sz w:val="16"/>
                              </w:rPr>
                              <w:t>Non- controlling Interest</w:t>
                            </w:r>
                          </w:p>
                        </w:tc>
                        <w:tc>
                          <w:tcPr>
                            <w:tcW w:w="1123" w:type="dxa"/>
                          </w:tcPr>
                          <w:p w14:paraId="7326D85A" w14:textId="77777777" w:rsidR="00EF3DFB" w:rsidRDefault="00EF3DFB">
                            <w:pPr>
                              <w:pStyle w:val="TableParagraph"/>
                              <w:spacing w:before="1"/>
                              <w:rPr>
                                <w:i/>
                                <w:sz w:val="16"/>
                              </w:rPr>
                            </w:pPr>
                          </w:p>
                          <w:p w14:paraId="7326D85B" w14:textId="77777777" w:rsidR="00EF3DFB" w:rsidRDefault="00D27C17">
                            <w:pPr>
                              <w:pStyle w:val="TableParagraph"/>
                              <w:spacing w:line="249" w:lineRule="auto"/>
                              <w:ind w:left="100" w:right="88"/>
                              <w:jc w:val="center"/>
                              <w:rPr>
                                <w:b/>
                                <w:sz w:val="16"/>
                              </w:rPr>
                            </w:pPr>
                            <w:r>
                              <w:rPr>
                                <w:b/>
                                <w:sz w:val="16"/>
                              </w:rPr>
                              <w:t>Total Stockholders' Equity</w:t>
                            </w:r>
                          </w:p>
                        </w:tc>
                      </w:tr>
                      <w:tr w:rsidR="00EF3DFB" w14:paraId="7326D865" w14:textId="77777777">
                        <w:trPr>
                          <w:trHeight w:val="340"/>
                        </w:trPr>
                        <w:tc>
                          <w:tcPr>
                            <w:tcW w:w="3146" w:type="dxa"/>
                            <w:shd w:val="clear" w:color="auto" w:fill="CCEDFF"/>
                          </w:tcPr>
                          <w:p w14:paraId="7326D85D" w14:textId="77777777" w:rsidR="00EF3DFB" w:rsidRDefault="00D27C17">
                            <w:pPr>
                              <w:pStyle w:val="TableParagraph"/>
                              <w:tabs>
                                <w:tab w:val="right" w:pos="3021"/>
                              </w:tabs>
                              <w:spacing w:line="177" w:lineRule="exact"/>
                              <w:ind w:left="52"/>
                              <w:rPr>
                                <w:sz w:val="16"/>
                              </w:rPr>
                            </w:pPr>
                            <w:r>
                              <w:rPr>
                                <w:b/>
                                <w:sz w:val="16"/>
                              </w:rPr>
                              <w:t>Balance at December 31,</w:t>
                            </w:r>
                            <w:r>
                              <w:rPr>
                                <w:b/>
                                <w:spacing w:val="-1"/>
                                <w:sz w:val="16"/>
                              </w:rPr>
                              <w:t xml:space="preserve"> </w:t>
                            </w:r>
                            <w:r>
                              <w:rPr>
                                <w:b/>
                                <w:sz w:val="16"/>
                              </w:rPr>
                              <w:t xml:space="preserve">2017  </w:t>
                            </w:r>
                            <w:r>
                              <w:rPr>
                                <w:b/>
                                <w:spacing w:val="20"/>
                                <w:sz w:val="16"/>
                              </w:rPr>
                              <w:t xml:space="preserve"> </w:t>
                            </w:r>
                            <w:r>
                              <w:rPr>
                                <w:sz w:val="16"/>
                              </w:rPr>
                              <w:t>$</w:t>
                            </w:r>
                            <w:r>
                              <w:rPr>
                                <w:sz w:val="16"/>
                              </w:rPr>
                              <w:tab/>
                              <w:t>508</w:t>
                            </w:r>
                          </w:p>
                        </w:tc>
                        <w:tc>
                          <w:tcPr>
                            <w:tcW w:w="975" w:type="dxa"/>
                            <w:shd w:val="clear" w:color="auto" w:fill="CCEDFF"/>
                          </w:tcPr>
                          <w:p w14:paraId="7326D85E" w14:textId="77777777" w:rsidR="00EF3DFB" w:rsidRDefault="00D27C17">
                            <w:pPr>
                              <w:pStyle w:val="TableParagraph"/>
                              <w:tabs>
                                <w:tab w:val="left" w:pos="485"/>
                              </w:tabs>
                              <w:spacing w:line="177" w:lineRule="exact"/>
                              <w:ind w:right="68"/>
                              <w:jc w:val="right"/>
                              <w:rPr>
                                <w:sz w:val="16"/>
                              </w:rPr>
                            </w:pPr>
                            <w:r>
                              <w:rPr>
                                <w:sz w:val="16"/>
                              </w:rPr>
                              <w:t>$</w:t>
                            </w:r>
                            <w:r>
                              <w:rPr>
                                <w:sz w:val="16"/>
                              </w:rPr>
                              <w:tab/>
                              <w:t>(574)</w:t>
                            </w:r>
                          </w:p>
                        </w:tc>
                        <w:tc>
                          <w:tcPr>
                            <w:tcW w:w="975" w:type="dxa"/>
                            <w:shd w:val="clear" w:color="auto" w:fill="CCEDFF"/>
                          </w:tcPr>
                          <w:p w14:paraId="7326D85F" w14:textId="77777777" w:rsidR="00EF3DFB" w:rsidRDefault="00D27C17">
                            <w:pPr>
                              <w:pStyle w:val="TableParagraph"/>
                              <w:tabs>
                                <w:tab w:val="left" w:pos="339"/>
                              </w:tabs>
                              <w:spacing w:line="177" w:lineRule="exact"/>
                              <w:ind w:right="122"/>
                              <w:jc w:val="right"/>
                              <w:rPr>
                                <w:sz w:val="16"/>
                              </w:rPr>
                            </w:pPr>
                            <w:r>
                              <w:rPr>
                                <w:sz w:val="16"/>
                              </w:rPr>
                              <w:t>$</w:t>
                            </w:r>
                            <w:r>
                              <w:rPr>
                                <w:sz w:val="16"/>
                              </w:rPr>
                              <w:tab/>
                            </w:r>
                            <w:r>
                              <w:rPr>
                                <w:spacing w:val="-1"/>
                                <w:sz w:val="16"/>
                              </w:rPr>
                              <w:t>10,362</w:t>
                            </w:r>
                          </w:p>
                        </w:tc>
                        <w:tc>
                          <w:tcPr>
                            <w:tcW w:w="975" w:type="dxa"/>
                            <w:shd w:val="clear" w:color="auto" w:fill="CCEDFF"/>
                          </w:tcPr>
                          <w:p w14:paraId="7326D860" w14:textId="77777777" w:rsidR="00EF3DFB" w:rsidRDefault="00D27C17">
                            <w:pPr>
                              <w:pStyle w:val="TableParagraph"/>
                              <w:tabs>
                                <w:tab w:val="left" w:pos="490"/>
                              </w:tabs>
                              <w:spacing w:line="177" w:lineRule="exact"/>
                              <w:ind w:left="71"/>
                              <w:rPr>
                                <w:sz w:val="16"/>
                              </w:rPr>
                            </w:pPr>
                            <w:r>
                              <w:rPr>
                                <w:sz w:val="16"/>
                              </w:rPr>
                              <w:t>$</w:t>
                            </w:r>
                            <w:r>
                              <w:rPr>
                                <w:sz w:val="16"/>
                              </w:rPr>
                              <w:tab/>
                              <w:t>4,611</w:t>
                            </w:r>
                          </w:p>
                        </w:tc>
                        <w:tc>
                          <w:tcPr>
                            <w:tcW w:w="1290" w:type="dxa"/>
                            <w:shd w:val="clear" w:color="auto" w:fill="CCEDFF"/>
                          </w:tcPr>
                          <w:p w14:paraId="7326D861" w14:textId="77777777" w:rsidR="00EF3DFB" w:rsidRDefault="00D27C17">
                            <w:pPr>
                              <w:pStyle w:val="TableParagraph"/>
                              <w:tabs>
                                <w:tab w:val="left" w:pos="800"/>
                              </w:tabs>
                              <w:spacing w:line="177" w:lineRule="exact"/>
                              <w:ind w:right="68"/>
                              <w:jc w:val="right"/>
                              <w:rPr>
                                <w:sz w:val="16"/>
                              </w:rPr>
                            </w:pPr>
                            <w:r>
                              <w:rPr>
                                <w:sz w:val="16"/>
                              </w:rPr>
                              <w:t>$</w:t>
                            </w:r>
                            <w:r>
                              <w:rPr>
                                <w:sz w:val="16"/>
                              </w:rPr>
                              <w:tab/>
                              <w:t>(763)</w:t>
                            </w:r>
                          </w:p>
                        </w:tc>
                        <w:tc>
                          <w:tcPr>
                            <w:tcW w:w="1170" w:type="dxa"/>
                            <w:shd w:val="clear" w:color="auto" w:fill="CCEDFF"/>
                          </w:tcPr>
                          <w:p w14:paraId="7326D862" w14:textId="77777777" w:rsidR="00EF3DFB" w:rsidRDefault="00D27C17">
                            <w:pPr>
                              <w:pStyle w:val="TableParagraph"/>
                              <w:tabs>
                                <w:tab w:val="left" w:pos="533"/>
                              </w:tabs>
                              <w:spacing w:line="177" w:lineRule="exact"/>
                              <w:ind w:right="122"/>
                              <w:jc w:val="right"/>
                              <w:rPr>
                                <w:sz w:val="16"/>
                              </w:rPr>
                            </w:pPr>
                            <w:r>
                              <w:rPr>
                                <w:sz w:val="16"/>
                              </w:rPr>
                              <w:t>$</w:t>
                            </w:r>
                            <w:r>
                              <w:rPr>
                                <w:sz w:val="16"/>
                              </w:rPr>
                              <w:tab/>
                              <w:t>14,144</w:t>
                            </w:r>
                          </w:p>
                        </w:tc>
                        <w:tc>
                          <w:tcPr>
                            <w:tcW w:w="975" w:type="dxa"/>
                            <w:shd w:val="clear" w:color="auto" w:fill="CCEDFF"/>
                          </w:tcPr>
                          <w:p w14:paraId="7326D863" w14:textId="77777777" w:rsidR="00EF3DFB" w:rsidRDefault="00D27C17">
                            <w:pPr>
                              <w:pStyle w:val="TableParagraph"/>
                              <w:tabs>
                                <w:tab w:val="left" w:pos="690"/>
                              </w:tabs>
                              <w:spacing w:line="177" w:lineRule="exact"/>
                              <w:ind w:left="71"/>
                              <w:rPr>
                                <w:sz w:val="16"/>
                              </w:rPr>
                            </w:pPr>
                            <w:r>
                              <w:rPr>
                                <w:sz w:val="16"/>
                              </w:rPr>
                              <w:t>$</w:t>
                            </w:r>
                            <w:r>
                              <w:rPr>
                                <w:sz w:val="16"/>
                              </w:rPr>
                              <w:tab/>
                              <w:t>37</w:t>
                            </w:r>
                          </w:p>
                        </w:tc>
                        <w:tc>
                          <w:tcPr>
                            <w:tcW w:w="1123" w:type="dxa"/>
                            <w:shd w:val="clear" w:color="auto" w:fill="CCEDFF"/>
                          </w:tcPr>
                          <w:p w14:paraId="7326D864" w14:textId="77777777" w:rsidR="00EF3DFB" w:rsidRDefault="00D27C17">
                            <w:pPr>
                              <w:pStyle w:val="TableParagraph"/>
                              <w:tabs>
                                <w:tab w:val="left" w:pos="533"/>
                              </w:tabs>
                              <w:spacing w:line="177" w:lineRule="exact"/>
                              <w:ind w:right="75"/>
                              <w:jc w:val="right"/>
                              <w:rPr>
                                <w:sz w:val="16"/>
                              </w:rPr>
                            </w:pPr>
                            <w:r>
                              <w:rPr>
                                <w:sz w:val="16"/>
                              </w:rPr>
                              <w:t>$</w:t>
                            </w:r>
                            <w:r>
                              <w:rPr>
                                <w:sz w:val="16"/>
                              </w:rPr>
                              <w:tab/>
                              <w:t>14,181</w:t>
                            </w:r>
                          </w:p>
                        </w:tc>
                      </w:tr>
                      <w:tr w:rsidR="00EF3DFB" w14:paraId="7326D86E" w14:textId="77777777">
                        <w:trPr>
                          <w:trHeight w:val="495"/>
                        </w:trPr>
                        <w:tc>
                          <w:tcPr>
                            <w:tcW w:w="3146" w:type="dxa"/>
                          </w:tcPr>
                          <w:p w14:paraId="7326D866"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loss</w:t>
                            </w:r>
                            <w:r>
                              <w:rPr>
                                <w:sz w:val="16"/>
                              </w:rPr>
                              <w:tab/>
                              <w:t>—</w:t>
                            </w:r>
                          </w:p>
                        </w:tc>
                        <w:tc>
                          <w:tcPr>
                            <w:tcW w:w="975" w:type="dxa"/>
                          </w:tcPr>
                          <w:p w14:paraId="7326D867" w14:textId="77777777" w:rsidR="00EF3DFB" w:rsidRDefault="00D27C17">
                            <w:pPr>
                              <w:pStyle w:val="TableParagraph"/>
                              <w:spacing w:before="147"/>
                              <w:ind w:right="122"/>
                              <w:jc w:val="right"/>
                              <w:rPr>
                                <w:sz w:val="16"/>
                              </w:rPr>
                            </w:pPr>
                            <w:r>
                              <w:rPr>
                                <w:sz w:val="16"/>
                              </w:rPr>
                              <w:t>—</w:t>
                            </w:r>
                          </w:p>
                        </w:tc>
                        <w:tc>
                          <w:tcPr>
                            <w:tcW w:w="975" w:type="dxa"/>
                          </w:tcPr>
                          <w:p w14:paraId="7326D868" w14:textId="77777777" w:rsidR="00EF3DFB" w:rsidRDefault="00D27C17">
                            <w:pPr>
                              <w:pStyle w:val="TableParagraph"/>
                              <w:spacing w:before="147"/>
                              <w:ind w:right="122"/>
                              <w:jc w:val="right"/>
                              <w:rPr>
                                <w:sz w:val="16"/>
                              </w:rPr>
                            </w:pPr>
                            <w:r>
                              <w:rPr>
                                <w:sz w:val="16"/>
                              </w:rPr>
                              <w:t>—</w:t>
                            </w:r>
                          </w:p>
                        </w:tc>
                        <w:tc>
                          <w:tcPr>
                            <w:tcW w:w="975" w:type="dxa"/>
                          </w:tcPr>
                          <w:p w14:paraId="7326D869" w14:textId="77777777" w:rsidR="00EF3DFB" w:rsidRDefault="00D27C17">
                            <w:pPr>
                              <w:pStyle w:val="TableParagraph"/>
                              <w:spacing w:before="147"/>
                              <w:ind w:right="68"/>
                              <w:jc w:val="right"/>
                              <w:rPr>
                                <w:sz w:val="16"/>
                              </w:rPr>
                            </w:pPr>
                            <w:r>
                              <w:rPr>
                                <w:sz w:val="16"/>
                              </w:rPr>
                              <w:t>(6,942)</w:t>
                            </w:r>
                          </w:p>
                        </w:tc>
                        <w:tc>
                          <w:tcPr>
                            <w:tcW w:w="1290" w:type="dxa"/>
                          </w:tcPr>
                          <w:p w14:paraId="7326D86A" w14:textId="77777777" w:rsidR="00EF3DFB" w:rsidRDefault="00D27C17">
                            <w:pPr>
                              <w:pStyle w:val="TableParagraph"/>
                              <w:spacing w:before="147"/>
                              <w:ind w:right="68"/>
                              <w:jc w:val="right"/>
                              <w:rPr>
                                <w:sz w:val="16"/>
                              </w:rPr>
                            </w:pPr>
                            <w:r>
                              <w:rPr>
                                <w:sz w:val="16"/>
                              </w:rPr>
                              <w:t>(83)</w:t>
                            </w:r>
                          </w:p>
                        </w:tc>
                        <w:tc>
                          <w:tcPr>
                            <w:tcW w:w="1170" w:type="dxa"/>
                          </w:tcPr>
                          <w:p w14:paraId="7326D86B" w14:textId="77777777" w:rsidR="00EF3DFB" w:rsidRDefault="00D27C17">
                            <w:pPr>
                              <w:pStyle w:val="TableParagraph"/>
                              <w:spacing w:before="147"/>
                              <w:ind w:right="68"/>
                              <w:jc w:val="right"/>
                              <w:rPr>
                                <w:sz w:val="16"/>
                              </w:rPr>
                            </w:pPr>
                            <w:r>
                              <w:rPr>
                                <w:sz w:val="16"/>
                              </w:rPr>
                              <w:t>(7,025)</w:t>
                            </w:r>
                          </w:p>
                        </w:tc>
                        <w:tc>
                          <w:tcPr>
                            <w:tcW w:w="975" w:type="dxa"/>
                          </w:tcPr>
                          <w:p w14:paraId="7326D86C" w14:textId="77777777" w:rsidR="00EF3DFB" w:rsidRDefault="00D27C17">
                            <w:pPr>
                              <w:pStyle w:val="TableParagraph"/>
                              <w:spacing w:before="147"/>
                              <w:ind w:right="68"/>
                              <w:jc w:val="right"/>
                              <w:rPr>
                                <w:sz w:val="16"/>
                              </w:rPr>
                            </w:pPr>
                            <w:r>
                              <w:rPr>
                                <w:sz w:val="16"/>
                              </w:rPr>
                              <w:t>(4)</w:t>
                            </w:r>
                          </w:p>
                        </w:tc>
                        <w:tc>
                          <w:tcPr>
                            <w:tcW w:w="1123" w:type="dxa"/>
                          </w:tcPr>
                          <w:p w14:paraId="7326D86D" w14:textId="77777777" w:rsidR="00EF3DFB" w:rsidRDefault="00D27C17">
                            <w:pPr>
                              <w:pStyle w:val="TableParagraph"/>
                              <w:spacing w:before="147"/>
                              <w:ind w:right="21"/>
                              <w:jc w:val="right"/>
                              <w:rPr>
                                <w:sz w:val="16"/>
                              </w:rPr>
                            </w:pPr>
                            <w:r>
                              <w:rPr>
                                <w:sz w:val="16"/>
                              </w:rPr>
                              <w:t>(7,029)</w:t>
                            </w:r>
                          </w:p>
                        </w:tc>
                      </w:tr>
                      <w:tr w:rsidR="00EF3DFB" w14:paraId="7326D877" w14:textId="77777777">
                        <w:trPr>
                          <w:trHeight w:val="495"/>
                        </w:trPr>
                        <w:tc>
                          <w:tcPr>
                            <w:tcW w:w="3146" w:type="dxa"/>
                            <w:shd w:val="clear" w:color="auto" w:fill="CCEDFF"/>
                          </w:tcPr>
                          <w:p w14:paraId="7326D86F"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shd w:val="clear" w:color="auto" w:fill="CCEDFF"/>
                          </w:tcPr>
                          <w:p w14:paraId="7326D870"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71" w14:textId="77777777" w:rsidR="00EF3DFB" w:rsidRDefault="00D27C17">
                            <w:pPr>
                              <w:pStyle w:val="TableParagraph"/>
                              <w:spacing w:before="147"/>
                              <w:ind w:right="68"/>
                              <w:jc w:val="right"/>
                              <w:rPr>
                                <w:sz w:val="16"/>
                              </w:rPr>
                            </w:pPr>
                            <w:r>
                              <w:rPr>
                                <w:sz w:val="16"/>
                              </w:rPr>
                              <w:t>(211)</w:t>
                            </w:r>
                          </w:p>
                        </w:tc>
                        <w:tc>
                          <w:tcPr>
                            <w:tcW w:w="975" w:type="dxa"/>
                            <w:shd w:val="clear" w:color="auto" w:fill="CCEDFF"/>
                          </w:tcPr>
                          <w:p w14:paraId="7326D872" w14:textId="77777777" w:rsidR="00EF3DFB" w:rsidRDefault="00D27C17">
                            <w:pPr>
                              <w:pStyle w:val="TableParagraph"/>
                              <w:spacing w:before="147"/>
                              <w:ind w:right="68"/>
                              <w:jc w:val="right"/>
                              <w:rPr>
                                <w:sz w:val="16"/>
                              </w:rPr>
                            </w:pPr>
                            <w:r>
                              <w:rPr>
                                <w:sz w:val="16"/>
                              </w:rPr>
                              <w:t>(225)</w:t>
                            </w:r>
                          </w:p>
                        </w:tc>
                        <w:tc>
                          <w:tcPr>
                            <w:tcW w:w="1290" w:type="dxa"/>
                            <w:shd w:val="clear" w:color="auto" w:fill="CCEDFF"/>
                          </w:tcPr>
                          <w:p w14:paraId="7326D873"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74" w14:textId="77777777" w:rsidR="00EF3DFB" w:rsidRDefault="00D27C17">
                            <w:pPr>
                              <w:pStyle w:val="TableParagraph"/>
                              <w:spacing w:before="147"/>
                              <w:ind w:right="68"/>
                              <w:jc w:val="right"/>
                              <w:rPr>
                                <w:sz w:val="16"/>
                              </w:rPr>
                            </w:pPr>
                            <w:r>
                              <w:rPr>
                                <w:sz w:val="16"/>
                              </w:rPr>
                              <w:t>(436)</w:t>
                            </w:r>
                          </w:p>
                        </w:tc>
                        <w:tc>
                          <w:tcPr>
                            <w:tcW w:w="975" w:type="dxa"/>
                            <w:shd w:val="clear" w:color="auto" w:fill="CCEDFF"/>
                          </w:tcPr>
                          <w:p w14:paraId="7326D875"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76" w14:textId="77777777" w:rsidR="00EF3DFB" w:rsidRDefault="00D27C17">
                            <w:pPr>
                              <w:pStyle w:val="TableParagraph"/>
                              <w:spacing w:before="147"/>
                              <w:ind w:right="21"/>
                              <w:jc w:val="right"/>
                              <w:rPr>
                                <w:sz w:val="16"/>
                              </w:rPr>
                            </w:pPr>
                            <w:r>
                              <w:rPr>
                                <w:sz w:val="16"/>
                              </w:rPr>
                              <w:t>(436)</w:t>
                            </w:r>
                          </w:p>
                        </w:tc>
                      </w:tr>
                      <w:tr w:rsidR="00EF3DFB" w14:paraId="7326D880" w14:textId="77777777">
                        <w:trPr>
                          <w:trHeight w:val="495"/>
                        </w:trPr>
                        <w:tc>
                          <w:tcPr>
                            <w:tcW w:w="3146" w:type="dxa"/>
                          </w:tcPr>
                          <w:p w14:paraId="7326D878"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tcPr>
                          <w:p w14:paraId="7326D879" w14:textId="77777777" w:rsidR="00EF3DFB" w:rsidRDefault="00D27C17">
                            <w:pPr>
                              <w:pStyle w:val="TableParagraph"/>
                              <w:spacing w:before="147"/>
                              <w:ind w:right="68"/>
                              <w:jc w:val="right"/>
                              <w:rPr>
                                <w:sz w:val="16"/>
                              </w:rPr>
                            </w:pPr>
                            <w:r>
                              <w:rPr>
                                <w:sz w:val="16"/>
                              </w:rPr>
                              <w:t>(11)</w:t>
                            </w:r>
                          </w:p>
                        </w:tc>
                        <w:tc>
                          <w:tcPr>
                            <w:tcW w:w="975" w:type="dxa"/>
                          </w:tcPr>
                          <w:p w14:paraId="7326D87A" w14:textId="77777777" w:rsidR="00EF3DFB" w:rsidRDefault="00D27C17">
                            <w:pPr>
                              <w:pStyle w:val="TableParagraph"/>
                              <w:spacing w:before="147"/>
                              <w:ind w:right="122"/>
                              <w:jc w:val="right"/>
                              <w:rPr>
                                <w:sz w:val="16"/>
                              </w:rPr>
                            </w:pPr>
                            <w:r>
                              <w:rPr>
                                <w:sz w:val="16"/>
                              </w:rPr>
                              <w:t>74</w:t>
                            </w:r>
                          </w:p>
                        </w:tc>
                        <w:tc>
                          <w:tcPr>
                            <w:tcW w:w="975" w:type="dxa"/>
                          </w:tcPr>
                          <w:p w14:paraId="7326D87B" w14:textId="77777777" w:rsidR="00EF3DFB" w:rsidRDefault="00D27C17">
                            <w:pPr>
                              <w:pStyle w:val="TableParagraph"/>
                              <w:spacing w:before="147"/>
                              <w:ind w:right="122"/>
                              <w:jc w:val="right"/>
                              <w:rPr>
                                <w:sz w:val="16"/>
                              </w:rPr>
                            </w:pPr>
                            <w:r>
                              <w:rPr>
                                <w:sz w:val="16"/>
                              </w:rPr>
                              <w:t>—</w:t>
                            </w:r>
                          </w:p>
                        </w:tc>
                        <w:tc>
                          <w:tcPr>
                            <w:tcW w:w="1290" w:type="dxa"/>
                          </w:tcPr>
                          <w:p w14:paraId="7326D87C" w14:textId="77777777" w:rsidR="00EF3DFB" w:rsidRDefault="00D27C17">
                            <w:pPr>
                              <w:pStyle w:val="TableParagraph"/>
                              <w:spacing w:before="147"/>
                              <w:ind w:right="122"/>
                              <w:jc w:val="right"/>
                              <w:rPr>
                                <w:sz w:val="16"/>
                              </w:rPr>
                            </w:pPr>
                            <w:r>
                              <w:rPr>
                                <w:sz w:val="16"/>
                              </w:rPr>
                              <w:t>—</w:t>
                            </w:r>
                          </w:p>
                        </w:tc>
                        <w:tc>
                          <w:tcPr>
                            <w:tcW w:w="1170" w:type="dxa"/>
                          </w:tcPr>
                          <w:p w14:paraId="7326D87D" w14:textId="77777777" w:rsidR="00EF3DFB" w:rsidRDefault="00D27C17">
                            <w:pPr>
                              <w:pStyle w:val="TableParagraph"/>
                              <w:spacing w:before="147"/>
                              <w:ind w:right="122"/>
                              <w:jc w:val="right"/>
                              <w:rPr>
                                <w:sz w:val="16"/>
                              </w:rPr>
                            </w:pPr>
                            <w:r>
                              <w:rPr>
                                <w:sz w:val="16"/>
                              </w:rPr>
                              <w:t>64</w:t>
                            </w:r>
                          </w:p>
                        </w:tc>
                        <w:tc>
                          <w:tcPr>
                            <w:tcW w:w="975" w:type="dxa"/>
                          </w:tcPr>
                          <w:p w14:paraId="7326D87E" w14:textId="77777777" w:rsidR="00EF3DFB" w:rsidRDefault="00D27C17">
                            <w:pPr>
                              <w:pStyle w:val="TableParagraph"/>
                              <w:spacing w:before="147"/>
                              <w:ind w:right="122"/>
                              <w:jc w:val="right"/>
                              <w:rPr>
                                <w:sz w:val="16"/>
                              </w:rPr>
                            </w:pPr>
                            <w:r>
                              <w:rPr>
                                <w:sz w:val="16"/>
                              </w:rPr>
                              <w:t>—</w:t>
                            </w:r>
                          </w:p>
                        </w:tc>
                        <w:tc>
                          <w:tcPr>
                            <w:tcW w:w="1123" w:type="dxa"/>
                          </w:tcPr>
                          <w:p w14:paraId="7326D87F" w14:textId="77777777" w:rsidR="00EF3DFB" w:rsidRDefault="00D27C17">
                            <w:pPr>
                              <w:pStyle w:val="TableParagraph"/>
                              <w:spacing w:before="147"/>
                              <w:ind w:right="75"/>
                              <w:jc w:val="right"/>
                              <w:rPr>
                                <w:sz w:val="16"/>
                              </w:rPr>
                            </w:pPr>
                            <w:r>
                              <w:rPr>
                                <w:sz w:val="16"/>
                              </w:rPr>
                              <w:t>64</w:t>
                            </w:r>
                          </w:p>
                        </w:tc>
                      </w:tr>
                      <w:tr w:rsidR="00EF3DFB" w14:paraId="7326D889" w14:textId="77777777">
                        <w:trPr>
                          <w:trHeight w:val="495"/>
                        </w:trPr>
                        <w:tc>
                          <w:tcPr>
                            <w:tcW w:w="3146" w:type="dxa"/>
                            <w:shd w:val="clear" w:color="auto" w:fill="CCEDFF"/>
                          </w:tcPr>
                          <w:p w14:paraId="7326D881" w14:textId="77777777" w:rsidR="00EF3DFB" w:rsidRDefault="00D27C17">
                            <w:pPr>
                              <w:pStyle w:val="TableParagraph"/>
                              <w:tabs>
                                <w:tab w:val="left" w:pos="2808"/>
                              </w:tabs>
                              <w:spacing w:before="67"/>
                              <w:ind w:left="52"/>
                              <w:rPr>
                                <w:sz w:val="16"/>
                              </w:rPr>
                            </w:pPr>
                            <w:r>
                              <w:rPr>
                                <w:sz w:val="16"/>
                              </w:rPr>
                              <w:t>Common stock</w:t>
                            </w:r>
                            <w:r>
                              <w:rPr>
                                <w:spacing w:val="-1"/>
                                <w:sz w:val="16"/>
                              </w:rPr>
                              <w:t xml:space="preserve"> </w:t>
                            </w:r>
                            <w:r>
                              <w:rPr>
                                <w:sz w:val="16"/>
                              </w:rPr>
                              <w:t>purchased</w:t>
                            </w:r>
                            <w:r>
                              <w:rPr>
                                <w:spacing w:val="-1"/>
                                <w:sz w:val="16"/>
                              </w:rPr>
                              <w:t xml:space="preserve"> </w:t>
                            </w:r>
                            <w:r>
                              <w:rPr>
                                <w:sz w:val="16"/>
                              </w:rPr>
                              <w:t>and</w:t>
                            </w:r>
                            <w:r>
                              <w:rPr>
                                <w:sz w:val="16"/>
                              </w:rPr>
                              <w:tab/>
                            </w:r>
                            <w:r>
                              <w:rPr>
                                <w:position w:val="-7"/>
                                <w:sz w:val="16"/>
                              </w:rPr>
                              <w:t>(63)</w:t>
                            </w:r>
                          </w:p>
                        </w:tc>
                        <w:tc>
                          <w:tcPr>
                            <w:tcW w:w="975" w:type="dxa"/>
                            <w:shd w:val="clear" w:color="auto" w:fill="CCEDFF"/>
                          </w:tcPr>
                          <w:p w14:paraId="7326D882"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83" w14:textId="77777777" w:rsidR="00EF3DFB" w:rsidRDefault="00D27C17">
                            <w:pPr>
                              <w:pStyle w:val="TableParagraph"/>
                              <w:spacing w:before="147"/>
                              <w:ind w:right="68"/>
                              <w:jc w:val="right"/>
                              <w:rPr>
                                <w:sz w:val="16"/>
                              </w:rPr>
                            </w:pPr>
                            <w:r>
                              <w:rPr>
                                <w:sz w:val="16"/>
                              </w:rPr>
                              <w:t>(1,444)</w:t>
                            </w:r>
                          </w:p>
                        </w:tc>
                        <w:tc>
                          <w:tcPr>
                            <w:tcW w:w="975" w:type="dxa"/>
                            <w:shd w:val="clear" w:color="auto" w:fill="CCEDFF"/>
                          </w:tcPr>
                          <w:p w14:paraId="7326D884"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885"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86" w14:textId="77777777" w:rsidR="00EF3DFB" w:rsidRDefault="00D27C17">
                            <w:pPr>
                              <w:pStyle w:val="TableParagraph"/>
                              <w:spacing w:before="147"/>
                              <w:ind w:right="68"/>
                              <w:jc w:val="right"/>
                              <w:rPr>
                                <w:sz w:val="16"/>
                              </w:rPr>
                            </w:pPr>
                            <w:r>
                              <w:rPr>
                                <w:sz w:val="16"/>
                              </w:rPr>
                              <w:t>(1,507)</w:t>
                            </w:r>
                          </w:p>
                        </w:tc>
                        <w:tc>
                          <w:tcPr>
                            <w:tcW w:w="975" w:type="dxa"/>
                            <w:shd w:val="clear" w:color="auto" w:fill="CCEDFF"/>
                          </w:tcPr>
                          <w:p w14:paraId="7326D887"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88" w14:textId="77777777" w:rsidR="00EF3DFB" w:rsidRDefault="00D27C17">
                            <w:pPr>
                              <w:pStyle w:val="TableParagraph"/>
                              <w:spacing w:before="147"/>
                              <w:ind w:right="21"/>
                              <w:jc w:val="right"/>
                              <w:rPr>
                                <w:sz w:val="16"/>
                              </w:rPr>
                            </w:pPr>
                            <w:r>
                              <w:rPr>
                                <w:sz w:val="16"/>
                              </w:rPr>
                              <w:t>(1,507)</w:t>
                            </w:r>
                          </w:p>
                        </w:tc>
                      </w:tr>
                      <w:tr w:rsidR="00EF3DFB" w14:paraId="7326D899" w14:textId="77777777">
                        <w:trPr>
                          <w:trHeight w:val="600"/>
                        </w:trPr>
                        <w:tc>
                          <w:tcPr>
                            <w:tcW w:w="3146" w:type="dxa"/>
                          </w:tcPr>
                          <w:p w14:paraId="7326D88A" w14:textId="77777777" w:rsidR="00EF3DFB" w:rsidRDefault="00D27C17">
                            <w:pPr>
                              <w:pStyle w:val="TableParagraph"/>
                              <w:tabs>
                                <w:tab w:val="left" w:pos="2861"/>
                              </w:tabs>
                              <w:spacing w:before="120"/>
                              <w:ind w:left="52"/>
                              <w:rPr>
                                <w:sz w:val="16"/>
                              </w:rPr>
                            </w:pPr>
                            <w:r>
                              <w:rPr>
                                <w:sz w:val="16"/>
                              </w:rPr>
                              <w:t>Impact of</w:t>
                            </w:r>
                            <w:r>
                              <w:rPr>
                                <w:spacing w:val="-1"/>
                                <w:sz w:val="16"/>
                              </w:rPr>
                              <w:t xml:space="preserve"> </w:t>
                            </w:r>
                            <w:r>
                              <w:rPr>
                                <w:sz w:val="16"/>
                              </w:rPr>
                              <w:t>accounting</w:t>
                            </w:r>
                            <w:r>
                              <w:rPr>
                                <w:spacing w:val="-1"/>
                                <w:sz w:val="16"/>
                              </w:rPr>
                              <w:t xml:space="preserve"> </w:t>
                            </w:r>
                            <w:r>
                              <w:rPr>
                                <w:sz w:val="16"/>
                              </w:rPr>
                              <w:t>standard</w:t>
                            </w:r>
                            <w:r>
                              <w:rPr>
                                <w:sz w:val="16"/>
                              </w:rPr>
                              <w:tab/>
                            </w:r>
                            <w:r>
                              <w:rPr>
                                <w:position w:val="-7"/>
                                <w:sz w:val="16"/>
                              </w:rPr>
                              <w:t>—</w:t>
                            </w:r>
                          </w:p>
                        </w:tc>
                        <w:tc>
                          <w:tcPr>
                            <w:tcW w:w="975" w:type="dxa"/>
                          </w:tcPr>
                          <w:p w14:paraId="7326D88B" w14:textId="77777777" w:rsidR="00EF3DFB" w:rsidRDefault="00EF3DFB">
                            <w:pPr>
                              <w:pStyle w:val="TableParagraph"/>
                              <w:spacing w:before="4"/>
                              <w:rPr>
                                <w:i/>
                                <w:sz w:val="17"/>
                              </w:rPr>
                            </w:pPr>
                          </w:p>
                          <w:p w14:paraId="7326D88C" w14:textId="77777777" w:rsidR="00EF3DFB" w:rsidRDefault="00D27C17">
                            <w:pPr>
                              <w:pStyle w:val="TableParagraph"/>
                              <w:ind w:right="122"/>
                              <w:jc w:val="right"/>
                              <w:rPr>
                                <w:sz w:val="16"/>
                              </w:rPr>
                            </w:pPr>
                            <w:r>
                              <w:rPr>
                                <w:sz w:val="16"/>
                              </w:rPr>
                              <w:t>—</w:t>
                            </w:r>
                          </w:p>
                        </w:tc>
                        <w:tc>
                          <w:tcPr>
                            <w:tcW w:w="975" w:type="dxa"/>
                          </w:tcPr>
                          <w:p w14:paraId="7326D88D" w14:textId="77777777" w:rsidR="00EF3DFB" w:rsidRDefault="00EF3DFB">
                            <w:pPr>
                              <w:pStyle w:val="TableParagraph"/>
                              <w:spacing w:before="4"/>
                              <w:rPr>
                                <w:i/>
                                <w:sz w:val="17"/>
                              </w:rPr>
                            </w:pPr>
                          </w:p>
                          <w:p w14:paraId="7326D88E" w14:textId="77777777" w:rsidR="00EF3DFB" w:rsidRDefault="00D27C17">
                            <w:pPr>
                              <w:pStyle w:val="TableParagraph"/>
                              <w:ind w:right="122"/>
                              <w:jc w:val="right"/>
                              <w:rPr>
                                <w:sz w:val="16"/>
                              </w:rPr>
                            </w:pPr>
                            <w:r>
                              <w:rPr>
                                <w:sz w:val="16"/>
                              </w:rPr>
                              <w:t>—</w:t>
                            </w:r>
                          </w:p>
                        </w:tc>
                        <w:tc>
                          <w:tcPr>
                            <w:tcW w:w="975" w:type="dxa"/>
                          </w:tcPr>
                          <w:p w14:paraId="7326D88F" w14:textId="77777777" w:rsidR="00EF3DFB" w:rsidRDefault="00EF3DFB">
                            <w:pPr>
                              <w:pStyle w:val="TableParagraph"/>
                              <w:spacing w:before="4"/>
                              <w:rPr>
                                <w:i/>
                                <w:sz w:val="17"/>
                              </w:rPr>
                            </w:pPr>
                          </w:p>
                          <w:p w14:paraId="7326D890" w14:textId="77777777" w:rsidR="00EF3DFB" w:rsidRDefault="00D27C17">
                            <w:pPr>
                              <w:pStyle w:val="TableParagraph"/>
                              <w:ind w:right="122"/>
                              <w:jc w:val="right"/>
                              <w:rPr>
                                <w:sz w:val="16"/>
                              </w:rPr>
                            </w:pPr>
                            <w:r>
                              <w:rPr>
                                <w:sz w:val="16"/>
                              </w:rPr>
                              <w:t>45</w:t>
                            </w:r>
                          </w:p>
                        </w:tc>
                        <w:tc>
                          <w:tcPr>
                            <w:tcW w:w="1290" w:type="dxa"/>
                          </w:tcPr>
                          <w:p w14:paraId="7326D891" w14:textId="77777777" w:rsidR="00EF3DFB" w:rsidRDefault="00EF3DFB">
                            <w:pPr>
                              <w:pStyle w:val="TableParagraph"/>
                              <w:spacing w:before="4"/>
                              <w:rPr>
                                <w:i/>
                                <w:sz w:val="17"/>
                              </w:rPr>
                            </w:pPr>
                          </w:p>
                          <w:p w14:paraId="7326D892" w14:textId="77777777" w:rsidR="00EF3DFB" w:rsidRDefault="00D27C17">
                            <w:pPr>
                              <w:pStyle w:val="TableParagraph"/>
                              <w:ind w:right="68"/>
                              <w:jc w:val="right"/>
                              <w:rPr>
                                <w:sz w:val="16"/>
                              </w:rPr>
                            </w:pPr>
                            <w:r>
                              <w:rPr>
                                <w:sz w:val="16"/>
                              </w:rPr>
                              <w:t>(63)</w:t>
                            </w:r>
                          </w:p>
                        </w:tc>
                        <w:tc>
                          <w:tcPr>
                            <w:tcW w:w="1170" w:type="dxa"/>
                          </w:tcPr>
                          <w:p w14:paraId="7326D893" w14:textId="77777777" w:rsidR="00EF3DFB" w:rsidRDefault="00EF3DFB">
                            <w:pPr>
                              <w:pStyle w:val="TableParagraph"/>
                              <w:spacing w:before="4"/>
                              <w:rPr>
                                <w:i/>
                                <w:sz w:val="17"/>
                              </w:rPr>
                            </w:pPr>
                          </w:p>
                          <w:p w14:paraId="7326D894" w14:textId="77777777" w:rsidR="00EF3DFB" w:rsidRDefault="00D27C17">
                            <w:pPr>
                              <w:pStyle w:val="TableParagraph"/>
                              <w:ind w:right="68"/>
                              <w:jc w:val="right"/>
                              <w:rPr>
                                <w:sz w:val="16"/>
                              </w:rPr>
                            </w:pPr>
                            <w:r>
                              <w:rPr>
                                <w:sz w:val="16"/>
                              </w:rPr>
                              <w:t>(18)</w:t>
                            </w:r>
                          </w:p>
                        </w:tc>
                        <w:tc>
                          <w:tcPr>
                            <w:tcW w:w="975" w:type="dxa"/>
                          </w:tcPr>
                          <w:p w14:paraId="7326D895" w14:textId="77777777" w:rsidR="00EF3DFB" w:rsidRDefault="00EF3DFB">
                            <w:pPr>
                              <w:pStyle w:val="TableParagraph"/>
                              <w:spacing w:before="4"/>
                              <w:rPr>
                                <w:i/>
                                <w:sz w:val="17"/>
                              </w:rPr>
                            </w:pPr>
                          </w:p>
                          <w:p w14:paraId="7326D896" w14:textId="77777777" w:rsidR="00EF3DFB" w:rsidRDefault="00D27C17">
                            <w:pPr>
                              <w:pStyle w:val="TableParagraph"/>
                              <w:ind w:right="122"/>
                              <w:jc w:val="right"/>
                              <w:rPr>
                                <w:sz w:val="16"/>
                              </w:rPr>
                            </w:pPr>
                            <w:r>
                              <w:rPr>
                                <w:sz w:val="16"/>
                              </w:rPr>
                              <w:t>—</w:t>
                            </w:r>
                          </w:p>
                        </w:tc>
                        <w:tc>
                          <w:tcPr>
                            <w:tcW w:w="1123" w:type="dxa"/>
                          </w:tcPr>
                          <w:p w14:paraId="7326D897" w14:textId="77777777" w:rsidR="00EF3DFB" w:rsidRDefault="00EF3DFB">
                            <w:pPr>
                              <w:pStyle w:val="TableParagraph"/>
                              <w:spacing w:before="4"/>
                              <w:rPr>
                                <w:i/>
                                <w:sz w:val="17"/>
                              </w:rPr>
                            </w:pPr>
                          </w:p>
                          <w:p w14:paraId="7326D898" w14:textId="77777777" w:rsidR="00EF3DFB" w:rsidRDefault="00D27C17">
                            <w:pPr>
                              <w:pStyle w:val="TableParagraph"/>
                              <w:ind w:right="21"/>
                              <w:jc w:val="right"/>
                              <w:rPr>
                                <w:sz w:val="16"/>
                              </w:rPr>
                            </w:pPr>
                            <w:r>
                              <w:rPr>
                                <w:sz w:val="16"/>
                              </w:rPr>
                              <w:t>(18)</w:t>
                            </w:r>
                          </w:p>
                        </w:tc>
                      </w:tr>
                      <w:tr w:rsidR="00EF3DFB" w14:paraId="7326D8A9" w14:textId="77777777">
                        <w:trPr>
                          <w:trHeight w:val="590"/>
                        </w:trPr>
                        <w:tc>
                          <w:tcPr>
                            <w:tcW w:w="3146" w:type="dxa"/>
                            <w:tcBorders>
                              <w:bottom w:val="single" w:sz="8" w:space="0" w:color="000000"/>
                            </w:tcBorders>
                            <w:shd w:val="clear" w:color="auto" w:fill="CCEDFF"/>
                          </w:tcPr>
                          <w:p w14:paraId="7326D89A" w14:textId="77777777" w:rsidR="00EF3DFB" w:rsidRDefault="00D27C17">
                            <w:pPr>
                              <w:pStyle w:val="TableParagraph"/>
                              <w:tabs>
                                <w:tab w:val="left" w:pos="2861"/>
                              </w:tabs>
                              <w:spacing w:before="120"/>
                              <w:ind w:left="52"/>
                              <w:rPr>
                                <w:sz w:val="16"/>
                              </w:rPr>
                            </w:pPr>
                            <w:r>
                              <w:rPr>
                                <w:sz w:val="16"/>
                              </w:rPr>
                              <w:t>Portion of net loss</w:t>
                            </w:r>
                            <w:r>
                              <w:rPr>
                                <w:spacing w:val="-2"/>
                                <w:sz w:val="16"/>
                              </w:rPr>
                              <w:t xml:space="preserve"> </w:t>
                            </w:r>
                            <w:r>
                              <w:rPr>
                                <w:sz w:val="16"/>
                              </w:rPr>
                              <w:t>attributable</w:t>
                            </w:r>
                            <w:r>
                              <w:rPr>
                                <w:spacing w:val="-1"/>
                                <w:sz w:val="16"/>
                              </w:rPr>
                              <w:t xml:space="preserve"> </w:t>
                            </w:r>
                            <w:r>
                              <w:rPr>
                                <w:sz w:val="16"/>
                              </w:rPr>
                              <w:t>to</w:t>
                            </w:r>
                            <w:r>
                              <w:rPr>
                                <w:sz w:val="16"/>
                              </w:rPr>
                              <w:tab/>
                            </w:r>
                            <w:r>
                              <w:rPr>
                                <w:position w:val="-7"/>
                                <w:sz w:val="16"/>
                              </w:rPr>
                              <w:t>—</w:t>
                            </w:r>
                          </w:p>
                        </w:tc>
                        <w:tc>
                          <w:tcPr>
                            <w:tcW w:w="975" w:type="dxa"/>
                            <w:tcBorders>
                              <w:bottom w:val="single" w:sz="8" w:space="0" w:color="000000"/>
                            </w:tcBorders>
                            <w:shd w:val="clear" w:color="auto" w:fill="CCEDFF"/>
                          </w:tcPr>
                          <w:p w14:paraId="7326D89B" w14:textId="77777777" w:rsidR="00EF3DFB" w:rsidRDefault="00EF3DFB">
                            <w:pPr>
                              <w:pStyle w:val="TableParagraph"/>
                              <w:spacing w:before="4"/>
                              <w:rPr>
                                <w:i/>
                                <w:sz w:val="17"/>
                              </w:rPr>
                            </w:pPr>
                          </w:p>
                          <w:p w14:paraId="7326D89C"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9D" w14:textId="77777777" w:rsidR="00EF3DFB" w:rsidRDefault="00EF3DFB">
                            <w:pPr>
                              <w:pStyle w:val="TableParagraph"/>
                              <w:spacing w:before="4"/>
                              <w:rPr>
                                <w:i/>
                                <w:sz w:val="17"/>
                              </w:rPr>
                            </w:pPr>
                          </w:p>
                          <w:p w14:paraId="7326D89E"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9F" w14:textId="77777777" w:rsidR="00EF3DFB" w:rsidRDefault="00EF3DFB">
                            <w:pPr>
                              <w:pStyle w:val="TableParagraph"/>
                              <w:spacing w:before="4"/>
                              <w:rPr>
                                <w:i/>
                                <w:sz w:val="17"/>
                              </w:rPr>
                            </w:pPr>
                          </w:p>
                          <w:p w14:paraId="7326D8A0"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8A1" w14:textId="77777777" w:rsidR="00EF3DFB" w:rsidRDefault="00EF3DFB">
                            <w:pPr>
                              <w:pStyle w:val="TableParagraph"/>
                              <w:spacing w:before="4"/>
                              <w:rPr>
                                <w:i/>
                                <w:sz w:val="17"/>
                              </w:rPr>
                            </w:pPr>
                          </w:p>
                          <w:p w14:paraId="7326D8A2" w14:textId="77777777" w:rsidR="00EF3DFB" w:rsidRDefault="00D27C17">
                            <w:pPr>
                              <w:pStyle w:val="TableParagraph"/>
                              <w:ind w:right="68"/>
                              <w:jc w:val="right"/>
                              <w:rPr>
                                <w:sz w:val="16"/>
                              </w:rPr>
                            </w:pPr>
                            <w:r>
                              <w:rPr>
                                <w:sz w:val="16"/>
                              </w:rPr>
                              <w:t>(4)</w:t>
                            </w:r>
                          </w:p>
                        </w:tc>
                        <w:tc>
                          <w:tcPr>
                            <w:tcW w:w="1170" w:type="dxa"/>
                            <w:tcBorders>
                              <w:bottom w:val="single" w:sz="8" w:space="0" w:color="000000"/>
                            </w:tcBorders>
                            <w:shd w:val="clear" w:color="auto" w:fill="CCEDFF"/>
                          </w:tcPr>
                          <w:p w14:paraId="7326D8A3" w14:textId="77777777" w:rsidR="00EF3DFB" w:rsidRDefault="00EF3DFB">
                            <w:pPr>
                              <w:pStyle w:val="TableParagraph"/>
                              <w:spacing w:before="4"/>
                              <w:rPr>
                                <w:i/>
                                <w:sz w:val="17"/>
                              </w:rPr>
                            </w:pPr>
                          </w:p>
                          <w:p w14:paraId="7326D8A4" w14:textId="77777777" w:rsidR="00EF3DFB" w:rsidRDefault="00D27C17">
                            <w:pPr>
                              <w:pStyle w:val="TableParagraph"/>
                              <w:ind w:right="68"/>
                              <w:jc w:val="right"/>
                              <w:rPr>
                                <w:sz w:val="16"/>
                              </w:rPr>
                            </w:pPr>
                            <w:r>
                              <w:rPr>
                                <w:sz w:val="16"/>
                              </w:rPr>
                              <w:t>(4)</w:t>
                            </w:r>
                          </w:p>
                        </w:tc>
                        <w:tc>
                          <w:tcPr>
                            <w:tcW w:w="975" w:type="dxa"/>
                            <w:tcBorders>
                              <w:bottom w:val="single" w:sz="8" w:space="0" w:color="000000"/>
                            </w:tcBorders>
                            <w:shd w:val="clear" w:color="auto" w:fill="CCEDFF"/>
                          </w:tcPr>
                          <w:p w14:paraId="7326D8A5" w14:textId="77777777" w:rsidR="00EF3DFB" w:rsidRDefault="00EF3DFB">
                            <w:pPr>
                              <w:pStyle w:val="TableParagraph"/>
                              <w:spacing w:before="4"/>
                              <w:rPr>
                                <w:i/>
                                <w:sz w:val="17"/>
                              </w:rPr>
                            </w:pPr>
                          </w:p>
                          <w:p w14:paraId="7326D8A6" w14:textId="77777777" w:rsidR="00EF3DFB" w:rsidRDefault="00D27C17">
                            <w:pPr>
                              <w:pStyle w:val="TableParagraph"/>
                              <w:ind w:right="122"/>
                              <w:jc w:val="right"/>
                              <w:rPr>
                                <w:sz w:val="16"/>
                              </w:rPr>
                            </w:pPr>
                            <w:r>
                              <w:rPr>
                                <w:sz w:val="16"/>
                              </w:rPr>
                              <w:t>2</w:t>
                            </w:r>
                          </w:p>
                        </w:tc>
                        <w:tc>
                          <w:tcPr>
                            <w:tcW w:w="1123" w:type="dxa"/>
                            <w:tcBorders>
                              <w:bottom w:val="single" w:sz="8" w:space="0" w:color="000000"/>
                            </w:tcBorders>
                            <w:shd w:val="clear" w:color="auto" w:fill="CCEDFF"/>
                          </w:tcPr>
                          <w:p w14:paraId="7326D8A7" w14:textId="77777777" w:rsidR="00EF3DFB" w:rsidRDefault="00EF3DFB">
                            <w:pPr>
                              <w:pStyle w:val="TableParagraph"/>
                              <w:spacing w:before="4"/>
                              <w:rPr>
                                <w:i/>
                                <w:sz w:val="17"/>
                              </w:rPr>
                            </w:pPr>
                          </w:p>
                          <w:p w14:paraId="7326D8A8" w14:textId="77777777" w:rsidR="00EF3DFB" w:rsidRDefault="00D27C17">
                            <w:pPr>
                              <w:pStyle w:val="TableParagraph"/>
                              <w:ind w:right="21"/>
                              <w:jc w:val="right"/>
                              <w:rPr>
                                <w:sz w:val="16"/>
                              </w:rPr>
                            </w:pPr>
                            <w:r>
                              <w:rPr>
                                <w:sz w:val="16"/>
                              </w:rPr>
                              <w:t>(2)</w:t>
                            </w:r>
                          </w:p>
                        </w:tc>
                      </w:tr>
                      <w:tr w:rsidR="00EF3DFB" w14:paraId="7326D8B2" w14:textId="77777777">
                        <w:trPr>
                          <w:trHeight w:val="485"/>
                        </w:trPr>
                        <w:tc>
                          <w:tcPr>
                            <w:tcW w:w="3146" w:type="dxa"/>
                            <w:tcBorders>
                              <w:top w:val="single" w:sz="8" w:space="0" w:color="000000"/>
                            </w:tcBorders>
                          </w:tcPr>
                          <w:p w14:paraId="7326D8AA"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2018  </w:t>
                            </w:r>
                            <w:r>
                              <w:rPr>
                                <w:b/>
                                <w:spacing w:val="20"/>
                                <w:sz w:val="16"/>
                              </w:rPr>
                              <w:t xml:space="preserve"> </w:t>
                            </w:r>
                            <w:r>
                              <w:rPr>
                                <w:b/>
                                <w:sz w:val="16"/>
                              </w:rPr>
                              <w:t>$</w:t>
                            </w:r>
                            <w:r>
                              <w:rPr>
                                <w:b/>
                                <w:sz w:val="16"/>
                              </w:rPr>
                              <w:tab/>
                              <w:t>446</w:t>
                            </w:r>
                          </w:p>
                        </w:tc>
                        <w:tc>
                          <w:tcPr>
                            <w:tcW w:w="975" w:type="dxa"/>
                            <w:tcBorders>
                              <w:top w:val="single" w:sz="8" w:space="0" w:color="000000"/>
                            </w:tcBorders>
                          </w:tcPr>
                          <w:p w14:paraId="7326D8AB" w14:textId="77777777" w:rsidR="00EF3DFB" w:rsidRDefault="00D27C17">
                            <w:pPr>
                              <w:pStyle w:val="TableParagraph"/>
                              <w:tabs>
                                <w:tab w:val="left" w:pos="485"/>
                              </w:tabs>
                              <w:spacing w:before="136"/>
                              <w:ind w:right="68"/>
                              <w:jc w:val="right"/>
                              <w:rPr>
                                <w:b/>
                                <w:sz w:val="16"/>
                              </w:rPr>
                            </w:pPr>
                            <w:r>
                              <w:rPr>
                                <w:b/>
                                <w:sz w:val="16"/>
                              </w:rPr>
                              <w:t>$</w:t>
                            </w:r>
                            <w:r>
                              <w:rPr>
                                <w:b/>
                                <w:sz w:val="16"/>
                              </w:rPr>
                              <w:tab/>
                              <w:t>(585)</w:t>
                            </w:r>
                          </w:p>
                        </w:tc>
                        <w:tc>
                          <w:tcPr>
                            <w:tcW w:w="975" w:type="dxa"/>
                            <w:tcBorders>
                              <w:top w:val="single" w:sz="8" w:space="0" w:color="000000"/>
                            </w:tcBorders>
                          </w:tcPr>
                          <w:p w14:paraId="7326D8AC"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8,781</w:t>
                            </w:r>
                          </w:p>
                        </w:tc>
                        <w:tc>
                          <w:tcPr>
                            <w:tcW w:w="975" w:type="dxa"/>
                            <w:tcBorders>
                              <w:top w:val="single" w:sz="8" w:space="0" w:color="000000"/>
                            </w:tcBorders>
                          </w:tcPr>
                          <w:p w14:paraId="7326D8AD" w14:textId="77777777" w:rsidR="00EF3DFB" w:rsidRDefault="00D27C17">
                            <w:pPr>
                              <w:pStyle w:val="TableParagraph"/>
                              <w:tabs>
                                <w:tab w:val="left" w:pos="437"/>
                              </w:tabs>
                              <w:spacing w:before="136"/>
                              <w:ind w:left="71"/>
                              <w:rPr>
                                <w:b/>
                                <w:sz w:val="16"/>
                              </w:rPr>
                            </w:pPr>
                            <w:r>
                              <w:rPr>
                                <w:b/>
                                <w:sz w:val="16"/>
                              </w:rPr>
                              <w:t>$</w:t>
                            </w:r>
                            <w:r>
                              <w:rPr>
                                <w:b/>
                                <w:sz w:val="16"/>
                              </w:rPr>
                              <w:tab/>
                              <w:t>(2,511)</w:t>
                            </w:r>
                          </w:p>
                        </w:tc>
                        <w:tc>
                          <w:tcPr>
                            <w:tcW w:w="1290" w:type="dxa"/>
                            <w:tcBorders>
                              <w:top w:val="single" w:sz="8" w:space="0" w:color="000000"/>
                            </w:tcBorders>
                          </w:tcPr>
                          <w:p w14:paraId="7326D8AE" w14:textId="77777777" w:rsidR="00EF3DFB" w:rsidRDefault="00D27C17">
                            <w:pPr>
                              <w:pStyle w:val="TableParagraph"/>
                              <w:tabs>
                                <w:tab w:val="left" w:pos="800"/>
                              </w:tabs>
                              <w:spacing w:before="136"/>
                              <w:ind w:right="68"/>
                              <w:jc w:val="right"/>
                              <w:rPr>
                                <w:b/>
                                <w:sz w:val="16"/>
                              </w:rPr>
                            </w:pPr>
                            <w:r>
                              <w:rPr>
                                <w:b/>
                                <w:sz w:val="16"/>
                              </w:rPr>
                              <w:t>$</w:t>
                            </w:r>
                            <w:r>
                              <w:rPr>
                                <w:b/>
                                <w:sz w:val="16"/>
                              </w:rPr>
                              <w:tab/>
                              <w:t>(913)</w:t>
                            </w:r>
                          </w:p>
                        </w:tc>
                        <w:tc>
                          <w:tcPr>
                            <w:tcW w:w="1170" w:type="dxa"/>
                            <w:tcBorders>
                              <w:top w:val="single" w:sz="8" w:space="0" w:color="000000"/>
                            </w:tcBorders>
                          </w:tcPr>
                          <w:p w14:paraId="7326D8AF" w14:textId="77777777" w:rsidR="00EF3DFB" w:rsidRDefault="00D27C17">
                            <w:pPr>
                              <w:pStyle w:val="TableParagraph"/>
                              <w:tabs>
                                <w:tab w:val="left" w:pos="613"/>
                              </w:tabs>
                              <w:spacing w:before="136"/>
                              <w:ind w:right="122"/>
                              <w:jc w:val="right"/>
                              <w:rPr>
                                <w:b/>
                                <w:sz w:val="16"/>
                              </w:rPr>
                            </w:pPr>
                            <w:r>
                              <w:rPr>
                                <w:b/>
                                <w:sz w:val="16"/>
                              </w:rPr>
                              <w:t>$</w:t>
                            </w:r>
                            <w:r>
                              <w:rPr>
                                <w:b/>
                                <w:sz w:val="16"/>
                              </w:rPr>
                              <w:tab/>
                              <w:t>5,218</w:t>
                            </w:r>
                          </w:p>
                        </w:tc>
                        <w:tc>
                          <w:tcPr>
                            <w:tcW w:w="975" w:type="dxa"/>
                            <w:tcBorders>
                              <w:top w:val="single" w:sz="8" w:space="0" w:color="000000"/>
                            </w:tcBorders>
                          </w:tcPr>
                          <w:p w14:paraId="7326D8B0" w14:textId="77777777" w:rsidR="00EF3DFB" w:rsidRDefault="00D27C17">
                            <w:pPr>
                              <w:pStyle w:val="TableParagraph"/>
                              <w:tabs>
                                <w:tab w:val="left" w:pos="690"/>
                              </w:tabs>
                              <w:spacing w:before="136"/>
                              <w:ind w:left="71"/>
                              <w:rPr>
                                <w:b/>
                                <w:sz w:val="16"/>
                              </w:rPr>
                            </w:pPr>
                            <w:r>
                              <w:rPr>
                                <w:b/>
                                <w:sz w:val="16"/>
                              </w:rPr>
                              <w:t>$</w:t>
                            </w:r>
                            <w:r>
                              <w:rPr>
                                <w:b/>
                                <w:sz w:val="16"/>
                              </w:rPr>
                              <w:tab/>
                              <w:t>35</w:t>
                            </w:r>
                          </w:p>
                        </w:tc>
                        <w:tc>
                          <w:tcPr>
                            <w:tcW w:w="1123" w:type="dxa"/>
                            <w:tcBorders>
                              <w:top w:val="single" w:sz="8" w:space="0" w:color="000000"/>
                            </w:tcBorders>
                          </w:tcPr>
                          <w:p w14:paraId="7326D8B1" w14:textId="77777777" w:rsidR="00EF3DFB" w:rsidRDefault="00D27C17">
                            <w:pPr>
                              <w:pStyle w:val="TableParagraph"/>
                              <w:tabs>
                                <w:tab w:val="left" w:pos="613"/>
                              </w:tabs>
                              <w:spacing w:before="136"/>
                              <w:ind w:right="75"/>
                              <w:jc w:val="right"/>
                              <w:rPr>
                                <w:b/>
                                <w:sz w:val="16"/>
                              </w:rPr>
                            </w:pPr>
                            <w:r>
                              <w:rPr>
                                <w:b/>
                                <w:sz w:val="16"/>
                              </w:rPr>
                              <w:t>$</w:t>
                            </w:r>
                            <w:r>
                              <w:rPr>
                                <w:b/>
                                <w:sz w:val="16"/>
                              </w:rPr>
                              <w:tab/>
                              <w:t>5,253</w:t>
                            </w:r>
                          </w:p>
                        </w:tc>
                      </w:tr>
                      <w:tr w:rsidR="00EF3DFB" w14:paraId="7326D8BB" w14:textId="77777777">
                        <w:trPr>
                          <w:trHeight w:val="495"/>
                        </w:trPr>
                        <w:tc>
                          <w:tcPr>
                            <w:tcW w:w="3146" w:type="dxa"/>
                            <w:shd w:val="clear" w:color="auto" w:fill="CCEDFF"/>
                          </w:tcPr>
                          <w:p w14:paraId="7326D8B3"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income</w:t>
                            </w:r>
                            <w:r>
                              <w:rPr>
                                <w:spacing w:val="-1"/>
                                <w:sz w:val="16"/>
                              </w:rPr>
                              <w:t xml:space="preserve"> </w:t>
                            </w:r>
                            <w:r>
                              <w:rPr>
                                <w:sz w:val="16"/>
                              </w:rPr>
                              <w:t>(loss)</w:t>
                            </w:r>
                            <w:r>
                              <w:rPr>
                                <w:sz w:val="16"/>
                              </w:rPr>
                              <w:tab/>
                              <w:t>—</w:t>
                            </w:r>
                          </w:p>
                        </w:tc>
                        <w:tc>
                          <w:tcPr>
                            <w:tcW w:w="975" w:type="dxa"/>
                            <w:shd w:val="clear" w:color="auto" w:fill="CCEDFF"/>
                          </w:tcPr>
                          <w:p w14:paraId="7326D8B4"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B5"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B6" w14:textId="77777777" w:rsidR="00EF3DFB" w:rsidRDefault="00D27C17">
                            <w:pPr>
                              <w:pStyle w:val="TableParagraph"/>
                              <w:spacing w:before="147"/>
                              <w:ind w:right="122"/>
                              <w:jc w:val="right"/>
                              <w:rPr>
                                <w:sz w:val="16"/>
                              </w:rPr>
                            </w:pPr>
                            <w:r>
                              <w:rPr>
                                <w:sz w:val="16"/>
                              </w:rPr>
                              <w:t>107</w:t>
                            </w:r>
                          </w:p>
                        </w:tc>
                        <w:tc>
                          <w:tcPr>
                            <w:tcW w:w="1290" w:type="dxa"/>
                            <w:shd w:val="clear" w:color="auto" w:fill="CCEDFF"/>
                          </w:tcPr>
                          <w:p w14:paraId="7326D8B7" w14:textId="77777777" w:rsidR="00EF3DFB" w:rsidRDefault="00D27C17">
                            <w:pPr>
                              <w:pStyle w:val="TableParagraph"/>
                              <w:spacing w:before="147"/>
                              <w:ind w:right="68"/>
                              <w:jc w:val="right"/>
                              <w:rPr>
                                <w:sz w:val="16"/>
                              </w:rPr>
                            </w:pPr>
                            <w:r>
                              <w:rPr>
                                <w:sz w:val="16"/>
                              </w:rPr>
                              <w:t>(6)</w:t>
                            </w:r>
                          </w:p>
                        </w:tc>
                        <w:tc>
                          <w:tcPr>
                            <w:tcW w:w="1170" w:type="dxa"/>
                            <w:shd w:val="clear" w:color="auto" w:fill="CCEDFF"/>
                          </w:tcPr>
                          <w:p w14:paraId="7326D8B8" w14:textId="77777777" w:rsidR="00EF3DFB" w:rsidRDefault="00D27C17">
                            <w:pPr>
                              <w:pStyle w:val="TableParagraph"/>
                              <w:spacing w:before="147"/>
                              <w:ind w:right="122"/>
                              <w:jc w:val="right"/>
                              <w:rPr>
                                <w:sz w:val="16"/>
                              </w:rPr>
                            </w:pPr>
                            <w:r>
                              <w:rPr>
                                <w:sz w:val="16"/>
                              </w:rPr>
                              <w:t>101</w:t>
                            </w:r>
                          </w:p>
                        </w:tc>
                        <w:tc>
                          <w:tcPr>
                            <w:tcW w:w="975" w:type="dxa"/>
                            <w:shd w:val="clear" w:color="auto" w:fill="CCEDFF"/>
                          </w:tcPr>
                          <w:p w14:paraId="7326D8B9" w14:textId="77777777" w:rsidR="00EF3DFB" w:rsidRDefault="00D27C17">
                            <w:pPr>
                              <w:pStyle w:val="TableParagraph"/>
                              <w:spacing w:before="147"/>
                              <w:ind w:right="68"/>
                              <w:jc w:val="right"/>
                              <w:rPr>
                                <w:sz w:val="16"/>
                              </w:rPr>
                            </w:pPr>
                            <w:r>
                              <w:rPr>
                                <w:sz w:val="16"/>
                              </w:rPr>
                              <w:t>(1)</w:t>
                            </w:r>
                          </w:p>
                        </w:tc>
                        <w:tc>
                          <w:tcPr>
                            <w:tcW w:w="1123" w:type="dxa"/>
                            <w:shd w:val="clear" w:color="auto" w:fill="CCEDFF"/>
                          </w:tcPr>
                          <w:p w14:paraId="7326D8BA" w14:textId="77777777" w:rsidR="00EF3DFB" w:rsidRDefault="00D27C17">
                            <w:pPr>
                              <w:pStyle w:val="TableParagraph"/>
                              <w:spacing w:before="147"/>
                              <w:ind w:right="75"/>
                              <w:jc w:val="right"/>
                              <w:rPr>
                                <w:sz w:val="16"/>
                              </w:rPr>
                            </w:pPr>
                            <w:r>
                              <w:rPr>
                                <w:sz w:val="16"/>
                              </w:rPr>
                              <w:t>100</w:t>
                            </w:r>
                          </w:p>
                        </w:tc>
                      </w:tr>
                      <w:tr w:rsidR="00EF3DFB" w14:paraId="7326D8C4" w14:textId="77777777">
                        <w:trPr>
                          <w:trHeight w:val="495"/>
                        </w:trPr>
                        <w:tc>
                          <w:tcPr>
                            <w:tcW w:w="3146" w:type="dxa"/>
                          </w:tcPr>
                          <w:p w14:paraId="7326D8BC"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tcPr>
                          <w:p w14:paraId="7326D8BD" w14:textId="77777777" w:rsidR="00EF3DFB" w:rsidRDefault="00D27C17">
                            <w:pPr>
                              <w:pStyle w:val="TableParagraph"/>
                              <w:spacing w:before="147"/>
                              <w:ind w:right="122"/>
                              <w:jc w:val="right"/>
                              <w:rPr>
                                <w:sz w:val="16"/>
                              </w:rPr>
                            </w:pPr>
                            <w:r>
                              <w:rPr>
                                <w:sz w:val="16"/>
                              </w:rPr>
                              <w:t>—</w:t>
                            </w:r>
                          </w:p>
                        </w:tc>
                        <w:tc>
                          <w:tcPr>
                            <w:tcW w:w="975" w:type="dxa"/>
                          </w:tcPr>
                          <w:p w14:paraId="7326D8BE" w14:textId="77777777" w:rsidR="00EF3DFB" w:rsidRDefault="00D27C17">
                            <w:pPr>
                              <w:pStyle w:val="TableParagraph"/>
                              <w:spacing w:before="147"/>
                              <w:ind w:right="68"/>
                              <w:jc w:val="right"/>
                              <w:rPr>
                                <w:sz w:val="16"/>
                              </w:rPr>
                            </w:pPr>
                            <w:r>
                              <w:rPr>
                                <w:sz w:val="16"/>
                              </w:rPr>
                              <w:t>(393)</w:t>
                            </w:r>
                          </w:p>
                        </w:tc>
                        <w:tc>
                          <w:tcPr>
                            <w:tcW w:w="975" w:type="dxa"/>
                          </w:tcPr>
                          <w:p w14:paraId="7326D8BF" w14:textId="77777777" w:rsidR="00EF3DFB" w:rsidRDefault="00D27C17">
                            <w:pPr>
                              <w:pStyle w:val="TableParagraph"/>
                              <w:spacing w:before="147"/>
                              <w:ind w:right="122"/>
                              <w:jc w:val="right"/>
                              <w:rPr>
                                <w:sz w:val="16"/>
                              </w:rPr>
                            </w:pPr>
                            <w:r>
                              <w:rPr>
                                <w:sz w:val="16"/>
                              </w:rPr>
                              <w:t>—</w:t>
                            </w:r>
                          </w:p>
                        </w:tc>
                        <w:tc>
                          <w:tcPr>
                            <w:tcW w:w="1290" w:type="dxa"/>
                          </w:tcPr>
                          <w:p w14:paraId="7326D8C0" w14:textId="77777777" w:rsidR="00EF3DFB" w:rsidRDefault="00D27C17">
                            <w:pPr>
                              <w:pStyle w:val="TableParagraph"/>
                              <w:spacing w:before="147"/>
                              <w:ind w:right="122"/>
                              <w:jc w:val="right"/>
                              <w:rPr>
                                <w:sz w:val="16"/>
                              </w:rPr>
                            </w:pPr>
                            <w:r>
                              <w:rPr>
                                <w:sz w:val="16"/>
                              </w:rPr>
                              <w:t>—</w:t>
                            </w:r>
                          </w:p>
                        </w:tc>
                        <w:tc>
                          <w:tcPr>
                            <w:tcW w:w="1170" w:type="dxa"/>
                          </w:tcPr>
                          <w:p w14:paraId="7326D8C1" w14:textId="77777777" w:rsidR="00EF3DFB" w:rsidRDefault="00D27C17">
                            <w:pPr>
                              <w:pStyle w:val="TableParagraph"/>
                              <w:spacing w:before="147"/>
                              <w:ind w:right="68"/>
                              <w:jc w:val="right"/>
                              <w:rPr>
                                <w:sz w:val="16"/>
                              </w:rPr>
                            </w:pPr>
                            <w:r>
                              <w:rPr>
                                <w:sz w:val="16"/>
                              </w:rPr>
                              <w:t>(393)</w:t>
                            </w:r>
                          </w:p>
                        </w:tc>
                        <w:tc>
                          <w:tcPr>
                            <w:tcW w:w="975" w:type="dxa"/>
                          </w:tcPr>
                          <w:p w14:paraId="7326D8C2" w14:textId="77777777" w:rsidR="00EF3DFB" w:rsidRDefault="00D27C17">
                            <w:pPr>
                              <w:pStyle w:val="TableParagraph"/>
                              <w:spacing w:before="147"/>
                              <w:ind w:right="122"/>
                              <w:jc w:val="right"/>
                              <w:rPr>
                                <w:sz w:val="16"/>
                              </w:rPr>
                            </w:pPr>
                            <w:r>
                              <w:rPr>
                                <w:sz w:val="16"/>
                              </w:rPr>
                              <w:t>—</w:t>
                            </w:r>
                          </w:p>
                        </w:tc>
                        <w:tc>
                          <w:tcPr>
                            <w:tcW w:w="1123" w:type="dxa"/>
                          </w:tcPr>
                          <w:p w14:paraId="7326D8C3" w14:textId="77777777" w:rsidR="00EF3DFB" w:rsidRDefault="00D27C17">
                            <w:pPr>
                              <w:pStyle w:val="TableParagraph"/>
                              <w:spacing w:before="147"/>
                              <w:ind w:right="21"/>
                              <w:jc w:val="right"/>
                              <w:rPr>
                                <w:sz w:val="16"/>
                              </w:rPr>
                            </w:pPr>
                            <w:r>
                              <w:rPr>
                                <w:sz w:val="16"/>
                              </w:rPr>
                              <w:t>(393)</w:t>
                            </w:r>
                          </w:p>
                        </w:tc>
                      </w:tr>
                      <w:tr w:rsidR="00EF3DFB" w14:paraId="7326D8CD" w14:textId="77777777">
                        <w:trPr>
                          <w:trHeight w:val="495"/>
                        </w:trPr>
                        <w:tc>
                          <w:tcPr>
                            <w:tcW w:w="3146" w:type="dxa"/>
                            <w:shd w:val="clear" w:color="auto" w:fill="CCEDFF"/>
                          </w:tcPr>
                          <w:p w14:paraId="7326D8C5"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shd w:val="clear" w:color="auto" w:fill="CCEDFF"/>
                          </w:tcPr>
                          <w:p w14:paraId="7326D8C6" w14:textId="77777777" w:rsidR="00EF3DFB" w:rsidRDefault="00D27C17">
                            <w:pPr>
                              <w:pStyle w:val="TableParagraph"/>
                              <w:spacing w:before="147"/>
                              <w:ind w:right="68"/>
                              <w:jc w:val="right"/>
                              <w:rPr>
                                <w:sz w:val="16"/>
                              </w:rPr>
                            </w:pPr>
                            <w:r>
                              <w:rPr>
                                <w:sz w:val="16"/>
                              </w:rPr>
                              <w:t>(5)</w:t>
                            </w:r>
                          </w:p>
                        </w:tc>
                        <w:tc>
                          <w:tcPr>
                            <w:tcW w:w="975" w:type="dxa"/>
                            <w:shd w:val="clear" w:color="auto" w:fill="CCEDFF"/>
                          </w:tcPr>
                          <w:p w14:paraId="7326D8C7" w14:textId="77777777" w:rsidR="00EF3DFB" w:rsidRDefault="00D27C17">
                            <w:pPr>
                              <w:pStyle w:val="TableParagraph"/>
                              <w:spacing w:before="147"/>
                              <w:ind w:right="122"/>
                              <w:jc w:val="right"/>
                              <w:rPr>
                                <w:sz w:val="16"/>
                              </w:rPr>
                            </w:pPr>
                            <w:r>
                              <w:rPr>
                                <w:sz w:val="16"/>
                              </w:rPr>
                              <w:t>42</w:t>
                            </w:r>
                          </w:p>
                        </w:tc>
                        <w:tc>
                          <w:tcPr>
                            <w:tcW w:w="975" w:type="dxa"/>
                            <w:shd w:val="clear" w:color="auto" w:fill="CCEDFF"/>
                          </w:tcPr>
                          <w:p w14:paraId="7326D8C8"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8C9"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8CA" w14:textId="77777777" w:rsidR="00EF3DFB" w:rsidRDefault="00D27C17">
                            <w:pPr>
                              <w:pStyle w:val="TableParagraph"/>
                              <w:spacing w:before="147"/>
                              <w:ind w:right="122"/>
                              <w:jc w:val="right"/>
                              <w:rPr>
                                <w:sz w:val="16"/>
                              </w:rPr>
                            </w:pPr>
                            <w:r>
                              <w:rPr>
                                <w:sz w:val="16"/>
                              </w:rPr>
                              <w:t>38</w:t>
                            </w:r>
                          </w:p>
                        </w:tc>
                        <w:tc>
                          <w:tcPr>
                            <w:tcW w:w="975" w:type="dxa"/>
                            <w:shd w:val="clear" w:color="auto" w:fill="CCEDFF"/>
                          </w:tcPr>
                          <w:p w14:paraId="7326D8CB"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8CC" w14:textId="77777777" w:rsidR="00EF3DFB" w:rsidRDefault="00D27C17">
                            <w:pPr>
                              <w:pStyle w:val="TableParagraph"/>
                              <w:spacing w:before="147"/>
                              <w:ind w:right="75"/>
                              <w:jc w:val="right"/>
                              <w:rPr>
                                <w:sz w:val="16"/>
                              </w:rPr>
                            </w:pPr>
                            <w:r>
                              <w:rPr>
                                <w:sz w:val="16"/>
                              </w:rPr>
                              <w:t>38</w:t>
                            </w:r>
                          </w:p>
                        </w:tc>
                      </w:tr>
                      <w:tr w:rsidR="00EF3DFB" w14:paraId="7326D8D7" w14:textId="77777777">
                        <w:trPr>
                          <w:trHeight w:val="495"/>
                        </w:trPr>
                        <w:tc>
                          <w:tcPr>
                            <w:tcW w:w="3146" w:type="dxa"/>
                          </w:tcPr>
                          <w:p w14:paraId="7326D8CE" w14:textId="77777777" w:rsidR="00EF3DFB" w:rsidRDefault="00D27C17">
                            <w:pPr>
                              <w:pStyle w:val="TableParagraph"/>
                              <w:spacing w:line="160" w:lineRule="exact"/>
                              <w:ind w:left="52"/>
                              <w:rPr>
                                <w:sz w:val="16"/>
                              </w:rPr>
                            </w:pPr>
                            <w:r>
                              <w:rPr>
                                <w:sz w:val="16"/>
                              </w:rPr>
                              <w:t>Portion of net income</w:t>
                            </w:r>
                          </w:p>
                          <w:p w14:paraId="7326D8CF" w14:textId="77777777" w:rsidR="00EF3DFB" w:rsidRDefault="00D27C17">
                            <w:pPr>
                              <w:pStyle w:val="TableParagraph"/>
                              <w:tabs>
                                <w:tab w:val="left" w:pos="2861"/>
                              </w:tabs>
                              <w:spacing w:before="9" w:line="160" w:lineRule="exact"/>
                              <w:ind w:left="52" w:right="122"/>
                              <w:rPr>
                                <w:sz w:val="16"/>
                              </w:rPr>
                            </w:pPr>
                            <w:r>
                              <w:rPr>
                                <w:sz w:val="16"/>
                              </w:rPr>
                              <w:t>attributable to noncontrolling</w:t>
                            </w:r>
                            <w:r>
                              <w:rPr>
                                <w:sz w:val="16"/>
                              </w:rPr>
                              <w:tab/>
                              <w:t>— interests</w:t>
                            </w:r>
                          </w:p>
                        </w:tc>
                        <w:tc>
                          <w:tcPr>
                            <w:tcW w:w="975" w:type="dxa"/>
                          </w:tcPr>
                          <w:p w14:paraId="7326D8D0" w14:textId="77777777" w:rsidR="00EF3DFB" w:rsidRDefault="00D27C17">
                            <w:pPr>
                              <w:pStyle w:val="TableParagraph"/>
                              <w:spacing w:before="147"/>
                              <w:ind w:right="122"/>
                              <w:jc w:val="right"/>
                              <w:rPr>
                                <w:sz w:val="16"/>
                              </w:rPr>
                            </w:pPr>
                            <w:r>
                              <w:rPr>
                                <w:sz w:val="16"/>
                              </w:rPr>
                              <w:t>—</w:t>
                            </w:r>
                          </w:p>
                        </w:tc>
                        <w:tc>
                          <w:tcPr>
                            <w:tcW w:w="975" w:type="dxa"/>
                          </w:tcPr>
                          <w:p w14:paraId="7326D8D1" w14:textId="77777777" w:rsidR="00EF3DFB" w:rsidRDefault="00D27C17">
                            <w:pPr>
                              <w:pStyle w:val="TableParagraph"/>
                              <w:spacing w:before="147"/>
                              <w:ind w:right="122"/>
                              <w:jc w:val="right"/>
                              <w:rPr>
                                <w:sz w:val="16"/>
                              </w:rPr>
                            </w:pPr>
                            <w:r>
                              <w:rPr>
                                <w:sz w:val="16"/>
                              </w:rPr>
                              <w:t>—</w:t>
                            </w:r>
                          </w:p>
                        </w:tc>
                        <w:tc>
                          <w:tcPr>
                            <w:tcW w:w="975" w:type="dxa"/>
                          </w:tcPr>
                          <w:p w14:paraId="7326D8D2" w14:textId="77777777" w:rsidR="00EF3DFB" w:rsidRDefault="00D27C17">
                            <w:pPr>
                              <w:pStyle w:val="TableParagraph"/>
                              <w:spacing w:before="147"/>
                              <w:ind w:right="122"/>
                              <w:jc w:val="right"/>
                              <w:rPr>
                                <w:sz w:val="16"/>
                              </w:rPr>
                            </w:pPr>
                            <w:r>
                              <w:rPr>
                                <w:sz w:val="16"/>
                              </w:rPr>
                              <w:t>—</w:t>
                            </w:r>
                          </w:p>
                        </w:tc>
                        <w:tc>
                          <w:tcPr>
                            <w:tcW w:w="1290" w:type="dxa"/>
                          </w:tcPr>
                          <w:p w14:paraId="7326D8D3" w14:textId="77777777" w:rsidR="00EF3DFB" w:rsidRDefault="00D27C17">
                            <w:pPr>
                              <w:pStyle w:val="TableParagraph"/>
                              <w:spacing w:before="147"/>
                              <w:ind w:right="68"/>
                              <w:jc w:val="right"/>
                              <w:rPr>
                                <w:sz w:val="16"/>
                              </w:rPr>
                            </w:pPr>
                            <w:r>
                              <w:rPr>
                                <w:sz w:val="16"/>
                              </w:rPr>
                              <w:t>(1)</w:t>
                            </w:r>
                          </w:p>
                        </w:tc>
                        <w:tc>
                          <w:tcPr>
                            <w:tcW w:w="1170" w:type="dxa"/>
                          </w:tcPr>
                          <w:p w14:paraId="7326D8D4" w14:textId="77777777" w:rsidR="00EF3DFB" w:rsidRDefault="00D27C17">
                            <w:pPr>
                              <w:pStyle w:val="TableParagraph"/>
                              <w:spacing w:before="147"/>
                              <w:ind w:right="68"/>
                              <w:jc w:val="right"/>
                              <w:rPr>
                                <w:sz w:val="16"/>
                              </w:rPr>
                            </w:pPr>
                            <w:r>
                              <w:rPr>
                                <w:sz w:val="16"/>
                              </w:rPr>
                              <w:t>(1)</w:t>
                            </w:r>
                          </w:p>
                        </w:tc>
                        <w:tc>
                          <w:tcPr>
                            <w:tcW w:w="975" w:type="dxa"/>
                          </w:tcPr>
                          <w:p w14:paraId="7326D8D5" w14:textId="77777777" w:rsidR="00EF3DFB" w:rsidRDefault="00D27C17">
                            <w:pPr>
                              <w:pStyle w:val="TableParagraph"/>
                              <w:spacing w:before="147"/>
                              <w:ind w:right="122"/>
                              <w:jc w:val="right"/>
                              <w:rPr>
                                <w:sz w:val="16"/>
                              </w:rPr>
                            </w:pPr>
                            <w:r>
                              <w:rPr>
                                <w:sz w:val="16"/>
                              </w:rPr>
                              <w:t>2</w:t>
                            </w:r>
                          </w:p>
                        </w:tc>
                        <w:tc>
                          <w:tcPr>
                            <w:tcW w:w="1123" w:type="dxa"/>
                          </w:tcPr>
                          <w:p w14:paraId="7326D8D6" w14:textId="77777777" w:rsidR="00EF3DFB" w:rsidRDefault="00D27C17">
                            <w:pPr>
                              <w:pStyle w:val="TableParagraph"/>
                              <w:spacing w:before="147"/>
                              <w:ind w:right="75"/>
                              <w:jc w:val="right"/>
                              <w:rPr>
                                <w:sz w:val="16"/>
                              </w:rPr>
                            </w:pPr>
                            <w:r>
                              <w:rPr>
                                <w:sz w:val="16"/>
                              </w:rPr>
                              <w:t>1</w:t>
                            </w:r>
                          </w:p>
                        </w:tc>
                      </w:tr>
                      <w:tr w:rsidR="00EF3DFB" w14:paraId="7326D8E8" w14:textId="77777777">
                        <w:trPr>
                          <w:trHeight w:val="575"/>
                        </w:trPr>
                        <w:tc>
                          <w:tcPr>
                            <w:tcW w:w="3146" w:type="dxa"/>
                            <w:tcBorders>
                              <w:bottom w:val="single" w:sz="8" w:space="0" w:color="000000"/>
                            </w:tcBorders>
                            <w:shd w:val="clear" w:color="auto" w:fill="CCEDFF"/>
                          </w:tcPr>
                          <w:p w14:paraId="7326D8D8" w14:textId="77777777" w:rsidR="00EF3DFB" w:rsidRDefault="00EF3DFB">
                            <w:pPr>
                              <w:pStyle w:val="TableParagraph"/>
                              <w:spacing w:before="3"/>
                              <w:rPr>
                                <w:i/>
                                <w:sz w:val="18"/>
                              </w:rPr>
                            </w:pPr>
                          </w:p>
                          <w:p w14:paraId="7326D8D9" w14:textId="77777777" w:rsidR="00EF3DFB" w:rsidRDefault="00D27C17">
                            <w:pPr>
                              <w:pStyle w:val="TableParagraph"/>
                              <w:tabs>
                                <w:tab w:val="left" w:pos="2861"/>
                              </w:tabs>
                              <w:spacing w:line="208" w:lineRule="auto"/>
                              <w:ind w:left="52" w:right="122"/>
                              <w:rPr>
                                <w:sz w:val="16"/>
                              </w:rPr>
                            </w:pPr>
                            <w:r>
                              <w:rPr>
                                <w:sz w:val="16"/>
                              </w:rPr>
                              <w:t>Distributions</w:t>
                            </w:r>
                            <w:r>
                              <w:rPr>
                                <w:spacing w:val="-2"/>
                                <w:sz w:val="16"/>
                              </w:rPr>
                              <w:t xml:space="preserve"> </w:t>
                            </w:r>
                            <w:r>
                              <w:rPr>
                                <w:sz w:val="16"/>
                              </w:rPr>
                              <w:t>to</w:t>
                            </w:r>
                            <w:r>
                              <w:rPr>
                                <w:spacing w:val="-1"/>
                                <w:sz w:val="16"/>
                              </w:rPr>
                              <w:t xml:space="preserve"> </w:t>
                            </w:r>
                            <w:r>
                              <w:rPr>
                                <w:sz w:val="16"/>
                              </w:rPr>
                              <w:t>noncontrolling</w:t>
                            </w:r>
                            <w:r>
                              <w:rPr>
                                <w:sz w:val="16"/>
                              </w:rPr>
                              <w:tab/>
                            </w:r>
                            <w:r>
                              <w:rPr>
                                <w:position w:val="2"/>
                                <w:sz w:val="16"/>
                              </w:rPr>
                              <w:t xml:space="preserve">— </w:t>
                            </w:r>
                            <w:r>
                              <w:rPr>
                                <w:sz w:val="16"/>
                              </w:rPr>
                              <w:t>interests</w:t>
                            </w:r>
                          </w:p>
                        </w:tc>
                        <w:tc>
                          <w:tcPr>
                            <w:tcW w:w="975" w:type="dxa"/>
                            <w:tcBorders>
                              <w:bottom w:val="single" w:sz="8" w:space="0" w:color="000000"/>
                            </w:tcBorders>
                            <w:shd w:val="clear" w:color="auto" w:fill="CCEDFF"/>
                          </w:tcPr>
                          <w:p w14:paraId="7326D8DA" w14:textId="77777777" w:rsidR="00EF3DFB" w:rsidRDefault="00EF3DFB">
                            <w:pPr>
                              <w:pStyle w:val="TableParagraph"/>
                              <w:spacing w:before="8"/>
                              <w:rPr>
                                <w:i/>
                                <w:sz w:val="16"/>
                              </w:rPr>
                            </w:pPr>
                          </w:p>
                          <w:p w14:paraId="7326D8DB"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DC" w14:textId="77777777" w:rsidR="00EF3DFB" w:rsidRDefault="00EF3DFB">
                            <w:pPr>
                              <w:pStyle w:val="TableParagraph"/>
                              <w:spacing w:before="8"/>
                              <w:rPr>
                                <w:i/>
                                <w:sz w:val="16"/>
                              </w:rPr>
                            </w:pPr>
                          </w:p>
                          <w:p w14:paraId="7326D8DD"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DE" w14:textId="77777777" w:rsidR="00EF3DFB" w:rsidRDefault="00EF3DFB">
                            <w:pPr>
                              <w:pStyle w:val="TableParagraph"/>
                              <w:spacing w:before="8"/>
                              <w:rPr>
                                <w:i/>
                                <w:sz w:val="16"/>
                              </w:rPr>
                            </w:pPr>
                          </w:p>
                          <w:p w14:paraId="7326D8DF"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8E0" w14:textId="77777777" w:rsidR="00EF3DFB" w:rsidRDefault="00EF3DFB">
                            <w:pPr>
                              <w:pStyle w:val="TableParagraph"/>
                              <w:spacing w:before="8"/>
                              <w:rPr>
                                <w:i/>
                                <w:sz w:val="16"/>
                              </w:rPr>
                            </w:pPr>
                          </w:p>
                          <w:p w14:paraId="7326D8E1" w14:textId="77777777" w:rsidR="00EF3DFB" w:rsidRDefault="00D27C17">
                            <w:pPr>
                              <w:pStyle w:val="TableParagraph"/>
                              <w:ind w:right="122"/>
                              <w:jc w:val="right"/>
                              <w:rPr>
                                <w:sz w:val="16"/>
                              </w:rPr>
                            </w:pPr>
                            <w:r>
                              <w:rPr>
                                <w:sz w:val="16"/>
                              </w:rPr>
                              <w:t>—</w:t>
                            </w:r>
                          </w:p>
                        </w:tc>
                        <w:tc>
                          <w:tcPr>
                            <w:tcW w:w="1170" w:type="dxa"/>
                            <w:tcBorders>
                              <w:bottom w:val="single" w:sz="8" w:space="0" w:color="000000"/>
                            </w:tcBorders>
                            <w:shd w:val="clear" w:color="auto" w:fill="CCEDFF"/>
                          </w:tcPr>
                          <w:p w14:paraId="7326D8E2" w14:textId="77777777" w:rsidR="00EF3DFB" w:rsidRDefault="00EF3DFB">
                            <w:pPr>
                              <w:pStyle w:val="TableParagraph"/>
                              <w:spacing w:before="8"/>
                              <w:rPr>
                                <w:i/>
                                <w:sz w:val="16"/>
                              </w:rPr>
                            </w:pPr>
                          </w:p>
                          <w:p w14:paraId="7326D8E3"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8E4" w14:textId="77777777" w:rsidR="00EF3DFB" w:rsidRDefault="00EF3DFB">
                            <w:pPr>
                              <w:pStyle w:val="TableParagraph"/>
                              <w:spacing w:before="8"/>
                              <w:rPr>
                                <w:i/>
                                <w:sz w:val="16"/>
                              </w:rPr>
                            </w:pPr>
                          </w:p>
                          <w:p w14:paraId="7326D8E5" w14:textId="77777777" w:rsidR="00EF3DFB" w:rsidRDefault="00D27C17">
                            <w:pPr>
                              <w:pStyle w:val="TableParagraph"/>
                              <w:ind w:right="68"/>
                              <w:jc w:val="right"/>
                              <w:rPr>
                                <w:sz w:val="16"/>
                              </w:rPr>
                            </w:pPr>
                            <w:r>
                              <w:rPr>
                                <w:sz w:val="16"/>
                              </w:rPr>
                              <w:t>(3)</w:t>
                            </w:r>
                          </w:p>
                        </w:tc>
                        <w:tc>
                          <w:tcPr>
                            <w:tcW w:w="1123" w:type="dxa"/>
                            <w:tcBorders>
                              <w:bottom w:val="single" w:sz="8" w:space="0" w:color="000000"/>
                            </w:tcBorders>
                            <w:shd w:val="clear" w:color="auto" w:fill="CCEDFF"/>
                          </w:tcPr>
                          <w:p w14:paraId="7326D8E6" w14:textId="77777777" w:rsidR="00EF3DFB" w:rsidRDefault="00EF3DFB">
                            <w:pPr>
                              <w:pStyle w:val="TableParagraph"/>
                              <w:spacing w:before="8"/>
                              <w:rPr>
                                <w:i/>
                                <w:sz w:val="16"/>
                              </w:rPr>
                            </w:pPr>
                          </w:p>
                          <w:p w14:paraId="7326D8E7" w14:textId="77777777" w:rsidR="00EF3DFB" w:rsidRDefault="00D27C17">
                            <w:pPr>
                              <w:pStyle w:val="TableParagraph"/>
                              <w:ind w:right="21"/>
                              <w:jc w:val="right"/>
                              <w:rPr>
                                <w:sz w:val="16"/>
                              </w:rPr>
                            </w:pPr>
                            <w:r>
                              <w:rPr>
                                <w:sz w:val="16"/>
                              </w:rPr>
                              <w:t>(3)</w:t>
                            </w:r>
                          </w:p>
                        </w:tc>
                      </w:tr>
                      <w:tr w:rsidR="00EF3DFB" w14:paraId="7326D8F1" w14:textId="77777777">
                        <w:trPr>
                          <w:trHeight w:val="485"/>
                        </w:trPr>
                        <w:tc>
                          <w:tcPr>
                            <w:tcW w:w="3146" w:type="dxa"/>
                            <w:tcBorders>
                              <w:top w:val="single" w:sz="8" w:space="0" w:color="000000"/>
                            </w:tcBorders>
                          </w:tcPr>
                          <w:p w14:paraId="7326D8E9"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2019  </w:t>
                            </w:r>
                            <w:r>
                              <w:rPr>
                                <w:b/>
                                <w:spacing w:val="20"/>
                                <w:sz w:val="16"/>
                              </w:rPr>
                              <w:t xml:space="preserve"> </w:t>
                            </w:r>
                            <w:r>
                              <w:rPr>
                                <w:b/>
                                <w:sz w:val="16"/>
                              </w:rPr>
                              <w:t>$</w:t>
                            </w:r>
                            <w:r>
                              <w:rPr>
                                <w:b/>
                                <w:sz w:val="16"/>
                              </w:rPr>
                              <w:tab/>
                              <w:t>447</w:t>
                            </w:r>
                          </w:p>
                        </w:tc>
                        <w:tc>
                          <w:tcPr>
                            <w:tcW w:w="975" w:type="dxa"/>
                            <w:tcBorders>
                              <w:top w:val="single" w:sz="8" w:space="0" w:color="000000"/>
                            </w:tcBorders>
                          </w:tcPr>
                          <w:p w14:paraId="7326D8EA" w14:textId="77777777" w:rsidR="00EF3DFB" w:rsidRDefault="00D27C17">
                            <w:pPr>
                              <w:pStyle w:val="TableParagraph"/>
                              <w:tabs>
                                <w:tab w:val="left" w:pos="485"/>
                              </w:tabs>
                              <w:spacing w:before="136"/>
                              <w:ind w:right="68"/>
                              <w:jc w:val="right"/>
                              <w:rPr>
                                <w:b/>
                                <w:sz w:val="16"/>
                              </w:rPr>
                            </w:pPr>
                            <w:r>
                              <w:rPr>
                                <w:b/>
                                <w:sz w:val="16"/>
                              </w:rPr>
                              <w:t>$</w:t>
                            </w:r>
                            <w:r>
                              <w:rPr>
                                <w:b/>
                                <w:sz w:val="16"/>
                              </w:rPr>
                              <w:tab/>
                              <w:t>(590)</w:t>
                            </w:r>
                          </w:p>
                        </w:tc>
                        <w:tc>
                          <w:tcPr>
                            <w:tcW w:w="975" w:type="dxa"/>
                            <w:tcBorders>
                              <w:top w:val="single" w:sz="8" w:space="0" w:color="000000"/>
                            </w:tcBorders>
                          </w:tcPr>
                          <w:p w14:paraId="7326D8EB"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8,430</w:t>
                            </w:r>
                          </w:p>
                        </w:tc>
                        <w:tc>
                          <w:tcPr>
                            <w:tcW w:w="975" w:type="dxa"/>
                            <w:tcBorders>
                              <w:top w:val="single" w:sz="8" w:space="0" w:color="000000"/>
                            </w:tcBorders>
                          </w:tcPr>
                          <w:p w14:paraId="7326D8EC" w14:textId="77777777" w:rsidR="00EF3DFB" w:rsidRDefault="00D27C17">
                            <w:pPr>
                              <w:pStyle w:val="TableParagraph"/>
                              <w:tabs>
                                <w:tab w:val="left" w:pos="437"/>
                              </w:tabs>
                              <w:spacing w:before="136"/>
                              <w:ind w:left="71"/>
                              <w:rPr>
                                <w:b/>
                                <w:sz w:val="16"/>
                              </w:rPr>
                            </w:pPr>
                            <w:r>
                              <w:rPr>
                                <w:b/>
                                <w:sz w:val="16"/>
                              </w:rPr>
                              <w:t>$</w:t>
                            </w:r>
                            <w:r>
                              <w:rPr>
                                <w:b/>
                                <w:sz w:val="16"/>
                              </w:rPr>
                              <w:tab/>
                              <w:t>(2,404)</w:t>
                            </w:r>
                          </w:p>
                        </w:tc>
                        <w:tc>
                          <w:tcPr>
                            <w:tcW w:w="1290" w:type="dxa"/>
                            <w:tcBorders>
                              <w:top w:val="single" w:sz="8" w:space="0" w:color="000000"/>
                            </w:tcBorders>
                          </w:tcPr>
                          <w:p w14:paraId="7326D8ED" w14:textId="77777777" w:rsidR="00EF3DFB" w:rsidRDefault="00D27C17">
                            <w:pPr>
                              <w:pStyle w:val="TableParagraph"/>
                              <w:tabs>
                                <w:tab w:val="left" w:pos="800"/>
                              </w:tabs>
                              <w:spacing w:before="136"/>
                              <w:ind w:right="68"/>
                              <w:jc w:val="right"/>
                              <w:rPr>
                                <w:b/>
                                <w:sz w:val="16"/>
                              </w:rPr>
                            </w:pPr>
                            <w:r>
                              <w:rPr>
                                <w:b/>
                                <w:sz w:val="16"/>
                              </w:rPr>
                              <w:t>$</w:t>
                            </w:r>
                            <w:r>
                              <w:rPr>
                                <w:b/>
                                <w:sz w:val="16"/>
                              </w:rPr>
                              <w:tab/>
                              <w:t>(920)</w:t>
                            </w:r>
                          </w:p>
                        </w:tc>
                        <w:tc>
                          <w:tcPr>
                            <w:tcW w:w="1170" w:type="dxa"/>
                            <w:tcBorders>
                              <w:top w:val="single" w:sz="8" w:space="0" w:color="000000"/>
                            </w:tcBorders>
                          </w:tcPr>
                          <w:p w14:paraId="7326D8EE" w14:textId="77777777" w:rsidR="00EF3DFB" w:rsidRDefault="00D27C17">
                            <w:pPr>
                              <w:pStyle w:val="TableParagraph"/>
                              <w:tabs>
                                <w:tab w:val="left" w:pos="613"/>
                              </w:tabs>
                              <w:spacing w:before="136"/>
                              <w:ind w:right="122"/>
                              <w:jc w:val="right"/>
                              <w:rPr>
                                <w:b/>
                                <w:sz w:val="16"/>
                              </w:rPr>
                            </w:pPr>
                            <w:r>
                              <w:rPr>
                                <w:b/>
                                <w:sz w:val="16"/>
                              </w:rPr>
                              <w:t>$</w:t>
                            </w:r>
                            <w:r>
                              <w:rPr>
                                <w:b/>
                                <w:sz w:val="16"/>
                              </w:rPr>
                              <w:tab/>
                              <w:t>4,963</w:t>
                            </w:r>
                          </w:p>
                        </w:tc>
                        <w:tc>
                          <w:tcPr>
                            <w:tcW w:w="975" w:type="dxa"/>
                            <w:tcBorders>
                              <w:top w:val="single" w:sz="8" w:space="0" w:color="000000"/>
                            </w:tcBorders>
                          </w:tcPr>
                          <w:p w14:paraId="7326D8EF" w14:textId="77777777" w:rsidR="00EF3DFB" w:rsidRDefault="00D27C17">
                            <w:pPr>
                              <w:pStyle w:val="TableParagraph"/>
                              <w:tabs>
                                <w:tab w:val="left" w:pos="690"/>
                              </w:tabs>
                              <w:spacing w:before="136"/>
                              <w:ind w:left="71"/>
                              <w:rPr>
                                <w:b/>
                                <w:sz w:val="16"/>
                              </w:rPr>
                            </w:pPr>
                            <w:r>
                              <w:rPr>
                                <w:b/>
                                <w:sz w:val="16"/>
                              </w:rPr>
                              <w:t>$</w:t>
                            </w:r>
                            <w:r>
                              <w:rPr>
                                <w:b/>
                                <w:sz w:val="16"/>
                              </w:rPr>
                              <w:tab/>
                              <w:t>33</w:t>
                            </w:r>
                          </w:p>
                        </w:tc>
                        <w:tc>
                          <w:tcPr>
                            <w:tcW w:w="1123" w:type="dxa"/>
                            <w:tcBorders>
                              <w:top w:val="single" w:sz="8" w:space="0" w:color="000000"/>
                            </w:tcBorders>
                          </w:tcPr>
                          <w:p w14:paraId="7326D8F0" w14:textId="77777777" w:rsidR="00EF3DFB" w:rsidRDefault="00D27C17">
                            <w:pPr>
                              <w:pStyle w:val="TableParagraph"/>
                              <w:tabs>
                                <w:tab w:val="left" w:pos="613"/>
                              </w:tabs>
                              <w:spacing w:before="136"/>
                              <w:ind w:right="75"/>
                              <w:jc w:val="right"/>
                              <w:rPr>
                                <w:b/>
                                <w:sz w:val="16"/>
                              </w:rPr>
                            </w:pPr>
                            <w:r>
                              <w:rPr>
                                <w:b/>
                                <w:sz w:val="16"/>
                              </w:rPr>
                              <w:t>$</w:t>
                            </w:r>
                            <w:r>
                              <w:rPr>
                                <w:b/>
                                <w:sz w:val="16"/>
                              </w:rPr>
                              <w:tab/>
                              <w:t>4,996</w:t>
                            </w:r>
                          </w:p>
                        </w:tc>
                      </w:tr>
                      <w:tr w:rsidR="00EF3DFB" w14:paraId="7326D8FA" w14:textId="77777777">
                        <w:trPr>
                          <w:trHeight w:val="495"/>
                        </w:trPr>
                        <w:tc>
                          <w:tcPr>
                            <w:tcW w:w="3146" w:type="dxa"/>
                            <w:shd w:val="clear" w:color="auto" w:fill="CCEDFF"/>
                          </w:tcPr>
                          <w:p w14:paraId="7326D8F2" w14:textId="77777777" w:rsidR="00EF3DFB" w:rsidRDefault="00D27C17">
                            <w:pPr>
                              <w:pStyle w:val="TableParagraph"/>
                              <w:tabs>
                                <w:tab w:val="left" w:pos="2861"/>
                              </w:tabs>
                              <w:spacing w:before="147"/>
                              <w:ind w:left="52"/>
                              <w:rPr>
                                <w:sz w:val="16"/>
                              </w:rPr>
                            </w:pPr>
                            <w:r>
                              <w:rPr>
                                <w:sz w:val="16"/>
                              </w:rPr>
                              <w:t>Comprehensive</w:t>
                            </w:r>
                            <w:r>
                              <w:rPr>
                                <w:spacing w:val="-1"/>
                                <w:sz w:val="16"/>
                              </w:rPr>
                              <w:t xml:space="preserve"> </w:t>
                            </w:r>
                            <w:r>
                              <w:rPr>
                                <w:sz w:val="16"/>
                              </w:rPr>
                              <w:t>income</w:t>
                            </w:r>
                            <w:r>
                              <w:rPr>
                                <w:spacing w:val="-1"/>
                                <w:sz w:val="16"/>
                              </w:rPr>
                              <w:t xml:space="preserve"> </w:t>
                            </w:r>
                            <w:r>
                              <w:rPr>
                                <w:sz w:val="16"/>
                              </w:rPr>
                              <w:t>(loss)</w:t>
                            </w:r>
                            <w:r>
                              <w:rPr>
                                <w:sz w:val="16"/>
                              </w:rPr>
                              <w:tab/>
                              <w:t>—</w:t>
                            </w:r>
                          </w:p>
                        </w:tc>
                        <w:tc>
                          <w:tcPr>
                            <w:tcW w:w="975" w:type="dxa"/>
                            <w:shd w:val="clear" w:color="auto" w:fill="CCEDFF"/>
                          </w:tcPr>
                          <w:p w14:paraId="7326D8F3"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F4" w14:textId="77777777" w:rsidR="00EF3DFB" w:rsidRDefault="00D27C17">
                            <w:pPr>
                              <w:pStyle w:val="TableParagraph"/>
                              <w:spacing w:before="147"/>
                              <w:ind w:right="122"/>
                              <w:jc w:val="right"/>
                              <w:rPr>
                                <w:sz w:val="16"/>
                              </w:rPr>
                            </w:pPr>
                            <w:r>
                              <w:rPr>
                                <w:sz w:val="16"/>
                              </w:rPr>
                              <w:t>—</w:t>
                            </w:r>
                          </w:p>
                        </w:tc>
                        <w:tc>
                          <w:tcPr>
                            <w:tcW w:w="975" w:type="dxa"/>
                            <w:shd w:val="clear" w:color="auto" w:fill="CCEDFF"/>
                          </w:tcPr>
                          <w:p w14:paraId="7326D8F5" w14:textId="77777777" w:rsidR="00EF3DFB" w:rsidRDefault="00D27C17">
                            <w:pPr>
                              <w:pStyle w:val="TableParagraph"/>
                              <w:spacing w:before="147"/>
                              <w:ind w:right="68"/>
                              <w:jc w:val="right"/>
                              <w:rPr>
                                <w:sz w:val="16"/>
                              </w:rPr>
                            </w:pPr>
                            <w:r>
                              <w:rPr>
                                <w:sz w:val="16"/>
                              </w:rPr>
                              <w:t>(770)</w:t>
                            </w:r>
                          </w:p>
                        </w:tc>
                        <w:tc>
                          <w:tcPr>
                            <w:tcW w:w="1290" w:type="dxa"/>
                            <w:shd w:val="clear" w:color="auto" w:fill="CCEDFF"/>
                          </w:tcPr>
                          <w:p w14:paraId="7326D8F6" w14:textId="77777777" w:rsidR="00EF3DFB" w:rsidRDefault="00D27C17">
                            <w:pPr>
                              <w:pStyle w:val="TableParagraph"/>
                              <w:spacing w:before="147"/>
                              <w:ind w:right="122"/>
                              <w:jc w:val="right"/>
                              <w:rPr>
                                <w:sz w:val="16"/>
                              </w:rPr>
                            </w:pPr>
                            <w:r>
                              <w:rPr>
                                <w:sz w:val="16"/>
                              </w:rPr>
                              <w:t>45</w:t>
                            </w:r>
                          </w:p>
                        </w:tc>
                        <w:tc>
                          <w:tcPr>
                            <w:tcW w:w="1170" w:type="dxa"/>
                            <w:shd w:val="clear" w:color="auto" w:fill="CCEDFF"/>
                          </w:tcPr>
                          <w:p w14:paraId="7326D8F7" w14:textId="77777777" w:rsidR="00EF3DFB" w:rsidRDefault="00D27C17">
                            <w:pPr>
                              <w:pStyle w:val="TableParagraph"/>
                              <w:spacing w:before="147"/>
                              <w:ind w:right="68"/>
                              <w:jc w:val="right"/>
                              <w:rPr>
                                <w:sz w:val="16"/>
                              </w:rPr>
                            </w:pPr>
                            <w:r>
                              <w:rPr>
                                <w:sz w:val="16"/>
                              </w:rPr>
                              <w:t>(725)</w:t>
                            </w:r>
                          </w:p>
                        </w:tc>
                        <w:tc>
                          <w:tcPr>
                            <w:tcW w:w="975" w:type="dxa"/>
                            <w:shd w:val="clear" w:color="auto" w:fill="CCEDFF"/>
                          </w:tcPr>
                          <w:p w14:paraId="7326D8F8" w14:textId="77777777" w:rsidR="00EF3DFB" w:rsidRDefault="00D27C17">
                            <w:pPr>
                              <w:pStyle w:val="TableParagraph"/>
                              <w:spacing w:before="147"/>
                              <w:ind w:right="68"/>
                              <w:jc w:val="right"/>
                              <w:rPr>
                                <w:sz w:val="16"/>
                              </w:rPr>
                            </w:pPr>
                            <w:r>
                              <w:rPr>
                                <w:sz w:val="16"/>
                              </w:rPr>
                              <w:t>(5)</w:t>
                            </w:r>
                          </w:p>
                        </w:tc>
                        <w:tc>
                          <w:tcPr>
                            <w:tcW w:w="1123" w:type="dxa"/>
                            <w:shd w:val="clear" w:color="auto" w:fill="CCEDFF"/>
                          </w:tcPr>
                          <w:p w14:paraId="7326D8F9" w14:textId="77777777" w:rsidR="00EF3DFB" w:rsidRDefault="00D27C17">
                            <w:pPr>
                              <w:pStyle w:val="TableParagraph"/>
                              <w:spacing w:before="147"/>
                              <w:ind w:right="21"/>
                              <w:jc w:val="right"/>
                              <w:rPr>
                                <w:sz w:val="16"/>
                              </w:rPr>
                            </w:pPr>
                            <w:r>
                              <w:rPr>
                                <w:sz w:val="16"/>
                              </w:rPr>
                              <w:t>(730)</w:t>
                            </w:r>
                          </w:p>
                        </w:tc>
                      </w:tr>
                      <w:tr w:rsidR="00EF3DFB" w14:paraId="7326D903" w14:textId="77777777">
                        <w:trPr>
                          <w:trHeight w:val="495"/>
                        </w:trPr>
                        <w:tc>
                          <w:tcPr>
                            <w:tcW w:w="3146" w:type="dxa"/>
                          </w:tcPr>
                          <w:p w14:paraId="7326D8FB" w14:textId="77777777" w:rsidR="00EF3DFB" w:rsidRDefault="00D27C17">
                            <w:pPr>
                              <w:pStyle w:val="TableParagraph"/>
                              <w:tabs>
                                <w:tab w:val="left" w:pos="2861"/>
                              </w:tabs>
                              <w:spacing w:before="67"/>
                              <w:ind w:left="52"/>
                              <w:rPr>
                                <w:sz w:val="16"/>
                              </w:rPr>
                            </w:pPr>
                            <w:r>
                              <w:rPr>
                                <w:sz w:val="16"/>
                              </w:rPr>
                              <w:t>Dividends declared</w:t>
                            </w:r>
                            <w:r>
                              <w:rPr>
                                <w:spacing w:val="-2"/>
                                <w:sz w:val="16"/>
                              </w:rPr>
                              <w:t xml:space="preserve"> </w:t>
                            </w:r>
                            <w:r>
                              <w:rPr>
                                <w:sz w:val="16"/>
                              </w:rPr>
                              <w:t>on</w:t>
                            </w:r>
                            <w:r>
                              <w:rPr>
                                <w:spacing w:val="-1"/>
                                <w:sz w:val="16"/>
                              </w:rPr>
                              <w:t xml:space="preserve"> </w:t>
                            </w:r>
                            <w:r>
                              <w:rPr>
                                <w:sz w:val="16"/>
                              </w:rPr>
                              <w:t>common</w:t>
                            </w:r>
                            <w:r>
                              <w:rPr>
                                <w:sz w:val="16"/>
                              </w:rPr>
                              <w:tab/>
                            </w:r>
                            <w:r>
                              <w:rPr>
                                <w:position w:val="-7"/>
                                <w:sz w:val="16"/>
                              </w:rPr>
                              <w:t>—</w:t>
                            </w:r>
                          </w:p>
                        </w:tc>
                        <w:tc>
                          <w:tcPr>
                            <w:tcW w:w="975" w:type="dxa"/>
                          </w:tcPr>
                          <w:p w14:paraId="7326D8FC" w14:textId="77777777" w:rsidR="00EF3DFB" w:rsidRDefault="00D27C17">
                            <w:pPr>
                              <w:pStyle w:val="TableParagraph"/>
                              <w:spacing w:before="147"/>
                              <w:ind w:right="122"/>
                              <w:jc w:val="right"/>
                              <w:rPr>
                                <w:sz w:val="16"/>
                              </w:rPr>
                            </w:pPr>
                            <w:r>
                              <w:rPr>
                                <w:sz w:val="16"/>
                              </w:rPr>
                              <w:t>—</w:t>
                            </w:r>
                          </w:p>
                        </w:tc>
                        <w:tc>
                          <w:tcPr>
                            <w:tcW w:w="975" w:type="dxa"/>
                          </w:tcPr>
                          <w:p w14:paraId="7326D8FD" w14:textId="77777777" w:rsidR="00EF3DFB" w:rsidRDefault="00D27C17">
                            <w:pPr>
                              <w:pStyle w:val="TableParagraph"/>
                              <w:spacing w:before="147"/>
                              <w:ind w:right="68"/>
                              <w:jc w:val="right"/>
                              <w:rPr>
                                <w:sz w:val="16"/>
                              </w:rPr>
                            </w:pPr>
                            <w:r>
                              <w:rPr>
                                <w:sz w:val="16"/>
                              </w:rPr>
                              <w:t>(392)</w:t>
                            </w:r>
                          </w:p>
                        </w:tc>
                        <w:tc>
                          <w:tcPr>
                            <w:tcW w:w="975" w:type="dxa"/>
                          </w:tcPr>
                          <w:p w14:paraId="7326D8FE" w14:textId="77777777" w:rsidR="00EF3DFB" w:rsidRDefault="00D27C17">
                            <w:pPr>
                              <w:pStyle w:val="TableParagraph"/>
                              <w:spacing w:before="147"/>
                              <w:ind w:right="122"/>
                              <w:jc w:val="right"/>
                              <w:rPr>
                                <w:sz w:val="16"/>
                              </w:rPr>
                            </w:pPr>
                            <w:r>
                              <w:rPr>
                                <w:sz w:val="16"/>
                              </w:rPr>
                              <w:t>—</w:t>
                            </w:r>
                          </w:p>
                        </w:tc>
                        <w:tc>
                          <w:tcPr>
                            <w:tcW w:w="1290" w:type="dxa"/>
                          </w:tcPr>
                          <w:p w14:paraId="7326D8FF" w14:textId="77777777" w:rsidR="00EF3DFB" w:rsidRDefault="00D27C17">
                            <w:pPr>
                              <w:pStyle w:val="TableParagraph"/>
                              <w:spacing w:before="147"/>
                              <w:ind w:right="122"/>
                              <w:jc w:val="right"/>
                              <w:rPr>
                                <w:sz w:val="16"/>
                              </w:rPr>
                            </w:pPr>
                            <w:r>
                              <w:rPr>
                                <w:sz w:val="16"/>
                              </w:rPr>
                              <w:t>—</w:t>
                            </w:r>
                          </w:p>
                        </w:tc>
                        <w:tc>
                          <w:tcPr>
                            <w:tcW w:w="1170" w:type="dxa"/>
                          </w:tcPr>
                          <w:p w14:paraId="7326D900" w14:textId="77777777" w:rsidR="00EF3DFB" w:rsidRDefault="00D27C17">
                            <w:pPr>
                              <w:pStyle w:val="TableParagraph"/>
                              <w:spacing w:before="147"/>
                              <w:ind w:right="68"/>
                              <w:jc w:val="right"/>
                              <w:rPr>
                                <w:sz w:val="16"/>
                              </w:rPr>
                            </w:pPr>
                            <w:r>
                              <w:rPr>
                                <w:sz w:val="16"/>
                              </w:rPr>
                              <w:t>(392)</w:t>
                            </w:r>
                          </w:p>
                        </w:tc>
                        <w:tc>
                          <w:tcPr>
                            <w:tcW w:w="975" w:type="dxa"/>
                          </w:tcPr>
                          <w:p w14:paraId="7326D901" w14:textId="77777777" w:rsidR="00EF3DFB" w:rsidRDefault="00D27C17">
                            <w:pPr>
                              <w:pStyle w:val="TableParagraph"/>
                              <w:spacing w:before="147"/>
                              <w:ind w:right="122"/>
                              <w:jc w:val="right"/>
                              <w:rPr>
                                <w:sz w:val="16"/>
                              </w:rPr>
                            </w:pPr>
                            <w:r>
                              <w:rPr>
                                <w:sz w:val="16"/>
                              </w:rPr>
                              <w:t>—</w:t>
                            </w:r>
                          </w:p>
                        </w:tc>
                        <w:tc>
                          <w:tcPr>
                            <w:tcW w:w="1123" w:type="dxa"/>
                          </w:tcPr>
                          <w:p w14:paraId="7326D902" w14:textId="77777777" w:rsidR="00EF3DFB" w:rsidRDefault="00D27C17">
                            <w:pPr>
                              <w:pStyle w:val="TableParagraph"/>
                              <w:spacing w:before="147"/>
                              <w:ind w:right="21"/>
                              <w:jc w:val="right"/>
                              <w:rPr>
                                <w:sz w:val="16"/>
                              </w:rPr>
                            </w:pPr>
                            <w:r>
                              <w:rPr>
                                <w:sz w:val="16"/>
                              </w:rPr>
                              <w:t>(392)</w:t>
                            </w:r>
                          </w:p>
                        </w:tc>
                      </w:tr>
                      <w:tr w:rsidR="00EF3DFB" w14:paraId="7326D90C" w14:textId="77777777">
                        <w:trPr>
                          <w:trHeight w:val="495"/>
                        </w:trPr>
                        <w:tc>
                          <w:tcPr>
                            <w:tcW w:w="3146" w:type="dxa"/>
                            <w:shd w:val="clear" w:color="auto" w:fill="CCEDFF"/>
                          </w:tcPr>
                          <w:p w14:paraId="7326D904" w14:textId="77777777" w:rsidR="00EF3DFB" w:rsidRDefault="00D27C17">
                            <w:pPr>
                              <w:pStyle w:val="TableParagraph"/>
                              <w:tabs>
                                <w:tab w:val="right" w:pos="3021"/>
                              </w:tabs>
                              <w:spacing w:before="147"/>
                              <w:ind w:left="52"/>
                              <w:rPr>
                                <w:sz w:val="16"/>
                              </w:rPr>
                            </w:pPr>
                            <w:r>
                              <w:rPr>
                                <w:sz w:val="16"/>
                              </w:rPr>
                              <w:t>Equity compensation, net</w:t>
                            </w:r>
                            <w:r>
                              <w:rPr>
                                <w:spacing w:val="-1"/>
                                <w:sz w:val="16"/>
                              </w:rPr>
                              <w:t xml:space="preserve"> </w:t>
                            </w:r>
                            <w:r>
                              <w:rPr>
                                <w:sz w:val="16"/>
                              </w:rPr>
                              <w:t>of</w:t>
                            </w:r>
                            <w:r>
                              <w:rPr>
                                <w:spacing w:val="-1"/>
                                <w:sz w:val="16"/>
                              </w:rPr>
                              <w:t xml:space="preserve"> </w:t>
                            </w:r>
                            <w:r>
                              <w:rPr>
                                <w:sz w:val="16"/>
                              </w:rPr>
                              <w:t>tax</w:t>
                            </w:r>
                            <w:r>
                              <w:rPr>
                                <w:sz w:val="16"/>
                              </w:rPr>
                              <w:tab/>
                              <w:t>1</w:t>
                            </w:r>
                          </w:p>
                        </w:tc>
                        <w:tc>
                          <w:tcPr>
                            <w:tcW w:w="975" w:type="dxa"/>
                            <w:shd w:val="clear" w:color="auto" w:fill="CCEDFF"/>
                          </w:tcPr>
                          <w:p w14:paraId="7326D905" w14:textId="77777777" w:rsidR="00EF3DFB" w:rsidRDefault="00D27C17">
                            <w:pPr>
                              <w:pStyle w:val="TableParagraph"/>
                              <w:spacing w:before="147"/>
                              <w:ind w:right="68"/>
                              <w:jc w:val="right"/>
                              <w:rPr>
                                <w:sz w:val="16"/>
                              </w:rPr>
                            </w:pPr>
                            <w:r>
                              <w:rPr>
                                <w:sz w:val="16"/>
                              </w:rPr>
                              <w:t>(8)</w:t>
                            </w:r>
                          </w:p>
                        </w:tc>
                        <w:tc>
                          <w:tcPr>
                            <w:tcW w:w="975" w:type="dxa"/>
                            <w:shd w:val="clear" w:color="auto" w:fill="CCEDFF"/>
                          </w:tcPr>
                          <w:p w14:paraId="7326D906" w14:textId="77777777" w:rsidR="00EF3DFB" w:rsidRDefault="00D27C17">
                            <w:pPr>
                              <w:pStyle w:val="TableParagraph"/>
                              <w:spacing w:before="147"/>
                              <w:ind w:right="122"/>
                              <w:jc w:val="right"/>
                              <w:rPr>
                                <w:sz w:val="16"/>
                              </w:rPr>
                            </w:pPr>
                            <w:r>
                              <w:rPr>
                                <w:sz w:val="16"/>
                              </w:rPr>
                              <w:t>40</w:t>
                            </w:r>
                          </w:p>
                        </w:tc>
                        <w:tc>
                          <w:tcPr>
                            <w:tcW w:w="975" w:type="dxa"/>
                            <w:shd w:val="clear" w:color="auto" w:fill="CCEDFF"/>
                          </w:tcPr>
                          <w:p w14:paraId="7326D907" w14:textId="77777777" w:rsidR="00EF3DFB" w:rsidRDefault="00D27C17">
                            <w:pPr>
                              <w:pStyle w:val="TableParagraph"/>
                              <w:spacing w:before="147"/>
                              <w:ind w:right="122"/>
                              <w:jc w:val="right"/>
                              <w:rPr>
                                <w:sz w:val="16"/>
                              </w:rPr>
                            </w:pPr>
                            <w:r>
                              <w:rPr>
                                <w:sz w:val="16"/>
                              </w:rPr>
                              <w:t>—</w:t>
                            </w:r>
                          </w:p>
                        </w:tc>
                        <w:tc>
                          <w:tcPr>
                            <w:tcW w:w="1290" w:type="dxa"/>
                            <w:shd w:val="clear" w:color="auto" w:fill="CCEDFF"/>
                          </w:tcPr>
                          <w:p w14:paraId="7326D908" w14:textId="77777777" w:rsidR="00EF3DFB" w:rsidRDefault="00D27C17">
                            <w:pPr>
                              <w:pStyle w:val="TableParagraph"/>
                              <w:spacing w:before="147"/>
                              <w:ind w:right="122"/>
                              <w:jc w:val="right"/>
                              <w:rPr>
                                <w:sz w:val="16"/>
                              </w:rPr>
                            </w:pPr>
                            <w:r>
                              <w:rPr>
                                <w:sz w:val="16"/>
                              </w:rPr>
                              <w:t>—</w:t>
                            </w:r>
                          </w:p>
                        </w:tc>
                        <w:tc>
                          <w:tcPr>
                            <w:tcW w:w="1170" w:type="dxa"/>
                            <w:shd w:val="clear" w:color="auto" w:fill="CCEDFF"/>
                          </w:tcPr>
                          <w:p w14:paraId="7326D909" w14:textId="77777777" w:rsidR="00EF3DFB" w:rsidRDefault="00D27C17">
                            <w:pPr>
                              <w:pStyle w:val="TableParagraph"/>
                              <w:spacing w:before="147"/>
                              <w:ind w:right="122"/>
                              <w:jc w:val="right"/>
                              <w:rPr>
                                <w:sz w:val="16"/>
                              </w:rPr>
                            </w:pPr>
                            <w:r>
                              <w:rPr>
                                <w:sz w:val="16"/>
                              </w:rPr>
                              <w:t>33</w:t>
                            </w:r>
                          </w:p>
                        </w:tc>
                        <w:tc>
                          <w:tcPr>
                            <w:tcW w:w="975" w:type="dxa"/>
                            <w:shd w:val="clear" w:color="auto" w:fill="CCEDFF"/>
                          </w:tcPr>
                          <w:p w14:paraId="7326D90A" w14:textId="77777777" w:rsidR="00EF3DFB" w:rsidRDefault="00D27C17">
                            <w:pPr>
                              <w:pStyle w:val="TableParagraph"/>
                              <w:spacing w:before="147"/>
                              <w:ind w:right="122"/>
                              <w:jc w:val="right"/>
                              <w:rPr>
                                <w:sz w:val="16"/>
                              </w:rPr>
                            </w:pPr>
                            <w:r>
                              <w:rPr>
                                <w:sz w:val="16"/>
                              </w:rPr>
                              <w:t>—</w:t>
                            </w:r>
                          </w:p>
                        </w:tc>
                        <w:tc>
                          <w:tcPr>
                            <w:tcW w:w="1123" w:type="dxa"/>
                            <w:shd w:val="clear" w:color="auto" w:fill="CCEDFF"/>
                          </w:tcPr>
                          <w:p w14:paraId="7326D90B" w14:textId="77777777" w:rsidR="00EF3DFB" w:rsidRDefault="00D27C17">
                            <w:pPr>
                              <w:pStyle w:val="TableParagraph"/>
                              <w:spacing w:before="147"/>
                              <w:ind w:right="75"/>
                              <w:jc w:val="right"/>
                              <w:rPr>
                                <w:sz w:val="16"/>
                              </w:rPr>
                            </w:pPr>
                            <w:r>
                              <w:rPr>
                                <w:sz w:val="16"/>
                              </w:rPr>
                              <w:t>33</w:t>
                            </w:r>
                          </w:p>
                        </w:tc>
                      </w:tr>
                      <w:tr w:rsidR="00EF3DFB" w14:paraId="7326D91D" w14:textId="77777777">
                        <w:trPr>
                          <w:trHeight w:val="585"/>
                        </w:trPr>
                        <w:tc>
                          <w:tcPr>
                            <w:tcW w:w="3146" w:type="dxa"/>
                          </w:tcPr>
                          <w:p w14:paraId="7326D90D" w14:textId="77777777" w:rsidR="00EF3DFB" w:rsidRDefault="00EF3DFB">
                            <w:pPr>
                              <w:pStyle w:val="TableParagraph"/>
                              <w:spacing w:before="3"/>
                              <w:rPr>
                                <w:i/>
                                <w:sz w:val="18"/>
                              </w:rPr>
                            </w:pPr>
                          </w:p>
                          <w:p w14:paraId="7326D90E" w14:textId="77777777" w:rsidR="00EF3DFB" w:rsidRDefault="00D27C17">
                            <w:pPr>
                              <w:pStyle w:val="TableParagraph"/>
                              <w:tabs>
                                <w:tab w:val="left" w:pos="2861"/>
                              </w:tabs>
                              <w:spacing w:line="208" w:lineRule="auto"/>
                              <w:ind w:left="52" w:right="122"/>
                              <w:rPr>
                                <w:sz w:val="16"/>
                              </w:rPr>
                            </w:pPr>
                            <w:r>
                              <w:rPr>
                                <w:sz w:val="16"/>
                              </w:rPr>
                              <w:t>Portion of net loss</w:t>
                            </w:r>
                            <w:r>
                              <w:rPr>
                                <w:spacing w:val="-3"/>
                                <w:sz w:val="16"/>
                              </w:rPr>
                              <w:t xml:space="preserve"> </w:t>
                            </w:r>
                            <w:r>
                              <w:rPr>
                                <w:sz w:val="16"/>
                              </w:rPr>
                              <w:t>attributable</w:t>
                            </w:r>
                            <w:r>
                              <w:rPr>
                                <w:spacing w:val="-1"/>
                                <w:sz w:val="16"/>
                              </w:rPr>
                              <w:t xml:space="preserve"> </w:t>
                            </w:r>
                            <w:r>
                              <w:rPr>
                                <w:sz w:val="16"/>
                              </w:rPr>
                              <w:t>to</w:t>
                            </w:r>
                            <w:r>
                              <w:rPr>
                                <w:sz w:val="16"/>
                              </w:rPr>
                              <w:tab/>
                            </w:r>
                            <w:r>
                              <w:rPr>
                                <w:position w:val="2"/>
                                <w:sz w:val="16"/>
                              </w:rPr>
                              <w:t xml:space="preserve">— </w:t>
                            </w:r>
                            <w:r>
                              <w:rPr>
                                <w:sz w:val="16"/>
                              </w:rPr>
                              <w:t>noncontrolling</w:t>
                            </w:r>
                            <w:r>
                              <w:rPr>
                                <w:spacing w:val="-1"/>
                                <w:sz w:val="16"/>
                              </w:rPr>
                              <w:t xml:space="preserve"> </w:t>
                            </w:r>
                            <w:r>
                              <w:rPr>
                                <w:sz w:val="16"/>
                              </w:rPr>
                              <w:t>interests</w:t>
                            </w:r>
                          </w:p>
                        </w:tc>
                        <w:tc>
                          <w:tcPr>
                            <w:tcW w:w="975" w:type="dxa"/>
                          </w:tcPr>
                          <w:p w14:paraId="7326D90F" w14:textId="77777777" w:rsidR="00EF3DFB" w:rsidRDefault="00EF3DFB">
                            <w:pPr>
                              <w:pStyle w:val="TableParagraph"/>
                              <w:spacing w:before="8"/>
                              <w:rPr>
                                <w:i/>
                                <w:sz w:val="16"/>
                              </w:rPr>
                            </w:pPr>
                          </w:p>
                          <w:p w14:paraId="7326D910" w14:textId="77777777" w:rsidR="00EF3DFB" w:rsidRDefault="00D27C17">
                            <w:pPr>
                              <w:pStyle w:val="TableParagraph"/>
                              <w:ind w:right="122"/>
                              <w:jc w:val="right"/>
                              <w:rPr>
                                <w:sz w:val="16"/>
                              </w:rPr>
                            </w:pPr>
                            <w:r>
                              <w:rPr>
                                <w:sz w:val="16"/>
                              </w:rPr>
                              <w:t>—</w:t>
                            </w:r>
                          </w:p>
                        </w:tc>
                        <w:tc>
                          <w:tcPr>
                            <w:tcW w:w="975" w:type="dxa"/>
                          </w:tcPr>
                          <w:p w14:paraId="7326D911" w14:textId="77777777" w:rsidR="00EF3DFB" w:rsidRDefault="00EF3DFB">
                            <w:pPr>
                              <w:pStyle w:val="TableParagraph"/>
                              <w:spacing w:before="8"/>
                              <w:rPr>
                                <w:i/>
                                <w:sz w:val="16"/>
                              </w:rPr>
                            </w:pPr>
                          </w:p>
                          <w:p w14:paraId="7326D912" w14:textId="77777777" w:rsidR="00EF3DFB" w:rsidRDefault="00D27C17">
                            <w:pPr>
                              <w:pStyle w:val="TableParagraph"/>
                              <w:ind w:right="122"/>
                              <w:jc w:val="right"/>
                              <w:rPr>
                                <w:sz w:val="16"/>
                              </w:rPr>
                            </w:pPr>
                            <w:r>
                              <w:rPr>
                                <w:sz w:val="16"/>
                              </w:rPr>
                              <w:t>—</w:t>
                            </w:r>
                          </w:p>
                        </w:tc>
                        <w:tc>
                          <w:tcPr>
                            <w:tcW w:w="975" w:type="dxa"/>
                          </w:tcPr>
                          <w:p w14:paraId="7326D913" w14:textId="77777777" w:rsidR="00EF3DFB" w:rsidRDefault="00EF3DFB">
                            <w:pPr>
                              <w:pStyle w:val="TableParagraph"/>
                              <w:spacing w:before="8"/>
                              <w:rPr>
                                <w:i/>
                                <w:sz w:val="16"/>
                              </w:rPr>
                            </w:pPr>
                          </w:p>
                          <w:p w14:paraId="7326D914" w14:textId="77777777" w:rsidR="00EF3DFB" w:rsidRDefault="00D27C17">
                            <w:pPr>
                              <w:pStyle w:val="TableParagraph"/>
                              <w:ind w:right="122"/>
                              <w:jc w:val="right"/>
                              <w:rPr>
                                <w:sz w:val="16"/>
                              </w:rPr>
                            </w:pPr>
                            <w:r>
                              <w:rPr>
                                <w:sz w:val="16"/>
                              </w:rPr>
                              <w:t>—</w:t>
                            </w:r>
                          </w:p>
                        </w:tc>
                        <w:tc>
                          <w:tcPr>
                            <w:tcW w:w="1290" w:type="dxa"/>
                          </w:tcPr>
                          <w:p w14:paraId="7326D915" w14:textId="77777777" w:rsidR="00EF3DFB" w:rsidRDefault="00EF3DFB">
                            <w:pPr>
                              <w:pStyle w:val="TableParagraph"/>
                              <w:spacing w:before="8"/>
                              <w:rPr>
                                <w:i/>
                                <w:sz w:val="16"/>
                              </w:rPr>
                            </w:pPr>
                          </w:p>
                          <w:p w14:paraId="7326D916" w14:textId="77777777" w:rsidR="00EF3DFB" w:rsidRDefault="00D27C17">
                            <w:pPr>
                              <w:pStyle w:val="TableParagraph"/>
                              <w:ind w:right="68"/>
                              <w:jc w:val="right"/>
                              <w:rPr>
                                <w:sz w:val="16"/>
                              </w:rPr>
                            </w:pPr>
                            <w:r>
                              <w:rPr>
                                <w:sz w:val="16"/>
                              </w:rPr>
                              <w:t>(5)</w:t>
                            </w:r>
                          </w:p>
                        </w:tc>
                        <w:tc>
                          <w:tcPr>
                            <w:tcW w:w="1170" w:type="dxa"/>
                          </w:tcPr>
                          <w:p w14:paraId="7326D917" w14:textId="77777777" w:rsidR="00EF3DFB" w:rsidRDefault="00EF3DFB">
                            <w:pPr>
                              <w:pStyle w:val="TableParagraph"/>
                              <w:spacing w:before="8"/>
                              <w:rPr>
                                <w:i/>
                                <w:sz w:val="16"/>
                              </w:rPr>
                            </w:pPr>
                          </w:p>
                          <w:p w14:paraId="7326D918" w14:textId="77777777" w:rsidR="00EF3DFB" w:rsidRDefault="00D27C17">
                            <w:pPr>
                              <w:pStyle w:val="TableParagraph"/>
                              <w:ind w:right="68"/>
                              <w:jc w:val="right"/>
                              <w:rPr>
                                <w:sz w:val="16"/>
                              </w:rPr>
                            </w:pPr>
                            <w:r>
                              <w:rPr>
                                <w:sz w:val="16"/>
                              </w:rPr>
                              <w:t>(5)</w:t>
                            </w:r>
                          </w:p>
                        </w:tc>
                        <w:tc>
                          <w:tcPr>
                            <w:tcW w:w="975" w:type="dxa"/>
                          </w:tcPr>
                          <w:p w14:paraId="7326D919" w14:textId="77777777" w:rsidR="00EF3DFB" w:rsidRDefault="00EF3DFB">
                            <w:pPr>
                              <w:pStyle w:val="TableParagraph"/>
                              <w:spacing w:before="8"/>
                              <w:rPr>
                                <w:i/>
                                <w:sz w:val="16"/>
                              </w:rPr>
                            </w:pPr>
                          </w:p>
                          <w:p w14:paraId="7326D91A" w14:textId="77777777" w:rsidR="00EF3DFB" w:rsidRDefault="00D27C17">
                            <w:pPr>
                              <w:pStyle w:val="TableParagraph"/>
                              <w:ind w:right="122"/>
                              <w:jc w:val="right"/>
                              <w:rPr>
                                <w:sz w:val="16"/>
                              </w:rPr>
                            </w:pPr>
                            <w:r>
                              <w:rPr>
                                <w:sz w:val="16"/>
                              </w:rPr>
                              <w:t>1</w:t>
                            </w:r>
                          </w:p>
                        </w:tc>
                        <w:tc>
                          <w:tcPr>
                            <w:tcW w:w="1123" w:type="dxa"/>
                          </w:tcPr>
                          <w:p w14:paraId="7326D91B" w14:textId="77777777" w:rsidR="00EF3DFB" w:rsidRDefault="00EF3DFB">
                            <w:pPr>
                              <w:pStyle w:val="TableParagraph"/>
                              <w:spacing w:before="8"/>
                              <w:rPr>
                                <w:i/>
                                <w:sz w:val="16"/>
                              </w:rPr>
                            </w:pPr>
                          </w:p>
                          <w:p w14:paraId="7326D91C" w14:textId="77777777" w:rsidR="00EF3DFB" w:rsidRDefault="00D27C17">
                            <w:pPr>
                              <w:pStyle w:val="TableParagraph"/>
                              <w:ind w:right="21"/>
                              <w:jc w:val="right"/>
                              <w:rPr>
                                <w:sz w:val="16"/>
                              </w:rPr>
                            </w:pPr>
                            <w:r>
                              <w:rPr>
                                <w:sz w:val="16"/>
                              </w:rPr>
                              <w:t>(4)</w:t>
                            </w:r>
                          </w:p>
                        </w:tc>
                      </w:tr>
                      <w:tr w:rsidR="00EF3DFB" w14:paraId="7326D92D" w14:textId="77777777">
                        <w:trPr>
                          <w:trHeight w:val="590"/>
                        </w:trPr>
                        <w:tc>
                          <w:tcPr>
                            <w:tcW w:w="3146" w:type="dxa"/>
                            <w:tcBorders>
                              <w:bottom w:val="single" w:sz="8" w:space="0" w:color="000000"/>
                            </w:tcBorders>
                            <w:shd w:val="clear" w:color="auto" w:fill="CCEDFF"/>
                          </w:tcPr>
                          <w:p w14:paraId="7326D91E" w14:textId="77777777" w:rsidR="00EF3DFB" w:rsidRDefault="00D27C17">
                            <w:pPr>
                              <w:pStyle w:val="TableParagraph"/>
                              <w:tabs>
                                <w:tab w:val="left" w:pos="2861"/>
                              </w:tabs>
                              <w:spacing w:before="120"/>
                              <w:ind w:left="52"/>
                              <w:rPr>
                                <w:sz w:val="16"/>
                              </w:rPr>
                            </w:pPr>
                            <w:r>
                              <w:rPr>
                                <w:sz w:val="16"/>
                              </w:rPr>
                              <w:t>Distributions</w:t>
                            </w:r>
                            <w:r>
                              <w:rPr>
                                <w:spacing w:val="-2"/>
                                <w:sz w:val="16"/>
                              </w:rPr>
                              <w:t xml:space="preserve"> </w:t>
                            </w:r>
                            <w:r>
                              <w:rPr>
                                <w:sz w:val="16"/>
                              </w:rPr>
                              <w:t>to</w:t>
                            </w:r>
                            <w:r>
                              <w:rPr>
                                <w:spacing w:val="-1"/>
                                <w:sz w:val="16"/>
                              </w:rPr>
                              <w:t xml:space="preserve"> </w:t>
                            </w:r>
                            <w:r>
                              <w:rPr>
                                <w:sz w:val="16"/>
                              </w:rPr>
                              <w:t>noncontrolling</w:t>
                            </w:r>
                            <w:r>
                              <w:rPr>
                                <w:sz w:val="16"/>
                              </w:rPr>
                              <w:tab/>
                            </w:r>
                            <w:r>
                              <w:rPr>
                                <w:position w:val="-7"/>
                                <w:sz w:val="16"/>
                              </w:rPr>
                              <w:t>—</w:t>
                            </w:r>
                          </w:p>
                        </w:tc>
                        <w:tc>
                          <w:tcPr>
                            <w:tcW w:w="975" w:type="dxa"/>
                            <w:tcBorders>
                              <w:bottom w:val="single" w:sz="8" w:space="0" w:color="000000"/>
                            </w:tcBorders>
                            <w:shd w:val="clear" w:color="auto" w:fill="CCEDFF"/>
                          </w:tcPr>
                          <w:p w14:paraId="7326D91F" w14:textId="77777777" w:rsidR="00EF3DFB" w:rsidRDefault="00EF3DFB">
                            <w:pPr>
                              <w:pStyle w:val="TableParagraph"/>
                              <w:spacing w:before="4"/>
                              <w:rPr>
                                <w:i/>
                                <w:sz w:val="17"/>
                              </w:rPr>
                            </w:pPr>
                          </w:p>
                          <w:p w14:paraId="7326D920"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1" w14:textId="77777777" w:rsidR="00EF3DFB" w:rsidRDefault="00EF3DFB">
                            <w:pPr>
                              <w:pStyle w:val="TableParagraph"/>
                              <w:spacing w:before="4"/>
                              <w:rPr>
                                <w:i/>
                                <w:sz w:val="17"/>
                              </w:rPr>
                            </w:pPr>
                          </w:p>
                          <w:p w14:paraId="7326D922"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3" w14:textId="77777777" w:rsidR="00EF3DFB" w:rsidRDefault="00EF3DFB">
                            <w:pPr>
                              <w:pStyle w:val="TableParagraph"/>
                              <w:spacing w:before="4"/>
                              <w:rPr>
                                <w:i/>
                                <w:sz w:val="17"/>
                              </w:rPr>
                            </w:pPr>
                          </w:p>
                          <w:p w14:paraId="7326D924" w14:textId="77777777" w:rsidR="00EF3DFB" w:rsidRDefault="00D27C17">
                            <w:pPr>
                              <w:pStyle w:val="TableParagraph"/>
                              <w:ind w:right="122"/>
                              <w:jc w:val="right"/>
                              <w:rPr>
                                <w:sz w:val="16"/>
                              </w:rPr>
                            </w:pPr>
                            <w:r>
                              <w:rPr>
                                <w:sz w:val="16"/>
                              </w:rPr>
                              <w:t>—</w:t>
                            </w:r>
                          </w:p>
                        </w:tc>
                        <w:tc>
                          <w:tcPr>
                            <w:tcW w:w="1290" w:type="dxa"/>
                            <w:tcBorders>
                              <w:bottom w:val="single" w:sz="8" w:space="0" w:color="000000"/>
                            </w:tcBorders>
                            <w:shd w:val="clear" w:color="auto" w:fill="CCEDFF"/>
                          </w:tcPr>
                          <w:p w14:paraId="7326D925" w14:textId="77777777" w:rsidR="00EF3DFB" w:rsidRDefault="00EF3DFB">
                            <w:pPr>
                              <w:pStyle w:val="TableParagraph"/>
                              <w:spacing w:before="4"/>
                              <w:rPr>
                                <w:i/>
                                <w:sz w:val="17"/>
                              </w:rPr>
                            </w:pPr>
                          </w:p>
                          <w:p w14:paraId="7326D926" w14:textId="77777777" w:rsidR="00EF3DFB" w:rsidRDefault="00D27C17">
                            <w:pPr>
                              <w:pStyle w:val="TableParagraph"/>
                              <w:ind w:right="122"/>
                              <w:jc w:val="right"/>
                              <w:rPr>
                                <w:sz w:val="16"/>
                              </w:rPr>
                            </w:pPr>
                            <w:r>
                              <w:rPr>
                                <w:sz w:val="16"/>
                              </w:rPr>
                              <w:t>—</w:t>
                            </w:r>
                          </w:p>
                        </w:tc>
                        <w:tc>
                          <w:tcPr>
                            <w:tcW w:w="1170" w:type="dxa"/>
                            <w:tcBorders>
                              <w:bottom w:val="single" w:sz="8" w:space="0" w:color="000000"/>
                            </w:tcBorders>
                            <w:shd w:val="clear" w:color="auto" w:fill="CCEDFF"/>
                          </w:tcPr>
                          <w:p w14:paraId="7326D927" w14:textId="77777777" w:rsidR="00EF3DFB" w:rsidRDefault="00EF3DFB">
                            <w:pPr>
                              <w:pStyle w:val="TableParagraph"/>
                              <w:spacing w:before="4"/>
                              <w:rPr>
                                <w:i/>
                                <w:sz w:val="17"/>
                              </w:rPr>
                            </w:pPr>
                          </w:p>
                          <w:p w14:paraId="7326D928" w14:textId="77777777" w:rsidR="00EF3DFB" w:rsidRDefault="00D27C17">
                            <w:pPr>
                              <w:pStyle w:val="TableParagraph"/>
                              <w:ind w:right="122"/>
                              <w:jc w:val="right"/>
                              <w:rPr>
                                <w:sz w:val="16"/>
                              </w:rPr>
                            </w:pPr>
                            <w:r>
                              <w:rPr>
                                <w:sz w:val="16"/>
                              </w:rPr>
                              <w:t>—</w:t>
                            </w:r>
                          </w:p>
                        </w:tc>
                        <w:tc>
                          <w:tcPr>
                            <w:tcW w:w="975" w:type="dxa"/>
                            <w:tcBorders>
                              <w:bottom w:val="single" w:sz="8" w:space="0" w:color="000000"/>
                            </w:tcBorders>
                            <w:shd w:val="clear" w:color="auto" w:fill="CCEDFF"/>
                          </w:tcPr>
                          <w:p w14:paraId="7326D929" w14:textId="77777777" w:rsidR="00EF3DFB" w:rsidRDefault="00EF3DFB">
                            <w:pPr>
                              <w:pStyle w:val="TableParagraph"/>
                              <w:spacing w:before="4"/>
                              <w:rPr>
                                <w:i/>
                                <w:sz w:val="17"/>
                              </w:rPr>
                            </w:pPr>
                          </w:p>
                          <w:p w14:paraId="7326D92A" w14:textId="77777777" w:rsidR="00EF3DFB" w:rsidRDefault="00D27C17">
                            <w:pPr>
                              <w:pStyle w:val="TableParagraph"/>
                              <w:ind w:right="68"/>
                              <w:jc w:val="right"/>
                              <w:rPr>
                                <w:sz w:val="16"/>
                              </w:rPr>
                            </w:pPr>
                            <w:r>
                              <w:rPr>
                                <w:sz w:val="16"/>
                              </w:rPr>
                              <w:t>(3)</w:t>
                            </w:r>
                          </w:p>
                        </w:tc>
                        <w:tc>
                          <w:tcPr>
                            <w:tcW w:w="1123" w:type="dxa"/>
                            <w:tcBorders>
                              <w:bottom w:val="single" w:sz="8" w:space="0" w:color="000000"/>
                            </w:tcBorders>
                            <w:shd w:val="clear" w:color="auto" w:fill="CCEDFF"/>
                          </w:tcPr>
                          <w:p w14:paraId="7326D92B" w14:textId="77777777" w:rsidR="00EF3DFB" w:rsidRDefault="00EF3DFB">
                            <w:pPr>
                              <w:pStyle w:val="TableParagraph"/>
                              <w:spacing w:before="4"/>
                              <w:rPr>
                                <w:i/>
                                <w:sz w:val="17"/>
                              </w:rPr>
                            </w:pPr>
                          </w:p>
                          <w:p w14:paraId="7326D92C" w14:textId="77777777" w:rsidR="00EF3DFB" w:rsidRDefault="00D27C17">
                            <w:pPr>
                              <w:pStyle w:val="TableParagraph"/>
                              <w:ind w:right="21"/>
                              <w:jc w:val="right"/>
                              <w:rPr>
                                <w:sz w:val="16"/>
                              </w:rPr>
                            </w:pPr>
                            <w:r>
                              <w:rPr>
                                <w:sz w:val="16"/>
                              </w:rPr>
                              <w:t>(3)</w:t>
                            </w:r>
                          </w:p>
                        </w:tc>
                      </w:tr>
                      <w:tr w:rsidR="00EF3DFB" w14:paraId="7326D936" w14:textId="77777777">
                        <w:trPr>
                          <w:trHeight w:val="495"/>
                        </w:trPr>
                        <w:tc>
                          <w:tcPr>
                            <w:tcW w:w="3146" w:type="dxa"/>
                            <w:tcBorders>
                              <w:top w:val="single" w:sz="8" w:space="0" w:color="000000"/>
                              <w:bottom w:val="single" w:sz="8" w:space="0" w:color="000000"/>
                            </w:tcBorders>
                          </w:tcPr>
                          <w:p w14:paraId="7326D92E" w14:textId="77777777" w:rsidR="00EF3DFB" w:rsidRDefault="00D27C17">
                            <w:pPr>
                              <w:pStyle w:val="TableParagraph"/>
                              <w:tabs>
                                <w:tab w:val="right" w:pos="3021"/>
                              </w:tabs>
                              <w:spacing w:before="136"/>
                              <w:ind w:left="52"/>
                              <w:rPr>
                                <w:b/>
                                <w:sz w:val="16"/>
                              </w:rPr>
                            </w:pPr>
                            <w:r>
                              <w:rPr>
                                <w:b/>
                                <w:sz w:val="16"/>
                              </w:rPr>
                              <w:t>Balance at December 31,</w:t>
                            </w:r>
                            <w:r>
                              <w:rPr>
                                <w:b/>
                                <w:spacing w:val="-1"/>
                                <w:sz w:val="16"/>
                              </w:rPr>
                              <w:t xml:space="preserve"> </w:t>
                            </w:r>
                            <w:r>
                              <w:rPr>
                                <w:b/>
                                <w:sz w:val="16"/>
                              </w:rPr>
                              <w:t xml:space="preserve">2020  </w:t>
                            </w:r>
                            <w:r>
                              <w:rPr>
                                <w:b/>
                                <w:spacing w:val="20"/>
                                <w:sz w:val="16"/>
                              </w:rPr>
                              <w:t xml:space="preserve"> </w:t>
                            </w:r>
                            <w:r>
                              <w:rPr>
                                <w:b/>
                                <w:sz w:val="16"/>
                              </w:rPr>
                              <w:t>$</w:t>
                            </w:r>
                            <w:r>
                              <w:rPr>
                                <w:b/>
                                <w:sz w:val="16"/>
                              </w:rPr>
                              <w:tab/>
                              <w:t>448</w:t>
                            </w:r>
                          </w:p>
                        </w:tc>
                        <w:tc>
                          <w:tcPr>
                            <w:tcW w:w="975" w:type="dxa"/>
                            <w:tcBorders>
                              <w:top w:val="single" w:sz="8" w:space="0" w:color="000000"/>
                              <w:bottom w:val="single" w:sz="8" w:space="0" w:color="000000"/>
                            </w:tcBorders>
                          </w:tcPr>
                          <w:p w14:paraId="7326D92F" w14:textId="77777777" w:rsidR="00EF3DFB" w:rsidRDefault="00D27C17">
                            <w:pPr>
                              <w:pStyle w:val="TableParagraph"/>
                              <w:tabs>
                                <w:tab w:val="left" w:pos="485"/>
                              </w:tabs>
                              <w:spacing w:before="136"/>
                              <w:ind w:right="68"/>
                              <w:jc w:val="right"/>
                              <w:rPr>
                                <w:b/>
                                <w:sz w:val="16"/>
                              </w:rPr>
                            </w:pPr>
                            <w:r>
                              <w:rPr>
                                <w:b/>
                                <w:sz w:val="16"/>
                              </w:rPr>
                              <w:t>$</w:t>
                            </w:r>
                            <w:r>
                              <w:rPr>
                                <w:b/>
                                <w:sz w:val="16"/>
                              </w:rPr>
                              <w:tab/>
                              <w:t>(598)</w:t>
                            </w:r>
                          </w:p>
                        </w:tc>
                        <w:tc>
                          <w:tcPr>
                            <w:tcW w:w="975" w:type="dxa"/>
                            <w:tcBorders>
                              <w:top w:val="single" w:sz="8" w:space="0" w:color="000000"/>
                              <w:bottom w:val="single" w:sz="8" w:space="0" w:color="000000"/>
                            </w:tcBorders>
                          </w:tcPr>
                          <w:p w14:paraId="7326D930" w14:textId="77777777" w:rsidR="00EF3DFB" w:rsidRDefault="00D27C17">
                            <w:pPr>
                              <w:pStyle w:val="TableParagraph"/>
                              <w:tabs>
                                <w:tab w:val="left" w:pos="419"/>
                              </w:tabs>
                              <w:spacing w:before="136"/>
                              <w:ind w:right="122"/>
                              <w:jc w:val="right"/>
                              <w:rPr>
                                <w:b/>
                                <w:sz w:val="16"/>
                              </w:rPr>
                            </w:pPr>
                            <w:r>
                              <w:rPr>
                                <w:b/>
                                <w:sz w:val="16"/>
                              </w:rPr>
                              <w:t>$</w:t>
                            </w:r>
                            <w:r>
                              <w:rPr>
                                <w:b/>
                                <w:sz w:val="16"/>
                              </w:rPr>
                              <w:tab/>
                            </w:r>
                            <w:r>
                              <w:rPr>
                                <w:b/>
                                <w:spacing w:val="-1"/>
                                <w:sz w:val="16"/>
                              </w:rPr>
                              <w:t>8,078</w:t>
                            </w:r>
                          </w:p>
                        </w:tc>
                        <w:tc>
                          <w:tcPr>
                            <w:tcW w:w="975" w:type="dxa"/>
                            <w:tcBorders>
                              <w:top w:val="single" w:sz="8" w:space="0" w:color="000000"/>
                              <w:bottom w:val="single" w:sz="8" w:space="0" w:color="000000"/>
                            </w:tcBorders>
                          </w:tcPr>
                          <w:p w14:paraId="7326D931" w14:textId="77777777" w:rsidR="00EF3DFB" w:rsidRDefault="00D27C17">
                            <w:pPr>
                              <w:pStyle w:val="TableParagraph"/>
                              <w:tabs>
                                <w:tab w:val="left" w:pos="437"/>
                              </w:tabs>
                              <w:spacing w:before="136"/>
                              <w:ind w:left="71"/>
                              <w:rPr>
                                <w:b/>
                                <w:sz w:val="16"/>
                              </w:rPr>
                            </w:pPr>
                            <w:r>
                              <w:rPr>
                                <w:b/>
                                <w:sz w:val="16"/>
                              </w:rPr>
                              <w:t>$</w:t>
                            </w:r>
                            <w:r>
                              <w:rPr>
                                <w:b/>
                                <w:sz w:val="16"/>
                              </w:rPr>
                              <w:tab/>
                              <w:t>(3,174)</w:t>
                            </w:r>
                          </w:p>
                        </w:tc>
                        <w:tc>
                          <w:tcPr>
                            <w:tcW w:w="1290" w:type="dxa"/>
                            <w:tcBorders>
                              <w:top w:val="single" w:sz="8" w:space="0" w:color="000000"/>
                              <w:bottom w:val="single" w:sz="8" w:space="0" w:color="000000"/>
                            </w:tcBorders>
                          </w:tcPr>
                          <w:p w14:paraId="7326D932" w14:textId="77777777" w:rsidR="00EF3DFB" w:rsidRDefault="00D27C17">
                            <w:pPr>
                              <w:pStyle w:val="TableParagraph"/>
                              <w:tabs>
                                <w:tab w:val="left" w:pos="800"/>
                              </w:tabs>
                              <w:spacing w:before="136"/>
                              <w:ind w:right="68"/>
                              <w:jc w:val="right"/>
                              <w:rPr>
                                <w:b/>
                                <w:sz w:val="16"/>
                              </w:rPr>
                            </w:pPr>
                            <w:r>
                              <w:rPr>
                                <w:b/>
                                <w:sz w:val="16"/>
                              </w:rPr>
                              <w:t>$</w:t>
                            </w:r>
                            <w:r>
                              <w:rPr>
                                <w:b/>
                                <w:sz w:val="16"/>
                              </w:rPr>
                              <w:tab/>
                              <w:t>(880)</w:t>
                            </w:r>
                          </w:p>
                        </w:tc>
                        <w:tc>
                          <w:tcPr>
                            <w:tcW w:w="1170" w:type="dxa"/>
                            <w:tcBorders>
                              <w:top w:val="single" w:sz="8" w:space="0" w:color="000000"/>
                              <w:bottom w:val="single" w:sz="8" w:space="0" w:color="000000"/>
                            </w:tcBorders>
                          </w:tcPr>
                          <w:p w14:paraId="7326D933" w14:textId="77777777" w:rsidR="00EF3DFB" w:rsidRDefault="00D27C17">
                            <w:pPr>
                              <w:pStyle w:val="TableParagraph"/>
                              <w:tabs>
                                <w:tab w:val="left" w:pos="613"/>
                              </w:tabs>
                              <w:spacing w:before="136"/>
                              <w:ind w:right="122"/>
                              <w:jc w:val="right"/>
                              <w:rPr>
                                <w:b/>
                                <w:sz w:val="16"/>
                              </w:rPr>
                            </w:pPr>
                            <w:r>
                              <w:rPr>
                                <w:b/>
                                <w:sz w:val="16"/>
                              </w:rPr>
                              <w:t>$</w:t>
                            </w:r>
                            <w:r>
                              <w:rPr>
                                <w:b/>
                                <w:sz w:val="16"/>
                              </w:rPr>
                              <w:tab/>
                              <w:t>3,874</w:t>
                            </w:r>
                          </w:p>
                        </w:tc>
                        <w:tc>
                          <w:tcPr>
                            <w:tcW w:w="975" w:type="dxa"/>
                            <w:tcBorders>
                              <w:top w:val="single" w:sz="8" w:space="0" w:color="000000"/>
                              <w:bottom w:val="single" w:sz="8" w:space="0" w:color="000000"/>
                            </w:tcBorders>
                          </w:tcPr>
                          <w:p w14:paraId="7326D934" w14:textId="77777777" w:rsidR="00EF3DFB" w:rsidRDefault="00D27C17">
                            <w:pPr>
                              <w:pStyle w:val="TableParagraph"/>
                              <w:tabs>
                                <w:tab w:val="left" w:pos="690"/>
                              </w:tabs>
                              <w:spacing w:before="136"/>
                              <w:ind w:left="71"/>
                              <w:rPr>
                                <w:b/>
                                <w:sz w:val="16"/>
                              </w:rPr>
                            </w:pPr>
                            <w:r>
                              <w:rPr>
                                <w:b/>
                                <w:sz w:val="16"/>
                              </w:rPr>
                              <w:t>$</w:t>
                            </w:r>
                            <w:r>
                              <w:rPr>
                                <w:b/>
                                <w:sz w:val="16"/>
                              </w:rPr>
                              <w:tab/>
                              <w:t>26</w:t>
                            </w:r>
                          </w:p>
                        </w:tc>
                        <w:tc>
                          <w:tcPr>
                            <w:tcW w:w="1123" w:type="dxa"/>
                            <w:tcBorders>
                              <w:top w:val="single" w:sz="8" w:space="0" w:color="000000"/>
                              <w:bottom w:val="single" w:sz="8" w:space="0" w:color="000000"/>
                            </w:tcBorders>
                          </w:tcPr>
                          <w:p w14:paraId="7326D935" w14:textId="77777777" w:rsidR="00EF3DFB" w:rsidRDefault="00D27C17">
                            <w:pPr>
                              <w:pStyle w:val="TableParagraph"/>
                              <w:tabs>
                                <w:tab w:val="left" w:pos="613"/>
                              </w:tabs>
                              <w:spacing w:before="136"/>
                              <w:ind w:right="75"/>
                              <w:jc w:val="right"/>
                              <w:rPr>
                                <w:b/>
                                <w:sz w:val="16"/>
                              </w:rPr>
                            </w:pPr>
                            <w:r>
                              <w:rPr>
                                <w:b/>
                                <w:sz w:val="16"/>
                              </w:rPr>
                              <w:t>$</w:t>
                            </w:r>
                            <w:r>
                              <w:rPr>
                                <w:b/>
                                <w:sz w:val="16"/>
                              </w:rPr>
                              <w:tab/>
                              <w:t>3,900</w:t>
                            </w:r>
                          </w:p>
                        </w:tc>
                      </w:tr>
                    </w:tbl>
                    <w:p w14:paraId="7326D937" w14:textId="77777777" w:rsidR="00EF3DFB" w:rsidRDefault="00EF3DFB">
                      <w:pPr>
                        <w:pStyle w:val="BodyText"/>
                      </w:pPr>
                    </w:p>
                  </w:txbxContent>
                </v:textbox>
                <w10:wrap anchorx="page"/>
              </v:shape>
            </w:pict>
          </mc:Fallback>
        </mc:AlternateContent>
      </w:r>
      <w:r>
        <w:rPr>
          <w:i/>
          <w:sz w:val="20"/>
        </w:rPr>
        <w:t>(Amounts in millions)</w:t>
      </w:r>
    </w:p>
    <w:p w14:paraId="7326C3D6" w14:textId="77777777" w:rsidR="00EF3DFB" w:rsidRDefault="00EF3DFB">
      <w:pPr>
        <w:pStyle w:val="BodyText"/>
        <w:rPr>
          <w:i/>
        </w:rPr>
      </w:pPr>
    </w:p>
    <w:p w14:paraId="7326C3D7" w14:textId="77777777" w:rsidR="00EF3DFB" w:rsidRDefault="00EF3DFB">
      <w:pPr>
        <w:pStyle w:val="BodyText"/>
        <w:rPr>
          <w:i/>
        </w:rPr>
      </w:pPr>
    </w:p>
    <w:p w14:paraId="7326C3D8" w14:textId="77777777" w:rsidR="00EF3DFB" w:rsidRDefault="00EF3DFB">
      <w:pPr>
        <w:pStyle w:val="BodyText"/>
        <w:rPr>
          <w:i/>
        </w:rPr>
      </w:pPr>
    </w:p>
    <w:p w14:paraId="7326C3D9" w14:textId="238619CC" w:rsidR="00EF3DFB" w:rsidRDefault="00D27C17">
      <w:pPr>
        <w:pStyle w:val="BodyText"/>
        <w:spacing w:before="2"/>
        <w:rPr>
          <w:i/>
          <w:sz w:val="21"/>
        </w:rPr>
      </w:pPr>
      <w:r>
        <w:rPr>
          <w:noProof/>
        </w:rPr>
        <mc:AlternateContent>
          <mc:Choice Requires="wpg">
            <w:drawing>
              <wp:anchor distT="0" distB="0" distL="0" distR="0" simplePos="0" relativeHeight="2128" behindDoc="0" locked="0" layoutInCell="1" allowOverlap="1" wp14:anchorId="7326D705" wp14:editId="05B8F470">
                <wp:simplePos x="0" y="0"/>
                <wp:positionH relativeFrom="page">
                  <wp:posOffset>514350</wp:posOffset>
                </wp:positionH>
                <wp:positionV relativeFrom="paragraph">
                  <wp:posOffset>179705</wp:posOffset>
                </wp:positionV>
                <wp:extent cx="6743700" cy="320675"/>
                <wp:effectExtent l="0" t="0" r="9525" b="3175"/>
                <wp:wrapTopAndBottom/>
                <wp:docPr id="458"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20675"/>
                          <a:chOff x="810" y="283"/>
                          <a:chExt cx="10620" cy="505"/>
                        </a:xfrm>
                      </wpg:grpSpPr>
                      <wps:wsp>
                        <wps:cNvPr id="459" name="Rectangle 458"/>
                        <wps:cNvSpPr>
                          <a:spLocks noChangeArrowheads="1"/>
                        </wps:cNvSpPr>
                        <wps:spPr bwMode="auto">
                          <a:xfrm>
                            <a:off x="810" y="293"/>
                            <a:ext cx="10620" cy="49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57"/>
                        <wps:cNvCnPr>
                          <a:cxnSpLocks noChangeShapeType="1"/>
                        </wps:cNvCnPr>
                        <wps:spPr bwMode="auto">
                          <a:xfrm>
                            <a:off x="3000" y="293"/>
                            <a:ext cx="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56"/>
                        <wps:cNvCnPr>
                          <a:cxnSpLocks noChangeShapeType="1"/>
                        </wps:cNvCnPr>
                        <wps:spPr bwMode="auto">
                          <a:xfrm>
                            <a:off x="3000" y="293"/>
                            <a:ext cx="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455"/>
                        <wps:cNvCnPr>
                          <a:cxnSpLocks noChangeShapeType="1"/>
                        </wps:cNvCnPr>
                        <wps:spPr bwMode="auto">
                          <a:xfrm>
                            <a:off x="3975" y="293"/>
                            <a:ext cx="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454"/>
                        <wps:cNvCnPr>
                          <a:cxnSpLocks noChangeShapeType="1"/>
                        </wps:cNvCnPr>
                        <wps:spPr bwMode="auto">
                          <a:xfrm>
                            <a:off x="3975" y="293"/>
                            <a:ext cx="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453"/>
                        <wps:cNvCnPr>
                          <a:cxnSpLocks noChangeShapeType="1"/>
                        </wps:cNvCnPr>
                        <wps:spPr bwMode="auto">
                          <a:xfrm>
                            <a:off x="4950" y="293"/>
                            <a:ext cx="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452"/>
                        <wps:cNvCnPr>
                          <a:cxnSpLocks noChangeShapeType="1"/>
                        </wps:cNvCnPr>
                        <wps:spPr bwMode="auto">
                          <a:xfrm>
                            <a:off x="4950" y="293"/>
                            <a:ext cx="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451"/>
                        <wps:cNvCnPr>
                          <a:cxnSpLocks noChangeShapeType="1"/>
                        </wps:cNvCnPr>
                        <wps:spPr bwMode="auto">
                          <a:xfrm>
                            <a:off x="5925" y="293"/>
                            <a:ext cx="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50"/>
                        <wps:cNvCnPr>
                          <a:cxnSpLocks noChangeShapeType="1"/>
                        </wps:cNvCnPr>
                        <wps:spPr bwMode="auto">
                          <a:xfrm>
                            <a:off x="5925" y="293"/>
                            <a:ext cx="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449"/>
                        <wps:cNvCnPr>
                          <a:cxnSpLocks noChangeShapeType="1"/>
                        </wps:cNvCnPr>
                        <wps:spPr bwMode="auto">
                          <a:xfrm>
                            <a:off x="6900" y="293"/>
                            <a:ext cx="12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48"/>
                        <wps:cNvCnPr>
                          <a:cxnSpLocks noChangeShapeType="1"/>
                        </wps:cNvCnPr>
                        <wps:spPr bwMode="auto">
                          <a:xfrm>
                            <a:off x="6900" y="293"/>
                            <a:ext cx="12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447"/>
                        <wps:cNvCnPr>
                          <a:cxnSpLocks noChangeShapeType="1"/>
                        </wps:cNvCnPr>
                        <wps:spPr bwMode="auto">
                          <a:xfrm>
                            <a:off x="8190" y="293"/>
                            <a:ext cx="1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446"/>
                        <wps:cNvCnPr>
                          <a:cxnSpLocks noChangeShapeType="1"/>
                        </wps:cNvCnPr>
                        <wps:spPr bwMode="auto">
                          <a:xfrm>
                            <a:off x="8190" y="293"/>
                            <a:ext cx="10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445"/>
                        <wps:cNvCnPr>
                          <a:cxnSpLocks noChangeShapeType="1"/>
                        </wps:cNvCnPr>
                        <wps:spPr bwMode="auto">
                          <a:xfrm>
                            <a:off x="9360" y="293"/>
                            <a:ext cx="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444"/>
                        <wps:cNvCnPr>
                          <a:cxnSpLocks noChangeShapeType="1"/>
                        </wps:cNvCnPr>
                        <wps:spPr bwMode="auto">
                          <a:xfrm>
                            <a:off x="9360" y="293"/>
                            <a:ext cx="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43"/>
                        <wps:cNvCnPr>
                          <a:cxnSpLocks noChangeShapeType="1"/>
                        </wps:cNvCnPr>
                        <wps:spPr bwMode="auto">
                          <a:xfrm>
                            <a:off x="10335" y="293"/>
                            <a:ext cx="1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442"/>
                        <wps:cNvCnPr>
                          <a:cxnSpLocks noChangeShapeType="1"/>
                        </wps:cNvCnPr>
                        <wps:spPr bwMode="auto">
                          <a:xfrm>
                            <a:off x="10335" y="293"/>
                            <a:ext cx="10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F8AF2" id="Group 441" o:spid="_x0000_s1026" style="position:absolute;margin-left:40.5pt;margin-top:14.15pt;width:531pt;height:25.25pt;z-index:2128;mso-wrap-distance-left:0;mso-wrap-distance-right:0;mso-position-horizontal-relative:page" coordorigin="810,283" coordsize="1062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">
                <v:rect id="Rectangle 458" o:spid="_x0000_s1027" style="position:absolute;left:810;top:293;width:106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" fillcolor="#ccedff" stroked="f"/>
                <v:line id="Line 457" o:spid="_x0000_s1028" style="position:absolute;visibility:visible;mso-wrap-style:square" from="3000,293" to="390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line id="Line 456" o:spid="_x0000_s1029" style="position:absolute;visibility:visible;mso-wrap-style:square" from="3000,293" to="390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YxQAAANwAAAAPAAAAZHJzL2Rvd25yZXYueG1sRI/RagIx&#10;FETfBf8hXKFvmt1S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A/PUXYxQAAANwAAAAP&#10;AAAAAAAAAAAAAAAAAAcCAABkcnMvZG93bnJldi54bWxQSwUGAAAAAAMAAwC3AAAA+QIAAAAA&#10;" strokeweight="1pt"/>
                <v:line id="Line 455" o:spid="_x0000_s1030" style="position:absolute;visibility:visible;mso-wrap-style:square" from="3975,293" to="48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line id="Line 454" o:spid="_x0000_s1031" style="position:absolute;visibility:visible;mso-wrap-style:square" from="3975,293" to="48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" strokeweight="1pt"/>
                <v:line id="Line 453" o:spid="_x0000_s1032" style="position:absolute;visibility:visible;mso-wrap-style:square" from="4950,293" to="58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line id="Line 452" o:spid="_x0000_s1033" style="position:absolute;visibility:visible;mso-wrap-style:square" from="4950,293" to="58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PbxQAAANwAAAAPAAAAZHJzL2Rvd25yZXYueG1sRI/RagIx&#10;FETfC/5DuELfatbSSl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BABkPbxQAAANwAAAAP&#10;AAAAAAAAAAAAAAAAAAcCAABkcnMvZG93bnJldi54bWxQSwUGAAAAAAMAAwC3AAAA+QIAAAAA&#10;" strokeweight="1pt"/>
                <v:line id="Line 451" o:spid="_x0000_s1034" style="position:absolute;visibility:visible;mso-wrap-style:square" from="5925,293" to="68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line id="Line 450" o:spid="_x0000_s1035" style="position:absolute;visibility:visible;mso-wrap-style:square" from="5925,293" to="68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g3xQAAANwAAAAPAAAAZHJzL2Rvd25yZXYueG1sRI/RagIx&#10;FETfBf8hXKFvmrUU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DfmHg3xQAAANwAAAAP&#10;AAAAAAAAAAAAAAAAAAcCAABkcnMvZG93bnJldi54bWxQSwUGAAAAAAMAAwC3AAAA+QIAAAAA&#10;" strokeweight="1pt"/>
                <v:line id="Line 449" o:spid="_x0000_s1036" style="position:absolute;visibility:visible;mso-wrap-style:square" from="6900,293" to="811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line id="Line 448" o:spid="_x0000_s1037" style="position:absolute;visibility:visible;mso-wrap-style:square" from="6900,293" to="811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" strokeweight="1pt"/>
                <v:line id="Line 447" o:spid="_x0000_s1038" style="position:absolute;visibility:visible;mso-wrap-style:square" from="8190,293" to="928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line id="Line 446" o:spid="_x0000_s1039" style="position:absolute;visibility:visible;mso-wrap-style:square" from="8190,293" to="928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" strokeweight="1pt"/>
                <v:line id="Line 445" o:spid="_x0000_s1040" style="position:absolute;visibility:visible;mso-wrap-style:square" from="9360,293" to="1026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line id="Line 444" o:spid="_x0000_s1041" style="position:absolute;visibility:visible;mso-wrap-style:square" from="9360,293" to="1026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" strokeweight="1pt"/>
                <v:line id="Line 443" o:spid="_x0000_s1042" style="position:absolute;visibility:visible;mso-wrap-style:square" from="10335,293" to="1143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line id="Line 442" o:spid="_x0000_s1043" style="position:absolute;visibility:visible;mso-wrap-style:square" from="10335,293" to="1143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" strokeweight="1pt"/>
                <w10:wrap type="topAndBottom" anchorx="page"/>
              </v:group>
            </w:pict>
          </mc:Fallback>
        </mc:AlternateContent>
      </w:r>
    </w:p>
    <w:p w14:paraId="7326C3DA" w14:textId="77777777" w:rsidR="00EF3DFB" w:rsidRDefault="00EF3DFB">
      <w:pPr>
        <w:pStyle w:val="BodyText"/>
        <w:rPr>
          <w:i/>
          <w:sz w:val="22"/>
        </w:rPr>
      </w:pPr>
    </w:p>
    <w:p w14:paraId="7326C3DB" w14:textId="77777777" w:rsidR="00EF3DFB" w:rsidRDefault="00EF3DFB">
      <w:pPr>
        <w:pStyle w:val="BodyText"/>
        <w:rPr>
          <w:i/>
          <w:sz w:val="22"/>
        </w:rPr>
      </w:pPr>
    </w:p>
    <w:p w14:paraId="7326C3DC" w14:textId="77777777" w:rsidR="00EF3DFB" w:rsidRDefault="00D27C17">
      <w:pPr>
        <w:spacing w:before="187"/>
        <w:ind w:left="242"/>
        <w:rPr>
          <w:sz w:val="16"/>
        </w:rPr>
      </w:pPr>
      <w:r>
        <w:rPr>
          <w:sz w:val="16"/>
        </w:rPr>
        <w:t>stock - $0.92 per share</w:t>
      </w:r>
    </w:p>
    <w:p w14:paraId="7326C3DD" w14:textId="77777777" w:rsidR="00EF3DFB" w:rsidRDefault="00EF3DFB">
      <w:pPr>
        <w:pStyle w:val="BodyText"/>
        <w:rPr>
          <w:sz w:val="18"/>
        </w:rPr>
      </w:pPr>
    </w:p>
    <w:p w14:paraId="7326C3DE" w14:textId="77777777" w:rsidR="00EF3DFB" w:rsidRDefault="00EF3DFB">
      <w:pPr>
        <w:pStyle w:val="BodyText"/>
        <w:rPr>
          <w:sz w:val="18"/>
        </w:rPr>
      </w:pPr>
    </w:p>
    <w:p w14:paraId="7326C3DF" w14:textId="77777777" w:rsidR="00EF3DFB" w:rsidRDefault="00EF3DFB">
      <w:pPr>
        <w:pStyle w:val="BodyText"/>
        <w:rPr>
          <w:sz w:val="18"/>
        </w:rPr>
      </w:pPr>
    </w:p>
    <w:p w14:paraId="7326C3E0" w14:textId="77777777" w:rsidR="00EF3DFB" w:rsidRDefault="00EF3DFB">
      <w:pPr>
        <w:pStyle w:val="BodyText"/>
        <w:spacing w:before="1"/>
        <w:rPr>
          <w:sz w:val="16"/>
        </w:rPr>
      </w:pPr>
    </w:p>
    <w:p w14:paraId="7326C3E1" w14:textId="77777777" w:rsidR="00EF3DFB" w:rsidRDefault="00D27C17">
      <w:pPr>
        <w:spacing w:line="715" w:lineRule="auto"/>
        <w:ind w:left="242" w:right="10158"/>
        <w:rPr>
          <w:sz w:val="16"/>
        </w:rPr>
      </w:pPr>
      <w:r>
        <w:rPr>
          <w:sz w:val="16"/>
        </w:rPr>
        <w:t>retired adoption</w:t>
      </w:r>
    </w:p>
    <w:p w14:paraId="7326C3E2" w14:textId="77777777" w:rsidR="00EF3DFB" w:rsidRDefault="00D27C17">
      <w:pPr>
        <w:spacing w:before="51"/>
        <w:ind w:left="242"/>
        <w:rPr>
          <w:sz w:val="16"/>
        </w:rPr>
      </w:pPr>
      <w:r>
        <w:rPr>
          <w:sz w:val="16"/>
        </w:rPr>
        <w:t>noncontrolling interests</w:t>
      </w:r>
    </w:p>
    <w:p w14:paraId="7326C3E3" w14:textId="77777777" w:rsidR="00EF3DFB" w:rsidRDefault="00EF3DFB">
      <w:pPr>
        <w:pStyle w:val="BodyText"/>
        <w:rPr>
          <w:sz w:val="18"/>
        </w:rPr>
      </w:pPr>
    </w:p>
    <w:p w14:paraId="7326C3E4" w14:textId="77777777" w:rsidR="00EF3DFB" w:rsidRDefault="00EF3DFB">
      <w:pPr>
        <w:pStyle w:val="BodyText"/>
        <w:rPr>
          <w:sz w:val="18"/>
        </w:rPr>
      </w:pPr>
    </w:p>
    <w:p w14:paraId="7326C3E5" w14:textId="77777777" w:rsidR="00EF3DFB" w:rsidRDefault="00EF3DFB">
      <w:pPr>
        <w:pStyle w:val="BodyText"/>
        <w:rPr>
          <w:sz w:val="18"/>
        </w:rPr>
      </w:pPr>
    </w:p>
    <w:p w14:paraId="7326C3E6" w14:textId="77777777" w:rsidR="00EF3DFB" w:rsidRDefault="00EF3DFB">
      <w:pPr>
        <w:pStyle w:val="BodyText"/>
        <w:rPr>
          <w:sz w:val="18"/>
        </w:rPr>
      </w:pPr>
    </w:p>
    <w:p w14:paraId="7326C3E7" w14:textId="77777777" w:rsidR="00EF3DFB" w:rsidRDefault="00EF3DFB">
      <w:pPr>
        <w:pStyle w:val="BodyText"/>
        <w:rPr>
          <w:sz w:val="18"/>
        </w:rPr>
      </w:pPr>
    </w:p>
    <w:p w14:paraId="7326C3E8" w14:textId="77777777" w:rsidR="00EF3DFB" w:rsidRDefault="00EF3DFB">
      <w:pPr>
        <w:pStyle w:val="BodyText"/>
        <w:rPr>
          <w:sz w:val="18"/>
        </w:rPr>
      </w:pPr>
    </w:p>
    <w:p w14:paraId="7326C3E9" w14:textId="77777777" w:rsidR="00EF3DFB" w:rsidRDefault="00D27C17">
      <w:pPr>
        <w:spacing w:before="112"/>
        <w:ind w:left="242"/>
        <w:rPr>
          <w:sz w:val="16"/>
        </w:rPr>
      </w:pPr>
      <w:r>
        <w:rPr>
          <w:sz w:val="16"/>
        </w:rPr>
        <w:t>stock - $0.92 per share</w:t>
      </w:r>
    </w:p>
    <w:p w14:paraId="7326C3EA" w14:textId="77777777" w:rsidR="00EF3DFB" w:rsidRDefault="00EF3DFB">
      <w:pPr>
        <w:pStyle w:val="BodyText"/>
        <w:rPr>
          <w:sz w:val="18"/>
        </w:rPr>
      </w:pPr>
    </w:p>
    <w:p w14:paraId="7326C3EB" w14:textId="77777777" w:rsidR="00EF3DFB" w:rsidRDefault="00EF3DFB">
      <w:pPr>
        <w:pStyle w:val="BodyText"/>
        <w:rPr>
          <w:sz w:val="18"/>
        </w:rPr>
      </w:pPr>
    </w:p>
    <w:p w14:paraId="7326C3EC" w14:textId="77777777" w:rsidR="00EF3DFB" w:rsidRDefault="00EF3DFB">
      <w:pPr>
        <w:pStyle w:val="BodyText"/>
        <w:rPr>
          <w:sz w:val="18"/>
        </w:rPr>
      </w:pPr>
    </w:p>
    <w:p w14:paraId="7326C3ED" w14:textId="77777777" w:rsidR="00EF3DFB" w:rsidRDefault="00EF3DFB">
      <w:pPr>
        <w:pStyle w:val="BodyText"/>
        <w:rPr>
          <w:sz w:val="18"/>
        </w:rPr>
      </w:pPr>
    </w:p>
    <w:p w14:paraId="7326C3EE" w14:textId="77777777" w:rsidR="00EF3DFB" w:rsidRDefault="00EF3DFB">
      <w:pPr>
        <w:pStyle w:val="BodyText"/>
        <w:rPr>
          <w:sz w:val="18"/>
        </w:rPr>
      </w:pPr>
    </w:p>
    <w:p w14:paraId="7326C3EF" w14:textId="77777777" w:rsidR="00EF3DFB" w:rsidRDefault="00EF3DFB">
      <w:pPr>
        <w:pStyle w:val="BodyText"/>
        <w:rPr>
          <w:sz w:val="18"/>
        </w:rPr>
      </w:pPr>
    </w:p>
    <w:p w14:paraId="7326C3F0" w14:textId="77777777" w:rsidR="00EF3DFB" w:rsidRDefault="00EF3DFB">
      <w:pPr>
        <w:pStyle w:val="BodyText"/>
        <w:rPr>
          <w:sz w:val="18"/>
        </w:rPr>
      </w:pPr>
    </w:p>
    <w:p w14:paraId="7326C3F1" w14:textId="77777777" w:rsidR="00EF3DFB" w:rsidRDefault="00EF3DFB">
      <w:pPr>
        <w:pStyle w:val="BodyText"/>
        <w:rPr>
          <w:sz w:val="18"/>
        </w:rPr>
      </w:pPr>
    </w:p>
    <w:p w14:paraId="7326C3F2" w14:textId="77777777" w:rsidR="00EF3DFB" w:rsidRDefault="00EF3DFB">
      <w:pPr>
        <w:pStyle w:val="BodyText"/>
        <w:rPr>
          <w:sz w:val="18"/>
        </w:rPr>
      </w:pPr>
    </w:p>
    <w:p w14:paraId="7326C3F3" w14:textId="77777777" w:rsidR="00EF3DFB" w:rsidRDefault="00EF3DFB">
      <w:pPr>
        <w:pStyle w:val="BodyText"/>
        <w:rPr>
          <w:sz w:val="18"/>
        </w:rPr>
      </w:pPr>
    </w:p>
    <w:p w14:paraId="7326C3F4" w14:textId="77777777" w:rsidR="00EF3DFB" w:rsidRDefault="00EF3DFB">
      <w:pPr>
        <w:pStyle w:val="BodyText"/>
        <w:rPr>
          <w:sz w:val="18"/>
        </w:rPr>
      </w:pPr>
    </w:p>
    <w:p w14:paraId="7326C3F5" w14:textId="77777777" w:rsidR="00EF3DFB" w:rsidRDefault="00EF3DFB">
      <w:pPr>
        <w:pStyle w:val="BodyText"/>
        <w:rPr>
          <w:sz w:val="18"/>
        </w:rPr>
      </w:pPr>
    </w:p>
    <w:p w14:paraId="7326C3F6" w14:textId="77777777" w:rsidR="00EF3DFB" w:rsidRDefault="00EF3DFB">
      <w:pPr>
        <w:pStyle w:val="BodyText"/>
        <w:rPr>
          <w:sz w:val="18"/>
        </w:rPr>
      </w:pPr>
    </w:p>
    <w:p w14:paraId="7326C3F7" w14:textId="77777777" w:rsidR="00EF3DFB" w:rsidRDefault="00EF3DFB">
      <w:pPr>
        <w:pStyle w:val="BodyText"/>
        <w:spacing w:before="1"/>
        <w:rPr>
          <w:sz w:val="16"/>
        </w:rPr>
      </w:pPr>
    </w:p>
    <w:p w14:paraId="7326C3F8" w14:textId="77777777" w:rsidR="00EF3DFB" w:rsidRDefault="00D27C17">
      <w:pPr>
        <w:ind w:left="242"/>
        <w:rPr>
          <w:sz w:val="16"/>
        </w:rPr>
      </w:pPr>
      <w:r>
        <w:rPr>
          <w:sz w:val="16"/>
        </w:rPr>
        <w:t>stock - $0.92 per share</w:t>
      </w:r>
    </w:p>
    <w:p w14:paraId="7326C3F9" w14:textId="77777777" w:rsidR="00EF3DFB" w:rsidRDefault="00EF3DFB">
      <w:pPr>
        <w:pStyle w:val="BodyText"/>
        <w:rPr>
          <w:sz w:val="18"/>
        </w:rPr>
      </w:pPr>
    </w:p>
    <w:p w14:paraId="7326C3FA" w14:textId="77777777" w:rsidR="00EF3DFB" w:rsidRDefault="00EF3DFB">
      <w:pPr>
        <w:pStyle w:val="BodyText"/>
        <w:rPr>
          <w:sz w:val="18"/>
        </w:rPr>
      </w:pPr>
    </w:p>
    <w:p w14:paraId="7326C3FB" w14:textId="77777777" w:rsidR="00EF3DFB" w:rsidRDefault="00EF3DFB">
      <w:pPr>
        <w:pStyle w:val="BodyText"/>
        <w:rPr>
          <w:sz w:val="18"/>
        </w:rPr>
      </w:pPr>
    </w:p>
    <w:p w14:paraId="7326C3FC" w14:textId="77777777" w:rsidR="00EF3DFB" w:rsidRDefault="00EF3DFB">
      <w:pPr>
        <w:pStyle w:val="BodyText"/>
        <w:rPr>
          <w:sz w:val="18"/>
        </w:rPr>
      </w:pPr>
    </w:p>
    <w:p w14:paraId="7326C3FD" w14:textId="77777777" w:rsidR="00EF3DFB" w:rsidRDefault="00EF3DFB">
      <w:pPr>
        <w:pStyle w:val="BodyText"/>
        <w:rPr>
          <w:sz w:val="18"/>
        </w:rPr>
      </w:pPr>
    </w:p>
    <w:p w14:paraId="7326C3FE" w14:textId="77777777" w:rsidR="00EF3DFB" w:rsidRDefault="00EF3DFB">
      <w:pPr>
        <w:pStyle w:val="BodyText"/>
        <w:rPr>
          <w:sz w:val="18"/>
        </w:rPr>
      </w:pPr>
    </w:p>
    <w:p w14:paraId="7326C3FF" w14:textId="77777777" w:rsidR="00EF3DFB" w:rsidRDefault="00EF3DFB">
      <w:pPr>
        <w:pStyle w:val="BodyText"/>
        <w:spacing w:before="6"/>
        <w:rPr>
          <w:sz w:val="17"/>
        </w:rPr>
      </w:pPr>
    </w:p>
    <w:p w14:paraId="7326C400" w14:textId="77777777" w:rsidR="00EF3DFB" w:rsidRDefault="00D27C17">
      <w:pPr>
        <w:ind w:left="242"/>
        <w:rPr>
          <w:sz w:val="16"/>
        </w:rPr>
      </w:pPr>
      <w:r>
        <w:rPr>
          <w:sz w:val="16"/>
        </w:rPr>
        <w:t>interests</w:t>
      </w:r>
    </w:p>
    <w:p w14:paraId="7326C401" w14:textId="77777777" w:rsidR="00EF3DFB" w:rsidRDefault="00EF3DFB">
      <w:pPr>
        <w:pStyle w:val="BodyText"/>
      </w:pPr>
    </w:p>
    <w:p w14:paraId="7326C402" w14:textId="501ADAD7" w:rsidR="00EF3DFB" w:rsidRDefault="00D27C17">
      <w:pPr>
        <w:pStyle w:val="BodyText"/>
        <w:spacing w:before="10"/>
        <w:rPr>
          <w:sz w:val="28"/>
        </w:rPr>
      </w:pPr>
      <w:r>
        <w:rPr>
          <w:noProof/>
        </w:rPr>
        <mc:AlternateContent>
          <mc:Choice Requires="wps">
            <w:drawing>
              <wp:anchor distT="0" distB="0" distL="0" distR="0" simplePos="0" relativeHeight="2152" behindDoc="0" locked="0" layoutInCell="1" allowOverlap="1" wp14:anchorId="7326D706" wp14:editId="5A1AC595">
                <wp:simplePos x="0" y="0"/>
                <wp:positionH relativeFrom="page">
                  <wp:posOffset>1905000</wp:posOffset>
                </wp:positionH>
                <wp:positionV relativeFrom="paragraph">
                  <wp:posOffset>242570</wp:posOffset>
                </wp:positionV>
                <wp:extent cx="571500" cy="0"/>
                <wp:effectExtent l="9525" t="8255" r="9525" b="10795"/>
                <wp:wrapTopAndBottom/>
                <wp:docPr id="457"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12D9" id="Line 440"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pt,19.1pt" to="1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" strokeweight="1pt">
                <w10:wrap type="topAndBottom" anchorx="page"/>
              </v:line>
            </w:pict>
          </mc:Fallback>
        </mc:AlternateContent>
      </w:r>
      <w:r>
        <w:rPr>
          <w:noProof/>
        </w:rPr>
        <mc:AlternateContent>
          <mc:Choice Requires="wps">
            <w:drawing>
              <wp:anchor distT="0" distB="0" distL="0" distR="0" simplePos="0" relativeHeight="2176" behindDoc="0" locked="0" layoutInCell="1" allowOverlap="1" wp14:anchorId="7326D707" wp14:editId="60EE251A">
                <wp:simplePos x="0" y="0"/>
                <wp:positionH relativeFrom="page">
                  <wp:posOffset>2524125</wp:posOffset>
                </wp:positionH>
                <wp:positionV relativeFrom="paragraph">
                  <wp:posOffset>242570</wp:posOffset>
                </wp:positionV>
                <wp:extent cx="571500" cy="0"/>
                <wp:effectExtent l="9525" t="8255" r="9525" b="10795"/>
                <wp:wrapTopAndBottom/>
                <wp:docPr id="456"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3078" id="Line 439"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75pt,19.1pt" to="243.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" strokeweight="1pt">
                <w10:wrap type="topAndBottom" anchorx="page"/>
              </v:line>
            </w:pict>
          </mc:Fallback>
        </mc:AlternateContent>
      </w:r>
      <w:r>
        <w:rPr>
          <w:noProof/>
        </w:rPr>
        <mc:AlternateContent>
          <mc:Choice Requires="wps">
            <w:drawing>
              <wp:anchor distT="0" distB="0" distL="0" distR="0" simplePos="0" relativeHeight="2200" behindDoc="0" locked="0" layoutInCell="1" allowOverlap="1" wp14:anchorId="7326D708" wp14:editId="4A9D1C16">
                <wp:simplePos x="0" y="0"/>
                <wp:positionH relativeFrom="page">
                  <wp:posOffset>3143250</wp:posOffset>
                </wp:positionH>
                <wp:positionV relativeFrom="paragraph">
                  <wp:posOffset>242570</wp:posOffset>
                </wp:positionV>
                <wp:extent cx="571500" cy="0"/>
                <wp:effectExtent l="9525" t="8255" r="9525" b="10795"/>
                <wp:wrapTopAndBottom/>
                <wp:docPr id="455"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D847E" id="Line 438"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5pt,19.1pt" to="29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" strokeweight="1pt">
                <w10:wrap type="topAndBottom" anchorx="page"/>
              </v:line>
            </w:pict>
          </mc:Fallback>
        </mc:AlternateContent>
      </w:r>
      <w:r>
        <w:rPr>
          <w:noProof/>
        </w:rPr>
        <mc:AlternateContent>
          <mc:Choice Requires="wps">
            <w:drawing>
              <wp:anchor distT="0" distB="0" distL="0" distR="0" simplePos="0" relativeHeight="2224" behindDoc="0" locked="0" layoutInCell="1" allowOverlap="1" wp14:anchorId="7326D709" wp14:editId="352E7D41">
                <wp:simplePos x="0" y="0"/>
                <wp:positionH relativeFrom="page">
                  <wp:posOffset>3762375</wp:posOffset>
                </wp:positionH>
                <wp:positionV relativeFrom="paragraph">
                  <wp:posOffset>242570</wp:posOffset>
                </wp:positionV>
                <wp:extent cx="571500" cy="0"/>
                <wp:effectExtent l="9525" t="8255" r="9525" b="10795"/>
                <wp:wrapTopAndBottom/>
                <wp:docPr id="454"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3610" id="Line 437" o:spid="_x0000_s1026" style="position:absolute;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25pt,19.1pt" to="341.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" strokeweight="1pt">
                <w10:wrap type="topAndBottom" anchorx="page"/>
              </v:line>
            </w:pict>
          </mc:Fallback>
        </mc:AlternateContent>
      </w:r>
      <w:r>
        <w:rPr>
          <w:noProof/>
        </w:rPr>
        <mc:AlternateContent>
          <mc:Choice Requires="wps">
            <w:drawing>
              <wp:anchor distT="0" distB="0" distL="0" distR="0" simplePos="0" relativeHeight="2248" behindDoc="0" locked="0" layoutInCell="1" allowOverlap="1" wp14:anchorId="7326D70A" wp14:editId="06A5D21C">
                <wp:simplePos x="0" y="0"/>
                <wp:positionH relativeFrom="page">
                  <wp:posOffset>4381500</wp:posOffset>
                </wp:positionH>
                <wp:positionV relativeFrom="paragraph">
                  <wp:posOffset>242570</wp:posOffset>
                </wp:positionV>
                <wp:extent cx="771525" cy="0"/>
                <wp:effectExtent l="9525" t="8255" r="9525" b="10795"/>
                <wp:wrapTopAndBottom/>
                <wp:docPr id="453"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C125" id="Line 436"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pt,19.1pt" to="405.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" strokeweight="1pt">
                <w10:wrap type="topAndBottom" anchorx="page"/>
              </v:line>
            </w:pict>
          </mc:Fallback>
        </mc:AlternateContent>
      </w:r>
      <w:r>
        <w:rPr>
          <w:noProof/>
        </w:rPr>
        <mc:AlternateContent>
          <mc:Choice Requires="wps">
            <w:drawing>
              <wp:anchor distT="0" distB="0" distL="0" distR="0" simplePos="0" relativeHeight="2272" behindDoc="0" locked="0" layoutInCell="1" allowOverlap="1" wp14:anchorId="7326D70B" wp14:editId="02B6E144">
                <wp:simplePos x="0" y="0"/>
                <wp:positionH relativeFrom="page">
                  <wp:posOffset>5200650</wp:posOffset>
                </wp:positionH>
                <wp:positionV relativeFrom="paragraph">
                  <wp:posOffset>242570</wp:posOffset>
                </wp:positionV>
                <wp:extent cx="695325" cy="0"/>
                <wp:effectExtent l="9525" t="8255" r="9525" b="10795"/>
                <wp:wrapTopAndBottom/>
                <wp:docPr id="452"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8E85" id="Line 435"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5pt,19.1pt" to="464.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" strokeweight="1pt">
                <w10:wrap type="topAndBottom" anchorx="page"/>
              </v:line>
            </w:pict>
          </mc:Fallback>
        </mc:AlternateContent>
      </w:r>
      <w:r>
        <w:rPr>
          <w:noProof/>
        </w:rPr>
        <mc:AlternateContent>
          <mc:Choice Requires="wps">
            <w:drawing>
              <wp:anchor distT="0" distB="0" distL="0" distR="0" simplePos="0" relativeHeight="2296" behindDoc="0" locked="0" layoutInCell="1" allowOverlap="1" wp14:anchorId="7326D70C" wp14:editId="11954930">
                <wp:simplePos x="0" y="0"/>
                <wp:positionH relativeFrom="page">
                  <wp:posOffset>5943600</wp:posOffset>
                </wp:positionH>
                <wp:positionV relativeFrom="paragraph">
                  <wp:posOffset>242570</wp:posOffset>
                </wp:positionV>
                <wp:extent cx="571500" cy="0"/>
                <wp:effectExtent l="9525" t="8255" r="9525" b="10795"/>
                <wp:wrapTopAndBottom/>
                <wp:docPr id="45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8EA9D" id="Line 434"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pt,19.1pt" to="5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" strokeweight="1pt">
                <w10:wrap type="topAndBottom" anchorx="page"/>
              </v:line>
            </w:pict>
          </mc:Fallback>
        </mc:AlternateContent>
      </w:r>
      <w:r>
        <w:rPr>
          <w:noProof/>
        </w:rPr>
        <mc:AlternateContent>
          <mc:Choice Requires="wps">
            <w:drawing>
              <wp:anchor distT="0" distB="0" distL="0" distR="0" simplePos="0" relativeHeight="2320" behindDoc="0" locked="0" layoutInCell="1" allowOverlap="1" wp14:anchorId="7326D70D" wp14:editId="32338658">
                <wp:simplePos x="0" y="0"/>
                <wp:positionH relativeFrom="page">
                  <wp:posOffset>6562725</wp:posOffset>
                </wp:positionH>
                <wp:positionV relativeFrom="paragraph">
                  <wp:posOffset>242570</wp:posOffset>
                </wp:positionV>
                <wp:extent cx="695325" cy="0"/>
                <wp:effectExtent l="9525" t="8255" r="9525" b="10795"/>
                <wp:wrapTopAndBottom/>
                <wp:docPr id="45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3396E" id="Line 433"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75pt,19.1pt" to="57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" strokeweight="1pt">
                <w10:wrap type="topAndBottom" anchorx="page"/>
              </v:line>
            </w:pict>
          </mc:Fallback>
        </mc:AlternateContent>
      </w:r>
    </w:p>
    <w:p w14:paraId="7326C403" w14:textId="77777777" w:rsidR="00EF3DFB" w:rsidRDefault="00EF3DFB">
      <w:pPr>
        <w:pStyle w:val="BodyText"/>
        <w:spacing w:before="8"/>
        <w:rPr>
          <w:sz w:val="23"/>
        </w:rPr>
      </w:pPr>
    </w:p>
    <w:p w14:paraId="7326C404" w14:textId="77777777" w:rsidR="00EF3DFB" w:rsidRDefault="00D27C17">
      <w:pPr>
        <w:ind w:left="190"/>
        <w:rPr>
          <w:i/>
          <w:sz w:val="20"/>
        </w:rPr>
      </w:pPr>
      <w:r>
        <w:rPr>
          <w:i/>
          <w:sz w:val="20"/>
        </w:rPr>
        <w:t>See Notes to Consolidated Financial Statements.</w:t>
      </w:r>
    </w:p>
    <w:p w14:paraId="7326C405" w14:textId="77777777" w:rsidR="00EF3DFB" w:rsidRDefault="00EF3DFB">
      <w:pPr>
        <w:rPr>
          <w:sz w:val="20"/>
        </w:rPr>
        <w:sectPr w:rsidR="00EF3DFB">
          <w:pgSz w:w="12240" w:h="15840"/>
          <w:pgMar w:top="600" w:right="640" w:bottom="480" w:left="620" w:header="0" w:footer="291" w:gutter="0"/>
          <w:cols w:space="720"/>
        </w:sectPr>
      </w:pPr>
    </w:p>
    <w:p w14:paraId="7326C406" w14:textId="77777777" w:rsidR="00EF3DFB" w:rsidRDefault="00D27C17">
      <w:pPr>
        <w:pStyle w:val="Heading2"/>
        <w:spacing w:before="68" w:line="249" w:lineRule="auto"/>
        <w:ind w:left="2857" w:right="2739" w:firstLine="563"/>
        <w:jc w:val="left"/>
      </w:pPr>
      <w:bookmarkStart w:id="48" w:name="Notes_To_Consolidated_Financial_Statemen"/>
      <w:bookmarkEnd w:id="48"/>
      <w:r>
        <w:lastRenderedPageBreak/>
        <w:t>NEWELL BRANDS INC. AND SUBSIDIARIES NOTES TO CONSOLIDATED FINANCIAL STATEMENTS</w:t>
      </w:r>
    </w:p>
    <w:p w14:paraId="7326C407" w14:textId="77777777" w:rsidR="00EF3DFB" w:rsidRDefault="00EF3DFB">
      <w:pPr>
        <w:pStyle w:val="BodyText"/>
        <w:spacing w:before="5"/>
        <w:rPr>
          <w:b/>
          <w:sz w:val="31"/>
        </w:rPr>
      </w:pPr>
    </w:p>
    <w:p w14:paraId="7326C408" w14:textId="77777777" w:rsidR="00EF3DFB" w:rsidRDefault="00D27C17">
      <w:pPr>
        <w:spacing w:before="1" w:line="376" w:lineRule="auto"/>
        <w:ind w:left="190" w:right="4605"/>
        <w:rPr>
          <w:b/>
          <w:sz w:val="20"/>
        </w:rPr>
      </w:pPr>
      <w:bookmarkStart w:id="49" w:name="Footnote_1_—_Basis_of_Presentation_and_S"/>
      <w:bookmarkEnd w:id="49"/>
      <w:r>
        <w:rPr>
          <w:b/>
          <w:sz w:val="20"/>
        </w:rPr>
        <w:t>Footnote 1 — Basis of Presentation and Significant Accounting Policies Description of Business</w:t>
      </w:r>
    </w:p>
    <w:p w14:paraId="7326C409" w14:textId="77777777" w:rsidR="00EF3DFB" w:rsidRDefault="00D27C17">
      <w:pPr>
        <w:pStyle w:val="BodyText"/>
        <w:spacing w:before="121" w:line="249" w:lineRule="auto"/>
        <w:ind w:left="190" w:right="169"/>
        <w:jc w:val="both"/>
      </w:pPr>
      <w:r>
        <w:t>Newell Brands is a leading global consumer goods company with a strong portfolio of well-known brands, including Rubbermaid®, Paper Mate®, Sharpie®, Dymo®, EXPO®</w:t>
      </w:r>
      <w:r>
        <w:t xml:space="preserve">, Parker®, Elmer’s®, Coleman®, Marmot®, Oster®, Sunbeam®, FoodSaver®, Mr. Coffee®, Rubbermaid Commercial Products®, Graco®, Baby Jogger®, NUK®, Calphalon®, Contigo®, First Alert®, Mapa®, Spontex® and Yankee Candle®. Newell Brands is committed to enhancing </w:t>
      </w:r>
      <w:r>
        <w:t>the lives of consumers around the world with planet- friendly, innovative and attractive products that create moments of joy and provide peace of mind. The Company sells its products in nearly 200 countries around the world and has operations on the ground</w:t>
      </w:r>
      <w:r>
        <w:t xml:space="preserve"> in over 40 of these countries, excluding third-party distributors.</w:t>
      </w:r>
    </w:p>
    <w:p w14:paraId="7326C40A" w14:textId="77777777" w:rsidR="00EF3DFB" w:rsidRDefault="00EF3DFB">
      <w:pPr>
        <w:pStyle w:val="BodyText"/>
        <w:rPr>
          <w:sz w:val="21"/>
        </w:rPr>
      </w:pPr>
    </w:p>
    <w:p w14:paraId="7326C40B" w14:textId="77777777" w:rsidR="00EF3DFB" w:rsidRDefault="00D27C17">
      <w:pPr>
        <w:pStyle w:val="Heading2"/>
        <w:spacing w:before="1"/>
      </w:pPr>
      <w:r>
        <w:t>Basis of Presentation</w:t>
      </w:r>
    </w:p>
    <w:p w14:paraId="7326C40C" w14:textId="77777777" w:rsidR="00EF3DFB" w:rsidRDefault="00EF3DFB">
      <w:pPr>
        <w:pStyle w:val="BodyText"/>
        <w:rPr>
          <w:b/>
          <w:sz w:val="22"/>
        </w:rPr>
      </w:pPr>
    </w:p>
    <w:p w14:paraId="7326C40D" w14:textId="77777777" w:rsidR="00EF3DFB" w:rsidRDefault="00D27C17">
      <w:pPr>
        <w:pStyle w:val="BodyText"/>
        <w:ind w:left="190" w:right="168"/>
        <w:jc w:val="both"/>
      </w:pPr>
      <w:r>
        <w:t>The accompanying consolidated financial statements have been prepared in accordance with generally accepted accounting principles in the United States of America (“</w:t>
      </w:r>
      <w:r>
        <w:t>GAAP”) and include the consolidated accounts of the Company and its majority-owned subsidiaries after elimination of intercompany transactions and balances.</w:t>
      </w:r>
    </w:p>
    <w:p w14:paraId="7326C40E" w14:textId="77777777" w:rsidR="00EF3DFB" w:rsidRDefault="00EF3DFB">
      <w:pPr>
        <w:pStyle w:val="BodyText"/>
      </w:pPr>
    </w:p>
    <w:p w14:paraId="7326C40F" w14:textId="77777777" w:rsidR="00EF3DFB" w:rsidRDefault="00D27C17">
      <w:pPr>
        <w:pStyle w:val="BodyText"/>
        <w:ind w:left="190" w:right="168"/>
        <w:jc w:val="both"/>
      </w:pPr>
      <w:r>
        <w:t>The preparation of these consolidated financial statements requires the use of certain estimates a</w:t>
      </w:r>
      <w:r>
        <w:t>nd assumptions by management in determining the Company’s assets, liabilities, sales and expenses, and related disclosures. Significant estimates in these Consolidated Financial Statements include restructuring charges, estimates of future cash flows assoc</w:t>
      </w:r>
      <w:r>
        <w:t>iated with asset impairments, useful lives for depreciation and amortization, loss contingencies (including legal, environmental and product liability reserves), net realizable value of inventories, valuation of assets held for sale, estimated contract rev</w:t>
      </w:r>
      <w:r>
        <w:t>enue and related costs, capitalized software costs, income taxes, uncertain tax provisions, tax valuation allowances, and pension and postretirement employee benefit liabilities and expenses. Actual results could differ from those</w:t>
      </w:r>
      <w:r>
        <w:rPr>
          <w:spacing w:val="-6"/>
        </w:rPr>
        <w:t xml:space="preserve"> </w:t>
      </w:r>
      <w:r>
        <w:t>estimates.</w:t>
      </w:r>
    </w:p>
    <w:p w14:paraId="7326C410" w14:textId="77777777" w:rsidR="00EF3DFB" w:rsidRDefault="00EF3DFB">
      <w:pPr>
        <w:pStyle w:val="BodyText"/>
      </w:pPr>
    </w:p>
    <w:p w14:paraId="7326C411" w14:textId="77777777" w:rsidR="00EF3DFB" w:rsidRDefault="00D27C17">
      <w:pPr>
        <w:pStyle w:val="BodyText"/>
        <w:ind w:left="190" w:right="168"/>
        <w:jc w:val="both"/>
      </w:pPr>
      <w:r>
        <w:t>In connection</w:t>
      </w:r>
      <w:r>
        <w:t xml:space="preserve"> with changes to the Company's management reporting structure made by the chief operating decision maker (“CODM”) during the second quarter of 2020, the Company realigned into the following five reportable segments: Appliances and Cookware, Commercial Solu</w:t>
      </w:r>
      <w:r>
        <w:t xml:space="preserve">tions, Home Solutions, Learning and Development, and Outdoor and Recreation. The Company also provides general corporate services to its segments which will be reported as a non-operating segment, Corporate (See </w:t>
      </w:r>
      <w:r>
        <w:rPr>
          <w:i/>
        </w:rPr>
        <w:t>Footnote 17</w:t>
      </w:r>
      <w:r>
        <w:t>).</w:t>
      </w:r>
    </w:p>
    <w:p w14:paraId="7326C412" w14:textId="77777777" w:rsidR="00EF3DFB" w:rsidRDefault="00EF3DFB">
      <w:pPr>
        <w:pStyle w:val="BodyText"/>
      </w:pPr>
    </w:p>
    <w:p w14:paraId="7326C413" w14:textId="77777777" w:rsidR="00EF3DFB" w:rsidRDefault="00D27C17">
      <w:pPr>
        <w:pStyle w:val="BodyText"/>
        <w:ind w:left="190" w:right="168"/>
        <w:jc w:val="both"/>
      </w:pPr>
      <w:r>
        <w:t>At the end of 2019, the Compa</w:t>
      </w:r>
      <w:r>
        <w:t>ny completed its previously announced Accelerated Transformation Plan (“ATP”), which resulted in the sale of several businesses during 2018 and 2019. The ATP was designed to accelerate value creation and more rapidly transform the portfolio to one best pos</w:t>
      </w:r>
      <w:r>
        <w:t>itioned to leverage the Company’s advantaged capabilities in innovation, design and e-commerce. The ATP was also designed to significantly increase shareholder value through both meaningful returns of capital to shareholders and strengthened operational an</w:t>
      </w:r>
      <w:r>
        <w:t xml:space="preserve">d financial performance, while simultaneously deleveraging the balance sheet. See </w:t>
      </w:r>
      <w:r>
        <w:rPr>
          <w:i/>
        </w:rPr>
        <w:t xml:space="preserve">Footnote 2 </w:t>
      </w:r>
      <w:r>
        <w:t>for further information on the Company's discontinued operations and divestitures.</w:t>
      </w:r>
    </w:p>
    <w:p w14:paraId="7326C414" w14:textId="77777777" w:rsidR="00EF3DFB" w:rsidRDefault="00EF3DFB">
      <w:pPr>
        <w:pStyle w:val="BodyText"/>
      </w:pPr>
    </w:p>
    <w:p w14:paraId="7326C415" w14:textId="77777777" w:rsidR="00EF3DFB" w:rsidRDefault="00D27C17">
      <w:pPr>
        <w:pStyle w:val="BodyText"/>
        <w:ind w:left="190"/>
        <w:jc w:val="both"/>
      </w:pPr>
      <w:r>
        <w:t>Certain prior year amounts have been reclassified to conform to the current pre</w:t>
      </w:r>
      <w:r>
        <w:t>sentation.</w:t>
      </w:r>
    </w:p>
    <w:p w14:paraId="7326C416" w14:textId="77777777" w:rsidR="00EF3DFB" w:rsidRDefault="00EF3DFB">
      <w:pPr>
        <w:pStyle w:val="BodyText"/>
        <w:spacing w:before="9"/>
        <w:rPr>
          <w:sz w:val="19"/>
        </w:rPr>
      </w:pPr>
    </w:p>
    <w:p w14:paraId="7326C417" w14:textId="77777777" w:rsidR="00EF3DFB" w:rsidRDefault="00D27C17">
      <w:pPr>
        <w:pStyle w:val="Heading2"/>
      </w:pPr>
      <w:r>
        <w:t>Out-of-Period Adjustments</w:t>
      </w:r>
    </w:p>
    <w:p w14:paraId="7326C418" w14:textId="77777777" w:rsidR="00EF3DFB" w:rsidRDefault="00EF3DFB">
      <w:pPr>
        <w:pStyle w:val="BodyText"/>
        <w:spacing w:before="3"/>
        <w:rPr>
          <w:b/>
        </w:rPr>
      </w:pPr>
    </w:p>
    <w:p w14:paraId="7326C419" w14:textId="77777777" w:rsidR="00EF3DFB" w:rsidRDefault="00D27C17">
      <w:pPr>
        <w:pStyle w:val="BodyText"/>
        <w:spacing w:line="249" w:lineRule="auto"/>
        <w:ind w:left="190" w:right="170"/>
        <w:jc w:val="both"/>
      </w:pPr>
      <w:r>
        <w:t>During 2019, the Company recorded an aggregate after-tax adjustment benefit of $10 million ($6 million in continuing operations and $4 million in discontinued operations) in its Consolidated Statement of Operations re</w:t>
      </w:r>
      <w:r>
        <w:t>flecting the cumulative impact of prior period errors identified and corrected during the period.</w:t>
      </w:r>
    </w:p>
    <w:p w14:paraId="7326C41A" w14:textId="77777777" w:rsidR="00EF3DFB" w:rsidRDefault="00EF3DFB">
      <w:pPr>
        <w:pStyle w:val="BodyText"/>
        <w:spacing w:before="1"/>
        <w:rPr>
          <w:sz w:val="21"/>
        </w:rPr>
      </w:pPr>
    </w:p>
    <w:p w14:paraId="7326C41B" w14:textId="77777777" w:rsidR="00EF3DFB" w:rsidRDefault="00D27C17">
      <w:pPr>
        <w:pStyle w:val="BodyText"/>
        <w:spacing w:line="249" w:lineRule="auto"/>
        <w:ind w:left="190" w:right="168"/>
        <w:jc w:val="both"/>
      </w:pPr>
      <w:r>
        <w:t>The prior period errors were primarily associated with income tax accounting matters more specifically related to: reserves for uncertain tax positions and the reconciliation of state income tax payables/receivables that resulted in a net after-tax benefit</w:t>
      </w:r>
      <w:r>
        <w:t xml:space="preserve"> of $21 million ($10 million in continuing operations and $11 million in discontinued operations, respectively) recorded in the Consolidated Statement of Operations. In addition, as a result of certain of those income tax prior period adjustments, certain </w:t>
      </w:r>
      <w:r>
        <w:t>of the Company's previously recorded goodwill and intangible asset impairment charges and gain/loss on disposal calculations were incorrect, which resulted in a net after-tax charge of $8 million ($2 million in continuing operations and $6 million in disco</w:t>
      </w:r>
      <w:r>
        <w:t xml:space="preserve">ntinued operations, respectively) recorded in the Consolidated Statement of Operations. See </w:t>
      </w:r>
      <w:r>
        <w:rPr>
          <w:i/>
        </w:rPr>
        <w:t xml:space="preserve">Footnote 7 </w:t>
      </w:r>
      <w:r>
        <w:t>for further information on how certain of these income tax matters impacted the Company's goodwill balances. The Company also recorded a net after-tax ch</w:t>
      </w:r>
      <w:r>
        <w:t>arge of $3 million in continuing operations in its Consolidated Statement of Operations related to other out-of-period adjustments.</w:t>
      </w:r>
    </w:p>
    <w:p w14:paraId="7326C41C" w14:textId="77777777" w:rsidR="00EF3DFB" w:rsidRDefault="00EF3DFB">
      <w:pPr>
        <w:pStyle w:val="BodyText"/>
        <w:spacing w:before="6"/>
        <w:rPr>
          <w:sz w:val="21"/>
        </w:rPr>
      </w:pPr>
    </w:p>
    <w:p w14:paraId="7326C41D" w14:textId="77777777" w:rsidR="00EF3DFB" w:rsidRDefault="00D27C17">
      <w:pPr>
        <w:pStyle w:val="BodyText"/>
        <w:spacing w:line="249" w:lineRule="auto"/>
        <w:ind w:left="190" w:right="168"/>
        <w:jc w:val="both"/>
      </w:pPr>
      <w:r>
        <w:t>Based on an analysis of qualitative and quantitative factors, the Company concluded that the cumulative impact of these err</w:t>
      </w:r>
      <w:r>
        <w:t>ors was not material to any of the Company's previously issued financial statements.</w:t>
      </w:r>
    </w:p>
    <w:p w14:paraId="7326C41E" w14:textId="77777777" w:rsidR="00EF3DFB" w:rsidRDefault="00EF3DFB">
      <w:pPr>
        <w:spacing w:line="249" w:lineRule="auto"/>
        <w:jc w:val="both"/>
        <w:sectPr w:rsidR="00EF3DFB">
          <w:pgSz w:w="12240" w:h="15840"/>
          <w:pgMar w:top="600" w:right="640" w:bottom="480" w:left="620" w:header="0" w:footer="291" w:gutter="0"/>
          <w:cols w:space="720"/>
        </w:sectPr>
      </w:pPr>
    </w:p>
    <w:p w14:paraId="7326C41F" w14:textId="77777777" w:rsidR="00EF3DFB" w:rsidRDefault="00D27C17">
      <w:pPr>
        <w:pStyle w:val="Heading2"/>
        <w:spacing w:before="68"/>
      </w:pPr>
      <w:r>
        <w:lastRenderedPageBreak/>
        <w:t>Uncertainty Related to Coronavirus (COVID-19)</w:t>
      </w:r>
    </w:p>
    <w:p w14:paraId="7326C420" w14:textId="77777777" w:rsidR="00EF3DFB" w:rsidRDefault="00EF3DFB">
      <w:pPr>
        <w:pStyle w:val="BodyText"/>
        <w:spacing w:before="2"/>
        <w:rPr>
          <w:b/>
          <w:sz w:val="21"/>
        </w:rPr>
      </w:pPr>
    </w:p>
    <w:p w14:paraId="7326C421" w14:textId="77777777" w:rsidR="00EF3DFB" w:rsidRDefault="00D27C17">
      <w:pPr>
        <w:pStyle w:val="BodyText"/>
        <w:spacing w:line="249" w:lineRule="auto"/>
        <w:ind w:left="190" w:right="168"/>
        <w:jc w:val="both"/>
      </w:pPr>
      <w:r>
        <w:t>Beginning late in the fourth quarter of 2019 and into 2020, COVID-19 emerged and subsequently spread globally,</w:t>
      </w:r>
      <w:r>
        <w:t xml:space="preserve"> ultimately being declared a pandemic by the World Health Organization. The pandemic has resulted in various federal, state and local governments, as well as private entities, mandating restrictions on travel and public gatherings, closure of non-essential</w:t>
      </w:r>
      <w:r>
        <w:t xml:space="preserve"> commerce, stay at home orders and quarantining of people to limit exposure to the virus. The Company's global operations, similar to those of many large, multi-national corporations, were adversely impacted by the COVID-19 pandemic.</w:t>
      </w:r>
    </w:p>
    <w:p w14:paraId="7326C422" w14:textId="77777777" w:rsidR="00EF3DFB" w:rsidRDefault="00EF3DFB">
      <w:pPr>
        <w:pStyle w:val="BodyText"/>
        <w:spacing w:before="3"/>
        <w:rPr>
          <w:sz w:val="21"/>
        </w:rPr>
      </w:pPr>
    </w:p>
    <w:p w14:paraId="7326C423" w14:textId="77777777" w:rsidR="00EF3DFB" w:rsidRDefault="00D27C17">
      <w:pPr>
        <w:pStyle w:val="BodyText"/>
        <w:spacing w:line="249" w:lineRule="auto"/>
        <w:ind w:left="190" w:right="167"/>
        <w:jc w:val="both"/>
      </w:pPr>
      <w:r>
        <w:t>During the first quar</w:t>
      </w:r>
      <w:r>
        <w:t>ter of 2020, the Company concluded that an impairment triggering event had occurred for all of its reporting units as the Company had experienced significant COVID-19 related disruption to its business in three primary areas: supply chain, as certain manuf</w:t>
      </w:r>
      <w:r>
        <w:t>acturing and distribution facilities were temporarily closed in line with government guidelines; the temporary closure of secondary customer retail stores as well, as the Company's Yankee Candle retail stores in North America; and changes in consumer deman</w:t>
      </w:r>
      <w:r>
        <w:t>d patterns to certain focused categories. As a result, the Company performed an impairment test for its goodwill and indefinite-lived intangible assets. In addition, the Company performed a recoverability test for its long-lived assets, which primarily inc</w:t>
      </w:r>
      <w:r>
        <w:t xml:space="preserve">lude finite-lived intangible assets, property plant and equipment and right of use lease assets. As a result of the impairment testing performed in connection with the triggering event, the Company determined that certain of its goodwill, indefinite-lived </w:t>
      </w:r>
      <w:r>
        <w:t xml:space="preserve">intangible assets, property plant and equipment and right of use operating leases assets were impaired. During the first quarter of 2020, the Company recorded an aggregate non-cash charge of approximately $1.5 billion in connection with these impairments. </w:t>
      </w:r>
      <w:r>
        <w:t xml:space="preserve">See </w:t>
      </w:r>
      <w:r>
        <w:rPr>
          <w:i/>
        </w:rPr>
        <w:t xml:space="preserve">Footnotes 6, 7 and 13 </w:t>
      </w:r>
      <w:r>
        <w:t>for further</w:t>
      </w:r>
      <w:r>
        <w:rPr>
          <w:spacing w:val="-4"/>
        </w:rPr>
        <w:t xml:space="preserve"> </w:t>
      </w:r>
      <w:r>
        <w:t>information.</w:t>
      </w:r>
    </w:p>
    <w:p w14:paraId="7326C424" w14:textId="77777777" w:rsidR="00EF3DFB" w:rsidRDefault="00EF3DFB">
      <w:pPr>
        <w:pStyle w:val="BodyText"/>
        <w:spacing w:before="7"/>
        <w:rPr>
          <w:sz w:val="21"/>
        </w:rPr>
      </w:pPr>
    </w:p>
    <w:p w14:paraId="7326C425" w14:textId="77777777" w:rsidR="00EF3DFB" w:rsidRDefault="00D27C17">
      <w:pPr>
        <w:pStyle w:val="BodyText"/>
        <w:ind w:left="190" w:right="167"/>
        <w:jc w:val="both"/>
      </w:pPr>
      <w:r>
        <w:t xml:space="preserve">While the negative effects from the COVID-19 global pandemic in the first half of 2020 were material to the Company's operating results, the Company saw positive momentum, which included sales growth during the second half of the year and strong liquidity </w:t>
      </w:r>
      <w:r>
        <w:t>with over $1.4 billion in operating cash flow for the year ended December 31, 2020. The Company believes, however, the extent of the impact of the COVID-19 pandemic to its businesses, operating results, cash flows, liquidity and financial condition will be</w:t>
      </w:r>
      <w:r>
        <w:t xml:space="preserve"> primarily driven by the severity and duration of the pandemic, the impact of new strains and variants of the coronavirus, the pandemic’s impact on the U.S. and global economies and the timing, scope and effectiveness of federal, state and local government</w:t>
      </w:r>
      <w:r>
        <w:t>al plans to administer vaccines to the general public, especially in areas where conditions have recently worsened and lockdowns or travel bans have been reinstituted. Those primary drivers are beyond the Company's knowledge and control, and as a result, a</w:t>
      </w:r>
      <w:r>
        <w:t>t this time it is difficult to predict the cumulative impact, both in terms of severity and duration, COVID-19 will have on its future sales, operating results, cash flows and financial condition. Furthermore, the impact to the Company's businesses, operat</w:t>
      </w:r>
      <w:r>
        <w:t>ing results, cash flows, liquidity and financial condition may be further adversely impacted if the COVID-19 global pandemic continues to exist or worsens for a prolonged period of time or if plans to administer vaccines are</w:t>
      </w:r>
      <w:r>
        <w:rPr>
          <w:spacing w:val="-15"/>
        </w:rPr>
        <w:t xml:space="preserve"> </w:t>
      </w:r>
      <w:r>
        <w:t>delayed.</w:t>
      </w:r>
    </w:p>
    <w:p w14:paraId="7326C426" w14:textId="77777777" w:rsidR="00EF3DFB" w:rsidRDefault="00EF3DFB">
      <w:pPr>
        <w:pStyle w:val="BodyText"/>
        <w:spacing w:before="10"/>
      </w:pPr>
    </w:p>
    <w:p w14:paraId="7326C427" w14:textId="77777777" w:rsidR="00EF3DFB" w:rsidRDefault="00D27C17">
      <w:pPr>
        <w:pStyle w:val="BodyText"/>
        <w:spacing w:before="1" w:line="249" w:lineRule="auto"/>
        <w:ind w:left="190" w:right="167"/>
        <w:jc w:val="both"/>
      </w:pPr>
      <w:r>
        <w:t>Management’s applicat</w:t>
      </w:r>
      <w:r>
        <w:t>ion of U.S. GAAP in preparing the Company's audited consolidated financial statements requires the pervasive use of estimates and assumptions. As discussed above, the world continues to be impacted by the global COVID-19 pandemic which has required greater</w:t>
      </w:r>
      <w:r>
        <w:t xml:space="preserve"> use of estimates and assumptions in the preparation of the consolidated financial statements, more specifically, those estimates and assumptions utilized in the Company’s forecasted cash flows that form the basis in developing the fair values utilized in </w:t>
      </w:r>
      <w:r>
        <w:t xml:space="preserve">its impairment assessments as well as annual effective tax rate. This has included assumptions as to the duration and severity of the pandemic, timing and amount of demand shifts amongst sales channels, workforce availability, supply chain continuity, and </w:t>
      </w:r>
      <w:r>
        <w:t>timing as to a return to normalcy. Although the Company has made its best estimates based upon current information, the effects of the COVID-19 pandemic on its business may result in future changes to management’s estimates and assumptions, especially if t</w:t>
      </w:r>
      <w:r>
        <w:t>he severity of the pandemic continues to exist or worsens for a prolonged period of time or if plans to administer the vaccines are delayed. Actual results could materially differ from the estimates and assumptions developed by management. If so, the Compa</w:t>
      </w:r>
      <w:r>
        <w:t>ny may be subject to future incremental impairment charges as well as changes to recorded reserves and</w:t>
      </w:r>
      <w:r>
        <w:rPr>
          <w:spacing w:val="-1"/>
        </w:rPr>
        <w:t xml:space="preserve"> </w:t>
      </w:r>
      <w:r>
        <w:t>valuations.</w:t>
      </w:r>
    </w:p>
    <w:p w14:paraId="7326C428" w14:textId="77777777" w:rsidR="00EF3DFB" w:rsidRDefault="00EF3DFB">
      <w:pPr>
        <w:pStyle w:val="BodyText"/>
        <w:spacing w:before="5"/>
        <w:rPr>
          <w:sz w:val="21"/>
        </w:rPr>
      </w:pPr>
    </w:p>
    <w:p w14:paraId="7326C429" w14:textId="77777777" w:rsidR="00EF3DFB" w:rsidRDefault="00D27C17">
      <w:pPr>
        <w:pStyle w:val="Heading2"/>
      </w:pPr>
      <w:r>
        <w:t>Other Items</w:t>
      </w:r>
    </w:p>
    <w:p w14:paraId="7326C42A" w14:textId="77777777" w:rsidR="00EF3DFB" w:rsidRDefault="00EF3DFB">
      <w:pPr>
        <w:pStyle w:val="BodyText"/>
        <w:rPr>
          <w:b/>
          <w:sz w:val="22"/>
        </w:rPr>
      </w:pPr>
    </w:p>
    <w:p w14:paraId="7326C42B" w14:textId="77777777" w:rsidR="00EF3DFB" w:rsidRDefault="00D27C17">
      <w:pPr>
        <w:pStyle w:val="BodyText"/>
        <w:spacing w:line="249" w:lineRule="auto"/>
        <w:ind w:left="190" w:right="168"/>
        <w:jc w:val="both"/>
      </w:pPr>
      <w:r>
        <w:t>At December 31, 2020, the Company held a 23.4% investment in FireAngel Safety Technology Group PLC (formerly known as Sprue Aegis PLC) (“FireAngel”), which the Company accounts for under the equity method of accounting. During 2019, the Company recorded an</w:t>
      </w:r>
      <w:r>
        <w:t xml:space="preserve"> other-than-temporary impairment of approximately $12 million. The Company's carrying value of its investment in FireAngel was $3 million and $4 million at December 31, 2020 and 2019, respectively. On March 31, 2018, the Company terminated its distribution</w:t>
      </w:r>
      <w:r>
        <w:t xml:space="preserve"> agreement with FireAngel. There were no related party sales to FireAngel during 2020 and 2019 and $8 million during</w:t>
      </w:r>
      <w:r>
        <w:rPr>
          <w:spacing w:val="-1"/>
        </w:rPr>
        <w:t xml:space="preserve"> </w:t>
      </w:r>
      <w:r>
        <w:t>2018.</w:t>
      </w:r>
    </w:p>
    <w:p w14:paraId="7326C42C" w14:textId="77777777" w:rsidR="00EF3DFB" w:rsidRDefault="00EF3DFB">
      <w:pPr>
        <w:pStyle w:val="BodyText"/>
        <w:spacing w:before="3"/>
        <w:rPr>
          <w:sz w:val="21"/>
        </w:rPr>
      </w:pPr>
    </w:p>
    <w:p w14:paraId="7326C42D" w14:textId="77777777" w:rsidR="00EF3DFB" w:rsidRDefault="00D27C17">
      <w:pPr>
        <w:pStyle w:val="BodyText"/>
        <w:spacing w:line="249" w:lineRule="auto"/>
        <w:ind w:left="190" w:right="170"/>
        <w:jc w:val="both"/>
      </w:pPr>
      <w:r>
        <w:t>For 2020, 2019 and 2018, the income attributable to non-controlling interests was $1 million, $2 million and $2 million, respectivel</w:t>
      </w:r>
      <w:r>
        <w:t>y.</w:t>
      </w:r>
    </w:p>
    <w:p w14:paraId="7326C42E" w14:textId="77777777" w:rsidR="00EF3DFB" w:rsidRDefault="00EF3DFB">
      <w:pPr>
        <w:spacing w:line="249" w:lineRule="auto"/>
        <w:jc w:val="both"/>
        <w:sectPr w:rsidR="00EF3DFB">
          <w:pgSz w:w="12240" w:h="15840"/>
          <w:pgMar w:top="600" w:right="640" w:bottom="480" w:left="620" w:header="0" w:footer="291" w:gutter="0"/>
          <w:cols w:space="720"/>
        </w:sectPr>
      </w:pPr>
    </w:p>
    <w:p w14:paraId="7326C42F" w14:textId="77777777" w:rsidR="00EF3DFB" w:rsidRDefault="00D27C17">
      <w:pPr>
        <w:pStyle w:val="Heading2"/>
        <w:spacing w:before="68"/>
      </w:pPr>
      <w:r>
        <w:lastRenderedPageBreak/>
        <w:t>Significant Accounting Policies</w:t>
      </w:r>
    </w:p>
    <w:p w14:paraId="7326C430" w14:textId="77777777" w:rsidR="00EF3DFB" w:rsidRDefault="00EF3DFB">
      <w:pPr>
        <w:pStyle w:val="BodyText"/>
        <w:spacing w:before="1"/>
        <w:rPr>
          <w:b/>
          <w:sz w:val="22"/>
        </w:rPr>
      </w:pPr>
    </w:p>
    <w:p w14:paraId="7326C431" w14:textId="77777777" w:rsidR="00EF3DFB" w:rsidRDefault="00D27C17">
      <w:pPr>
        <w:ind w:left="190"/>
        <w:jc w:val="both"/>
        <w:rPr>
          <w:i/>
          <w:sz w:val="20"/>
        </w:rPr>
      </w:pPr>
      <w:r>
        <w:rPr>
          <w:i/>
          <w:sz w:val="20"/>
        </w:rPr>
        <w:t>Concentration of Credit Risk</w:t>
      </w:r>
    </w:p>
    <w:p w14:paraId="7326C432" w14:textId="77777777" w:rsidR="00EF3DFB" w:rsidRDefault="00EF3DFB">
      <w:pPr>
        <w:pStyle w:val="BodyText"/>
        <w:spacing w:before="8"/>
        <w:rPr>
          <w:i/>
          <w:sz w:val="21"/>
        </w:rPr>
      </w:pPr>
    </w:p>
    <w:p w14:paraId="7326C433" w14:textId="77777777" w:rsidR="00EF3DFB" w:rsidRDefault="00D27C17">
      <w:pPr>
        <w:pStyle w:val="BodyText"/>
        <w:spacing w:line="249" w:lineRule="auto"/>
        <w:ind w:left="190" w:right="168"/>
        <w:jc w:val="both"/>
      </w:pPr>
      <w:r>
        <w:t>The Company’s forward exchange contracts do not subject the Company to risk due to foreign exchange rate movement, because gains and losses on these instruments generally offse</w:t>
      </w:r>
      <w:r>
        <w:t>t gains and losses on the assets, liabilities and other transactions being hedged. The Company is exposed to credit-related losses in the event of non-performance by counterparties to certain derivative financial instruments. The Company does not obtain co</w:t>
      </w:r>
      <w:r>
        <w:t>llateral or other security to support derivative financial instruments subject to credit risk, but monitors the credit standing of its counterparties.</w:t>
      </w:r>
    </w:p>
    <w:p w14:paraId="7326C434" w14:textId="77777777" w:rsidR="00EF3DFB" w:rsidRDefault="00EF3DFB">
      <w:pPr>
        <w:pStyle w:val="BodyText"/>
        <w:spacing w:before="3"/>
        <w:rPr>
          <w:sz w:val="21"/>
        </w:rPr>
      </w:pPr>
    </w:p>
    <w:p w14:paraId="7326C435" w14:textId="77777777" w:rsidR="00EF3DFB" w:rsidRDefault="00D27C17">
      <w:pPr>
        <w:ind w:left="190"/>
        <w:jc w:val="both"/>
        <w:rPr>
          <w:i/>
          <w:sz w:val="20"/>
        </w:rPr>
      </w:pPr>
      <w:r>
        <w:rPr>
          <w:i/>
          <w:sz w:val="20"/>
        </w:rPr>
        <w:t>Revenue Recognition</w:t>
      </w:r>
    </w:p>
    <w:p w14:paraId="7326C436" w14:textId="77777777" w:rsidR="00EF3DFB" w:rsidRDefault="00EF3DFB">
      <w:pPr>
        <w:pStyle w:val="BodyText"/>
        <w:spacing w:before="8"/>
        <w:rPr>
          <w:i/>
          <w:sz w:val="21"/>
        </w:rPr>
      </w:pPr>
    </w:p>
    <w:p w14:paraId="7326C437" w14:textId="77777777" w:rsidR="00EF3DFB" w:rsidRDefault="00D27C17">
      <w:pPr>
        <w:pStyle w:val="BodyText"/>
        <w:spacing w:line="249" w:lineRule="auto"/>
        <w:ind w:left="190" w:right="169"/>
        <w:jc w:val="both"/>
      </w:pPr>
      <w:r>
        <w:t>The Company recognizes revenue when performance obligations under the terms of a co</w:t>
      </w:r>
      <w:r>
        <w:t>ntract with the customer are satisfied and are recognized at a point in time, which generally occurs either on shipment or on delivery based on contractual terms, which is also when control is transferred. The Company’s primary performance obligation is th</w:t>
      </w:r>
      <w:r>
        <w:t>e distribution and sales of its consumer and commercial products to its customers. In the normal course of business, the Company offers warranties for a variety of its products. The specific terms and conditions of the warranties vary depending upon the sp</w:t>
      </w:r>
      <w:r>
        <w:t>ecific product and markets in which the products were sold. The Company accrues for the estimated cost of product warranty at the time of sale based on historical experience.</w:t>
      </w:r>
    </w:p>
    <w:p w14:paraId="7326C438" w14:textId="77777777" w:rsidR="00EF3DFB" w:rsidRDefault="00EF3DFB">
      <w:pPr>
        <w:pStyle w:val="BodyText"/>
        <w:spacing w:before="4"/>
        <w:rPr>
          <w:sz w:val="21"/>
        </w:rPr>
      </w:pPr>
    </w:p>
    <w:p w14:paraId="7326C439" w14:textId="77777777" w:rsidR="00EF3DFB" w:rsidRDefault="00D27C17">
      <w:pPr>
        <w:pStyle w:val="BodyText"/>
        <w:spacing w:line="249" w:lineRule="auto"/>
        <w:ind w:left="190" w:right="168"/>
        <w:jc w:val="both"/>
      </w:pPr>
      <w:r>
        <w:t>Revenue is measured as the amount of consideration for which it expects to be en</w:t>
      </w:r>
      <w:r>
        <w:t>titled in exchange for transferring goods or providing services. Certain customers may receive cash and/or non-cash incentives such as cash discounts, returns, credits or reimbursements related to defective products, customer discounts (such as volume or t</w:t>
      </w:r>
      <w:r>
        <w:t>rade discounts), cooperative advertising and other customer-related programs, which are accounted for as variable consideration. In some cases, the Company must apply judgment, including contractual rates and historical payment trends, when estimating vari</w:t>
      </w:r>
      <w:r>
        <w:t xml:space="preserve">able consideration. In addition, the Company participates in various programs and arrangements with customers designed to increase the sale of products by these customers. Among the programs negotiated are arrangements under which allowances are earned by </w:t>
      </w:r>
      <w:r>
        <w:t>customers for attaining agreed- upon sales levels or for participating in specific marketing programs. Coupon programs are also developed on a customer- and territory-specific basis with the intent of increasing sales by all customers.</w:t>
      </w:r>
    </w:p>
    <w:p w14:paraId="7326C43A" w14:textId="77777777" w:rsidR="00EF3DFB" w:rsidRDefault="00EF3DFB">
      <w:pPr>
        <w:pStyle w:val="BodyText"/>
        <w:spacing w:before="5"/>
        <w:rPr>
          <w:sz w:val="21"/>
        </w:rPr>
      </w:pPr>
    </w:p>
    <w:p w14:paraId="7326C43B" w14:textId="77777777" w:rsidR="00EF3DFB" w:rsidRDefault="00D27C17">
      <w:pPr>
        <w:pStyle w:val="BodyText"/>
        <w:spacing w:before="1" w:line="249" w:lineRule="auto"/>
        <w:ind w:left="190" w:right="168"/>
        <w:jc w:val="both"/>
      </w:pPr>
      <w:r>
        <w:t>Under customer prog</w:t>
      </w:r>
      <w:r>
        <w:t>rams and arrangements that require sales incentives to be paid in advance, the Company amortizes the amount paid over the period of benefit or contractual sales volume. When incentives are paid in arrears, the Company accrues the estimated amount to be pai</w:t>
      </w:r>
      <w:r>
        <w:t xml:space="preserve">d based on the program’s contractual terms, expected customer performance and/or estimated sales volume. These estimates are determined using historical customer experience and other factors, which sometimes require significant judgment. Due to the length </w:t>
      </w:r>
      <w:r>
        <w:t>of time necessary to obtain relevant data from customers, among other factors, actual amounts paid can differ from these estimates.</w:t>
      </w:r>
    </w:p>
    <w:p w14:paraId="7326C43C" w14:textId="77777777" w:rsidR="00EF3DFB" w:rsidRDefault="00EF3DFB">
      <w:pPr>
        <w:pStyle w:val="BodyText"/>
        <w:spacing w:before="3"/>
        <w:rPr>
          <w:sz w:val="21"/>
        </w:rPr>
      </w:pPr>
    </w:p>
    <w:p w14:paraId="7326C43D" w14:textId="77777777" w:rsidR="00EF3DFB" w:rsidRDefault="00D27C17">
      <w:pPr>
        <w:pStyle w:val="BodyText"/>
        <w:spacing w:line="249" w:lineRule="auto"/>
        <w:ind w:left="190" w:right="169"/>
        <w:jc w:val="both"/>
      </w:pPr>
      <w:r>
        <w:t>Sales taxes and other similar taxes are excluded from revenue. The Company elected to account for shipping and handling activities as</w:t>
      </w:r>
      <w:r>
        <w:rPr>
          <w:spacing w:val="-3"/>
        </w:rPr>
        <w:t xml:space="preserve"> </w:t>
      </w:r>
      <w:r>
        <w:t>a</w:t>
      </w:r>
      <w:r>
        <w:rPr>
          <w:spacing w:val="-3"/>
        </w:rPr>
        <w:t xml:space="preserve"> </w:t>
      </w:r>
      <w:r>
        <w:t>fulfillment</w:t>
      </w:r>
      <w:r>
        <w:rPr>
          <w:spacing w:val="-3"/>
        </w:rPr>
        <w:t xml:space="preserve"> </w:t>
      </w:r>
      <w:r>
        <w:t>cost.</w:t>
      </w:r>
      <w:r>
        <w:rPr>
          <w:spacing w:val="-3"/>
        </w:rPr>
        <w:t xml:space="preserve"> </w:t>
      </w:r>
      <w:r>
        <w:t>The</w:t>
      </w:r>
      <w:r>
        <w:rPr>
          <w:spacing w:val="-3"/>
        </w:rPr>
        <w:t xml:space="preserve"> </w:t>
      </w:r>
      <w:r>
        <w:t>Company</w:t>
      </w:r>
      <w:r>
        <w:rPr>
          <w:spacing w:val="-3"/>
        </w:rPr>
        <w:t xml:space="preserve"> </w:t>
      </w:r>
      <w:r>
        <w:t>also</w:t>
      </w:r>
      <w:r>
        <w:rPr>
          <w:spacing w:val="-3"/>
        </w:rPr>
        <w:t xml:space="preserve"> </w:t>
      </w:r>
      <w:r>
        <w:t>elected</w:t>
      </w:r>
      <w:r>
        <w:rPr>
          <w:spacing w:val="-3"/>
        </w:rPr>
        <w:t xml:space="preserve"> </w:t>
      </w:r>
      <w:r>
        <w:t>not</w:t>
      </w:r>
      <w:r>
        <w:rPr>
          <w:spacing w:val="-3"/>
        </w:rPr>
        <w:t xml:space="preserve"> </w:t>
      </w:r>
      <w:r>
        <w:t>to</w:t>
      </w:r>
      <w:r>
        <w:rPr>
          <w:spacing w:val="-3"/>
        </w:rPr>
        <w:t xml:space="preserve"> </w:t>
      </w:r>
      <w:r>
        <w:t>disclose</w:t>
      </w:r>
      <w:r>
        <w:rPr>
          <w:spacing w:val="-3"/>
        </w:rPr>
        <w:t xml:space="preserve"> </w:t>
      </w:r>
      <w:r>
        <w:t>the</w:t>
      </w:r>
      <w:r>
        <w:rPr>
          <w:spacing w:val="-3"/>
        </w:rPr>
        <w:t xml:space="preserve"> </w:t>
      </w:r>
      <w:r>
        <w:t>value</w:t>
      </w:r>
      <w:r>
        <w:rPr>
          <w:spacing w:val="-3"/>
        </w:rPr>
        <w:t xml:space="preserve"> </w:t>
      </w:r>
      <w:r>
        <w:t>of</w:t>
      </w:r>
      <w:r>
        <w:rPr>
          <w:spacing w:val="-3"/>
        </w:rPr>
        <w:t xml:space="preserve"> </w:t>
      </w:r>
      <w:r>
        <w:t>unsatisfied</w:t>
      </w:r>
      <w:r>
        <w:rPr>
          <w:spacing w:val="-3"/>
        </w:rPr>
        <w:t xml:space="preserve"> </w:t>
      </w:r>
      <w:r>
        <w:t>performance</w:t>
      </w:r>
      <w:r>
        <w:rPr>
          <w:spacing w:val="-3"/>
        </w:rPr>
        <w:t xml:space="preserve"> </w:t>
      </w:r>
      <w:r>
        <w:t>obligations</w:t>
      </w:r>
      <w:r>
        <w:rPr>
          <w:spacing w:val="-3"/>
        </w:rPr>
        <w:t xml:space="preserve"> </w:t>
      </w:r>
      <w:r>
        <w:t>for</w:t>
      </w:r>
      <w:r>
        <w:rPr>
          <w:spacing w:val="-3"/>
        </w:rPr>
        <w:t xml:space="preserve"> </w:t>
      </w:r>
      <w:r>
        <w:t>(i)</w:t>
      </w:r>
      <w:r>
        <w:rPr>
          <w:spacing w:val="-3"/>
        </w:rPr>
        <w:t xml:space="preserve"> </w:t>
      </w:r>
      <w:r>
        <w:t>cont</w:t>
      </w:r>
      <w:r>
        <w:t>racts</w:t>
      </w:r>
      <w:r>
        <w:rPr>
          <w:spacing w:val="-3"/>
        </w:rPr>
        <w:t xml:space="preserve"> </w:t>
      </w:r>
      <w:r>
        <w:t>with an original expected length of one year or less and (ii) contracts for which revenue is recognized at the amount to which the Company has the right to invoice for services</w:t>
      </w:r>
      <w:r>
        <w:rPr>
          <w:spacing w:val="-7"/>
        </w:rPr>
        <w:t xml:space="preserve"> </w:t>
      </w:r>
      <w:r>
        <w:t>performed.</w:t>
      </w:r>
    </w:p>
    <w:p w14:paraId="7326C43E" w14:textId="77777777" w:rsidR="00EF3DFB" w:rsidRDefault="00EF3DFB">
      <w:pPr>
        <w:pStyle w:val="BodyText"/>
        <w:spacing w:before="2"/>
        <w:rPr>
          <w:sz w:val="21"/>
        </w:rPr>
      </w:pPr>
    </w:p>
    <w:p w14:paraId="7326C43F" w14:textId="77777777" w:rsidR="00EF3DFB" w:rsidRDefault="00D27C17">
      <w:pPr>
        <w:ind w:left="190"/>
        <w:jc w:val="both"/>
        <w:rPr>
          <w:i/>
          <w:sz w:val="20"/>
        </w:rPr>
      </w:pPr>
      <w:r>
        <w:rPr>
          <w:i/>
          <w:sz w:val="20"/>
        </w:rPr>
        <w:t>Goodwill and Indefinite-Lived Intangibles</w:t>
      </w:r>
    </w:p>
    <w:p w14:paraId="7326C440" w14:textId="77777777" w:rsidR="00EF3DFB" w:rsidRDefault="00EF3DFB">
      <w:pPr>
        <w:pStyle w:val="BodyText"/>
        <w:spacing w:before="8"/>
        <w:rPr>
          <w:i/>
          <w:sz w:val="21"/>
        </w:rPr>
      </w:pPr>
    </w:p>
    <w:p w14:paraId="7326C441" w14:textId="77777777" w:rsidR="00EF3DFB" w:rsidRDefault="00D27C17">
      <w:pPr>
        <w:pStyle w:val="BodyText"/>
        <w:spacing w:line="249" w:lineRule="auto"/>
        <w:ind w:left="190" w:right="170"/>
        <w:jc w:val="both"/>
      </w:pPr>
      <w:r>
        <w:t>Goodwill and indefinite-</w:t>
      </w:r>
      <w:r>
        <w:t>lived intangibles are tested and reviewed for impairment annually during the fourth quarter (on December 1), or more frequently if facts and circumstances warrant.</w:t>
      </w:r>
    </w:p>
    <w:p w14:paraId="7326C442" w14:textId="77777777" w:rsidR="00EF3DFB" w:rsidRDefault="00EF3DFB">
      <w:pPr>
        <w:pStyle w:val="BodyText"/>
        <w:spacing w:before="1"/>
        <w:rPr>
          <w:sz w:val="21"/>
        </w:rPr>
      </w:pPr>
    </w:p>
    <w:p w14:paraId="7326C443" w14:textId="77777777" w:rsidR="00EF3DFB" w:rsidRDefault="00D27C17">
      <w:pPr>
        <w:ind w:left="190"/>
        <w:jc w:val="both"/>
        <w:rPr>
          <w:i/>
          <w:sz w:val="20"/>
        </w:rPr>
      </w:pPr>
      <w:r>
        <w:rPr>
          <w:i/>
          <w:sz w:val="20"/>
          <w:u w:val="single"/>
        </w:rPr>
        <w:t>Goodwill</w:t>
      </w:r>
    </w:p>
    <w:p w14:paraId="7326C444" w14:textId="77777777" w:rsidR="00EF3DFB" w:rsidRDefault="00EF3DFB">
      <w:pPr>
        <w:pStyle w:val="BodyText"/>
        <w:spacing w:before="8"/>
        <w:rPr>
          <w:i/>
          <w:sz w:val="13"/>
        </w:rPr>
      </w:pPr>
    </w:p>
    <w:p w14:paraId="7326C445" w14:textId="77777777" w:rsidR="00EF3DFB" w:rsidRDefault="00D27C17">
      <w:pPr>
        <w:pStyle w:val="BodyText"/>
        <w:spacing w:before="92" w:line="249" w:lineRule="auto"/>
        <w:ind w:left="190" w:right="169"/>
        <w:jc w:val="both"/>
      </w:pPr>
      <w:r>
        <w:t>Goodwill is tested for impairment at a reporting unit level, and all of the Compa</w:t>
      </w:r>
      <w:r>
        <w:t>ny’s goodwill is assigned to its reporting units. Reporting units are determined based upon the Company’s organizational structure in place at the date of the goodwill impairment testing and generally one level below the operating segment level. The Compan</w:t>
      </w:r>
      <w:r>
        <w:t>y’s operations are comprised of eight reporting units, within its five primary operating segments.</w:t>
      </w:r>
    </w:p>
    <w:p w14:paraId="7326C446" w14:textId="77777777" w:rsidR="00EF3DFB" w:rsidRDefault="00EF3DFB">
      <w:pPr>
        <w:pStyle w:val="BodyText"/>
        <w:spacing w:before="2"/>
        <w:rPr>
          <w:sz w:val="21"/>
        </w:rPr>
      </w:pPr>
    </w:p>
    <w:p w14:paraId="7326C447" w14:textId="77777777" w:rsidR="00EF3DFB" w:rsidRDefault="00D27C17">
      <w:pPr>
        <w:pStyle w:val="BodyText"/>
        <w:spacing w:line="249" w:lineRule="auto"/>
        <w:ind w:left="190" w:right="170"/>
        <w:jc w:val="both"/>
      </w:pPr>
      <w:r>
        <w:t>The Company may use a qualitative approach, and when appropriate, has bypassed the qualitative and used a quantitative approach, which involves comparing th</w:t>
      </w:r>
      <w:r>
        <w:t>e fair value of each of the reporting units to the carrying value of those reporting units. If the carrying value of a reporting unit exceeds its fair value, an impairment loss would be calculated as the differences between these amounts, limited to the am</w:t>
      </w:r>
      <w:r>
        <w:t>ount of reporting unit goodwill allocated to the reporting unit.</w:t>
      </w:r>
    </w:p>
    <w:p w14:paraId="7326C448" w14:textId="77777777" w:rsidR="00EF3DFB" w:rsidRDefault="00EF3DFB">
      <w:pPr>
        <w:pStyle w:val="BodyText"/>
        <w:spacing w:before="2"/>
        <w:rPr>
          <w:sz w:val="21"/>
        </w:rPr>
      </w:pPr>
    </w:p>
    <w:p w14:paraId="7326C449" w14:textId="77777777" w:rsidR="00EF3DFB" w:rsidRDefault="00D27C17">
      <w:pPr>
        <w:pStyle w:val="BodyText"/>
        <w:spacing w:line="249" w:lineRule="auto"/>
        <w:ind w:left="190" w:right="170"/>
        <w:jc w:val="both"/>
      </w:pPr>
      <w:r>
        <w:t xml:space="preserve">The quantitative goodwill impairment testing requires significant use of judgment and assumptions, such as the identification of reporting units; the assignment of assets and liabilities to </w:t>
      </w:r>
      <w:r>
        <w:t>reporting units; and the estimation of future cash flows, business growth</w:t>
      </w:r>
    </w:p>
    <w:p w14:paraId="7326C44A" w14:textId="77777777" w:rsidR="00EF3DFB" w:rsidRDefault="00EF3DFB">
      <w:pPr>
        <w:spacing w:line="249" w:lineRule="auto"/>
        <w:jc w:val="both"/>
        <w:sectPr w:rsidR="00EF3DFB">
          <w:footerReference w:type="default" r:id="rId18"/>
          <w:pgSz w:w="12240" w:h="15840"/>
          <w:pgMar w:top="600" w:right="640" w:bottom="480" w:left="620" w:header="0" w:footer="291" w:gutter="0"/>
          <w:pgNumType w:start="60"/>
          <w:cols w:space="720"/>
        </w:sectPr>
      </w:pPr>
    </w:p>
    <w:p w14:paraId="7326C44B" w14:textId="77777777" w:rsidR="00EF3DFB" w:rsidRDefault="00D27C17">
      <w:pPr>
        <w:pStyle w:val="BodyText"/>
        <w:spacing w:before="72" w:line="249" w:lineRule="auto"/>
        <w:ind w:left="190" w:right="167"/>
        <w:jc w:val="both"/>
      </w:pPr>
      <w:r>
        <w:lastRenderedPageBreak/>
        <w:t>rates, terminal values, discount rates and total enterprise value. The income approach used is the discounted cash flow methodology and is based on five-year cash flow projections. The cash flows projected are analyzed on a “debt-free” basis (before cash p</w:t>
      </w:r>
      <w:r>
        <w:t>ayments to equity and interest-bearing debt investors) in order to develop an enterprise value from operations for the reporting unit. A provision is made, based on these projections, for the value of the reporting unit at the end of the forecast period, o</w:t>
      </w:r>
      <w:r>
        <w:t xml:space="preserve">r terminal value. The present value of the finite-period cash flows and the terminal value are determined using a selected discount rate. See </w:t>
      </w:r>
      <w:r>
        <w:rPr>
          <w:i/>
        </w:rPr>
        <w:t xml:space="preserve">Footnote 7 </w:t>
      </w:r>
      <w:r>
        <w:t>for further information associated with non-cash goodwill impairment charges resulting from COVID-19 re</w:t>
      </w:r>
      <w:r>
        <w:t>lated trigger events during</w:t>
      </w:r>
      <w:r>
        <w:rPr>
          <w:spacing w:val="-1"/>
        </w:rPr>
        <w:t xml:space="preserve"> </w:t>
      </w:r>
      <w:r>
        <w:t>2020.</w:t>
      </w:r>
    </w:p>
    <w:p w14:paraId="7326C44C" w14:textId="77777777" w:rsidR="00EF3DFB" w:rsidRDefault="00EF3DFB">
      <w:pPr>
        <w:pStyle w:val="BodyText"/>
        <w:spacing w:before="4"/>
        <w:rPr>
          <w:sz w:val="21"/>
        </w:rPr>
      </w:pPr>
    </w:p>
    <w:p w14:paraId="7326C44D" w14:textId="77777777" w:rsidR="00EF3DFB" w:rsidRDefault="00D27C17">
      <w:pPr>
        <w:ind w:left="190"/>
        <w:jc w:val="both"/>
        <w:rPr>
          <w:i/>
          <w:sz w:val="20"/>
        </w:rPr>
      </w:pPr>
      <w:r>
        <w:rPr>
          <w:i/>
          <w:sz w:val="20"/>
          <w:u w:val="single"/>
        </w:rPr>
        <w:t>Indefinite-lived intangibles</w:t>
      </w:r>
    </w:p>
    <w:p w14:paraId="7326C44E" w14:textId="77777777" w:rsidR="00EF3DFB" w:rsidRDefault="00EF3DFB">
      <w:pPr>
        <w:pStyle w:val="BodyText"/>
        <w:spacing w:before="9"/>
        <w:rPr>
          <w:i/>
          <w:sz w:val="13"/>
        </w:rPr>
      </w:pPr>
    </w:p>
    <w:p w14:paraId="7326C44F" w14:textId="77777777" w:rsidR="00EF3DFB" w:rsidRDefault="00D27C17">
      <w:pPr>
        <w:pStyle w:val="BodyText"/>
        <w:spacing w:before="91" w:line="249" w:lineRule="auto"/>
        <w:ind w:left="190" w:right="168"/>
        <w:jc w:val="both"/>
      </w:pPr>
      <w:r>
        <w:t>The testing of indefinite-lived intangibles (primarily trademarks and tradenames) under established guidelines for impairment also requires significant use of judgment and assumptions (such a</w:t>
      </w:r>
      <w:r>
        <w:t>s cash flow projections, royalty rates, terminal values and discount rates). An indefinite-lived intangible asset is impaired by the amount its carrying value exceeds its estimated fair value. For impairment testing purposes, the fair value of indefinite-l</w:t>
      </w:r>
      <w:r>
        <w:t>ived intangibles is determined using either the relief from royalty method or the excess earnings method. The relief from royalty method estimates the value of a tradename by discounting the hypothetical avoided royalty payments to their present value over</w:t>
      </w:r>
      <w:r>
        <w:t xml:space="preserve"> the economic life of the asset. The excess earnings method estimates the value of the intangible asset by quantifying the residual (or excess) cash flows generated by the asset and discounts those cash flows to the present. The excess earnings methodology</w:t>
      </w:r>
      <w:r>
        <w:t xml:space="preserve"> requires the application of contributory asset charges. Contributory asset charges typically include assumed payments for the use of working capital, tangible assets and other intangible assets. Changes in forecasted operations and other assumptions could</w:t>
      </w:r>
      <w:r>
        <w:t xml:space="preserve"> materially affect the estimated fair values. Changes in business conditions could potentially require adjustments to these asset valuations. See </w:t>
      </w:r>
      <w:r>
        <w:rPr>
          <w:i/>
        </w:rPr>
        <w:t xml:space="preserve">Footnote 7 </w:t>
      </w:r>
      <w:r>
        <w:t>for further information associated with non-cash indefinite-lived intangible asset impairment charg</w:t>
      </w:r>
      <w:r>
        <w:t>es resulting from COVID-19 related trigger events during</w:t>
      </w:r>
      <w:r>
        <w:rPr>
          <w:spacing w:val="-13"/>
        </w:rPr>
        <w:t xml:space="preserve"> </w:t>
      </w:r>
      <w:r>
        <w:t>2020.</w:t>
      </w:r>
    </w:p>
    <w:p w14:paraId="7326C450" w14:textId="77777777" w:rsidR="00EF3DFB" w:rsidRDefault="00EF3DFB">
      <w:pPr>
        <w:pStyle w:val="BodyText"/>
        <w:spacing w:before="9"/>
        <w:rPr>
          <w:sz w:val="21"/>
        </w:rPr>
      </w:pPr>
    </w:p>
    <w:p w14:paraId="7326C451" w14:textId="77777777" w:rsidR="00EF3DFB" w:rsidRDefault="00D27C17">
      <w:pPr>
        <w:ind w:left="190"/>
        <w:jc w:val="both"/>
        <w:rPr>
          <w:i/>
          <w:sz w:val="20"/>
        </w:rPr>
      </w:pPr>
      <w:r>
        <w:rPr>
          <w:i/>
          <w:sz w:val="20"/>
        </w:rPr>
        <w:t>Other Long-Lived Assets</w:t>
      </w:r>
    </w:p>
    <w:p w14:paraId="7326C452" w14:textId="77777777" w:rsidR="00EF3DFB" w:rsidRDefault="00EF3DFB">
      <w:pPr>
        <w:pStyle w:val="BodyText"/>
        <w:spacing w:before="8"/>
        <w:rPr>
          <w:i/>
          <w:sz w:val="21"/>
        </w:rPr>
      </w:pPr>
    </w:p>
    <w:p w14:paraId="7326C453" w14:textId="77777777" w:rsidR="00EF3DFB" w:rsidRDefault="00D27C17">
      <w:pPr>
        <w:pStyle w:val="BodyText"/>
        <w:spacing w:line="249" w:lineRule="auto"/>
        <w:ind w:left="190" w:right="167"/>
        <w:jc w:val="both"/>
      </w:pPr>
      <w:r>
        <w:t>The Company continuously evaluates whether impairment indicators related to its property, plant and equipment, operating leases and other long-lived assets are present</w:t>
      </w:r>
      <w:r>
        <w:t>. These impairment indicators may include a significant decrease in the market price of a long-lived</w:t>
      </w:r>
      <w:r>
        <w:rPr>
          <w:spacing w:val="-3"/>
        </w:rPr>
        <w:t xml:space="preserve"> </w:t>
      </w:r>
      <w:r>
        <w:t>asset</w:t>
      </w:r>
      <w:r>
        <w:rPr>
          <w:spacing w:val="-3"/>
        </w:rPr>
        <w:t xml:space="preserve"> </w:t>
      </w:r>
      <w:r>
        <w:t>or</w:t>
      </w:r>
      <w:r>
        <w:rPr>
          <w:spacing w:val="-3"/>
        </w:rPr>
        <w:t xml:space="preserve"> </w:t>
      </w:r>
      <w:r>
        <w:t>asset</w:t>
      </w:r>
      <w:r>
        <w:rPr>
          <w:spacing w:val="-3"/>
        </w:rPr>
        <w:t xml:space="preserve"> </w:t>
      </w:r>
      <w:r>
        <w:t>group,</w:t>
      </w:r>
      <w:r>
        <w:rPr>
          <w:spacing w:val="-3"/>
        </w:rPr>
        <w:t xml:space="preserve"> </w:t>
      </w:r>
      <w:r>
        <w:t>early</w:t>
      </w:r>
      <w:r>
        <w:rPr>
          <w:spacing w:val="-3"/>
        </w:rPr>
        <w:t xml:space="preserve"> </w:t>
      </w:r>
      <w:r>
        <w:t>termination</w:t>
      </w:r>
      <w:r>
        <w:rPr>
          <w:spacing w:val="-3"/>
        </w:rPr>
        <w:t xml:space="preserve"> </w:t>
      </w:r>
      <w:r>
        <w:t>of</w:t>
      </w:r>
      <w:r>
        <w:rPr>
          <w:spacing w:val="-3"/>
        </w:rPr>
        <w:t xml:space="preserve"> </w:t>
      </w:r>
      <w:r>
        <w:t>an</w:t>
      </w:r>
      <w:r>
        <w:rPr>
          <w:spacing w:val="-3"/>
        </w:rPr>
        <w:t xml:space="preserve"> </w:t>
      </w:r>
      <w:r>
        <w:t>operating</w:t>
      </w:r>
      <w:r>
        <w:rPr>
          <w:spacing w:val="-3"/>
        </w:rPr>
        <w:t xml:space="preserve"> </w:t>
      </w:r>
      <w:r>
        <w:t>lease,</w:t>
      </w:r>
      <w:r>
        <w:rPr>
          <w:spacing w:val="-3"/>
        </w:rPr>
        <w:t xml:space="preserve"> </w:t>
      </w:r>
      <w:r>
        <w:t>a</w:t>
      </w:r>
      <w:r>
        <w:rPr>
          <w:spacing w:val="-3"/>
        </w:rPr>
        <w:t xml:space="preserve"> </w:t>
      </w:r>
      <w:r>
        <w:t>significant</w:t>
      </w:r>
      <w:r>
        <w:rPr>
          <w:spacing w:val="-3"/>
        </w:rPr>
        <w:t xml:space="preserve"> </w:t>
      </w:r>
      <w:r>
        <w:t>adverse</w:t>
      </w:r>
      <w:r>
        <w:rPr>
          <w:spacing w:val="-3"/>
        </w:rPr>
        <w:t xml:space="preserve"> </w:t>
      </w:r>
      <w:r>
        <w:t>change</w:t>
      </w:r>
      <w:r>
        <w:rPr>
          <w:spacing w:val="-3"/>
        </w:rPr>
        <w:t xml:space="preserve"> </w:t>
      </w:r>
      <w:r>
        <w:t>in</w:t>
      </w:r>
      <w:r>
        <w:rPr>
          <w:spacing w:val="-3"/>
        </w:rPr>
        <w:t xml:space="preserve"> </w:t>
      </w:r>
      <w:r>
        <w:t>the</w:t>
      </w:r>
      <w:r>
        <w:rPr>
          <w:spacing w:val="-3"/>
        </w:rPr>
        <w:t xml:space="preserve"> </w:t>
      </w:r>
      <w:r>
        <w:t>extent</w:t>
      </w:r>
      <w:r>
        <w:rPr>
          <w:spacing w:val="-3"/>
        </w:rPr>
        <w:t xml:space="preserve"> </w:t>
      </w:r>
      <w:r>
        <w:t>or</w:t>
      </w:r>
      <w:r>
        <w:rPr>
          <w:spacing w:val="-3"/>
        </w:rPr>
        <w:t xml:space="preserve"> </w:t>
      </w:r>
      <w:r>
        <w:t>manner</w:t>
      </w:r>
      <w:r>
        <w:rPr>
          <w:spacing w:val="-3"/>
        </w:rPr>
        <w:t xml:space="preserve"> </w:t>
      </w:r>
      <w:r>
        <w:t>in</w:t>
      </w:r>
      <w:r>
        <w:rPr>
          <w:spacing w:val="-3"/>
        </w:rPr>
        <w:t xml:space="preserve"> </w:t>
      </w:r>
      <w:r>
        <w:t>which a long-lived asset or asset group is being used or in its physical condition, or a current-period operating or cash flow loss combined with a history of operating or cash flow losses or a forecast that demonstrates continuing losses associated with t</w:t>
      </w:r>
      <w:r>
        <w:t xml:space="preserve">he use of a long- lived asset or asset group. If impairment indicators are present, the Company estimates the future cash flows for the asset or group of assets. The sum of the undiscounted future cash flows attributable to the asset or group of assets is </w:t>
      </w:r>
      <w:r>
        <w:t xml:space="preserve">compared to their carrying amount. The cash flows are estimated utilizing various assumptions regarding future sales and expenses, working capital and proceeds from asset disposals on a basis consistent with the Company’s forecasts. If the carrying amount </w:t>
      </w:r>
      <w:r>
        <w:t>exceeds the sum of the undiscounted future cash flows, the Company discounts the future cash flows using a discount rate required for a similar investment of like risk and records an impairment charge as the difference between the fair value and the carryi</w:t>
      </w:r>
      <w:r>
        <w:t>ng value of the asset group. Generally, the Company performs its testing of the asset group at the reporting unit level, as this is the lowest level for which identifiable cash flows are available. As a result of COVID-19 related trigger events during 2020</w:t>
      </w:r>
      <w:r>
        <w:t xml:space="preserve">, the Company recorded non-cash impairment charges for certain operating lease assets. See </w:t>
      </w:r>
      <w:r>
        <w:rPr>
          <w:i/>
        </w:rPr>
        <w:t xml:space="preserve">Footnote 13 </w:t>
      </w:r>
      <w:r>
        <w:t>for further</w:t>
      </w:r>
      <w:r>
        <w:rPr>
          <w:spacing w:val="-12"/>
        </w:rPr>
        <w:t xml:space="preserve"> </w:t>
      </w:r>
      <w:r>
        <w:t>information.</w:t>
      </w:r>
    </w:p>
    <w:p w14:paraId="7326C454" w14:textId="77777777" w:rsidR="00EF3DFB" w:rsidRDefault="00EF3DFB">
      <w:pPr>
        <w:pStyle w:val="BodyText"/>
        <w:spacing w:before="10"/>
        <w:rPr>
          <w:sz w:val="21"/>
        </w:rPr>
      </w:pPr>
    </w:p>
    <w:p w14:paraId="7326C455" w14:textId="77777777" w:rsidR="00EF3DFB" w:rsidRDefault="00D27C17">
      <w:pPr>
        <w:ind w:left="190"/>
        <w:jc w:val="both"/>
        <w:rPr>
          <w:i/>
          <w:sz w:val="20"/>
        </w:rPr>
      </w:pPr>
      <w:r>
        <w:rPr>
          <w:i/>
          <w:sz w:val="20"/>
        </w:rPr>
        <w:t>Income Taxes</w:t>
      </w:r>
    </w:p>
    <w:p w14:paraId="7326C456" w14:textId="77777777" w:rsidR="00EF3DFB" w:rsidRDefault="00EF3DFB">
      <w:pPr>
        <w:pStyle w:val="BodyText"/>
        <w:spacing w:before="9"/>
        <w:rPr>
          <w:i/>
          <w:sz w:val="21"/>
        </w:rPr>
      </w:pPr>
    </w:p>
    <w:p w14:paraId="7326C457" w14:textId="77777777" w:rsidR="00EF3DFB" w:rsidRDefault="00D27C17">
      <w:pPr>
        <w:pStyle w:val="BodyText"/>
        <w:spacing w:line="249" w:lineRule="auto"/>
        <w:ind w:left="190" w:right="168"/>
        <w:jc w:val="both"/>
      </w:pPr>
      <w:r>
        <w:t>The Company accounts for deferred income taxes using the asset and liability approach. Under this approach, defer</w:t>
      </w:r>
      <w:r>
        <w:t>red income taxes are recognized based on the tax effects of temporary differences between the financial statement and tax bases of assets and liabilities, as measured by current enacted tax rates. Valuation allowances are recorded to reduce the deferred ta</w:t>
      </w:r>
      <w:r>
        <w:t>x assets to an amount that will more likely than not be</w:t>
      </w:r>
      <w:r>
        <w:rPr>
          <w:spacing w:val="-8"/>
        </w:rPr>
        <w:t xml:space="preserve"> </w:t>
      </w:r>
      <w:r>
        <w:t>realized.</w:t>
      </w:r>
    </w:p>
    <w:p w14:paraId="7326C458" w14:textId="77777777" w:rsidR="00EF3DFB" w:rsidRDefault="00EF3DFB">
      <w:pPr>
        <w:pStyle w:val="BodyText"/>
        <w:spacing w:before="1"/>
        <w:rPr>
          <w:sz w:val="21"/>
        </w:rPr>
      </w:pPr>
    </w:p>
    <w:p w14:paraId="7326C459" w14:textId="77777777" w:rsidR="00EF3DFB" w:rsidRDefault="00D27C17">
      <w:pPr>
        <w:pStyle w:val="BodyText"/>
        <w:spacing w:before="1" w:line="249" w:lineRule="auto"/>
        <w:ind w:left="190" w:right="170"/>
        <w:jc w:val="both"/>
      </w:pPr>
      <w:r>
        <w:t>The Company regularly reviews its deferred tax assets for recoverability considering historical profitability, projected future taxable income, the expected timing of the reversals of existing temporary differences and tax planning strategies.</w:t>
      </w:r>
    </w:p>
    <w:p w14:paraId="7326C45A" w14:textId="77777777" w:rsidR="00EF3DFB" w:rsidRDefault="00EF3DFB">
      <w:pPr>
        <w:pStyle w:val="BodyText"/>
        <w:rPr>
          <w:sz w:val="21"/>
        </w:rPr>
      </w:pPr>
    </w:p>
    <w:p w14:paraId="7326C45B" w14:textId="77777777" w:rsidR="00EF3DFB" w:rsidRDefault="00D27C17">
      <w:pPr>
        <w:pStyle w:val="BodyText"/>
        <w:spacing w:line="249" w:lineRule="auto"/>
        <w:ind w:left="190" w:right="168"/>
        <w:jc w:val="both"/>
      </w:pPr>
      <w:r>
        <w:t>For uncerta</w:t>
      </w:r>
      <w:r>
        <w:t>in tax positions, the Company applies the provisions of relevant authoritative guidance, which requires application of a “more likely than not” threshold to the recognition and derecognition of tax positions. The Company’s ongoing assessments of the more l</w:t>
      </w:r>
      <w:r>
        <w:t xml:space="preserve">ikely than not outcomes of tax authority examinations and related tax positions require significant judgment and can increase or decrease the Company’s effective tax rate, as well as impact operating results. See </w:t>
      </w:r>
      <w:r>
        <w:rPr>
          <w:i/>
        </w:rPr>
        <w:t xml:space="preserve">Footnote 12 </w:t>
      </w:r>
      <w:r>
        <w:t>for further information.</w:t>
      </w:r>
    </w:p>
    <w:p w14:paraId="7326C45C" w14:textId="77777777" w:rsidR="00EF3DFB" w:rsidRDefault="00EF3DFB">
      <w:pPr>
        <w:pStyle w:val="BodyText"/>
        <w:spacing w:before="2"/>
        <w:rPr>
          <w:sz w:val="21"/>
        </w:rPr>
      </w:pPr>
    </w:p>
    <w:p w14:paraId="7326C45D" w14:textId="77777777" w:rsidR="00EF3DFB" w:rsidRDefault="00D27C17">
      <w:pPr>
        <w:ind w:left="190"/>
        <w:jc w:val="both"/>
        <w:rPr>
          <w:i/>
          <w:sz w:val="20"/>
        </w:rPr>
      </w:pPr>
      <w:r>
        <w:rPr>
          <w:i/>
          <w:sz w:val="20"/>
        </w:rPr>
        <w:t>Sales</w:t>
      </w:r>
      <w:r>
        <w:rPr>
          <w:i/>
          <w:sz w:val="20"/>
        </w:rPr>
        <w:t xml:space="preserve"> of Accounts Receivables</w:t>
      </w:r>
    </w:p>
    <w:p w14:paraId="7326C45E" w14:textId="77777777" w:rsidR="00EF3DFB" w:rsidRDefault="00EF3DFB">
      <w:pPr>
        <w:pStyle w:val="BodyText"/>
        <w:spacing w:before="8"/>
        <w:rPr>
          <w:i/>
          <w:sz w:val="21"/>
        </w:rPr>
      </w:pPr>
    </w:p>
    <w:p w14:paraId="7326C45F" w14:textId="77777777" w:rsidR="00EF3DFB" w:rsidRDefault="00D27C17">
      <w:pPr>
        <w:pStyle w:val="BodyText"/>
        <w:spacing w:line="249" w:lineRule="auto"/>
        <w:ind w:left="190" w:right="170"/>
        <w:jc w:val="both"/>
      </w:pPr>
      <w:r>
        <w:t>In June 2019, the Company entered into a new factoring agreement with a financial institution to sell certain customer receivables at a more attractive discount rate than its previous cash discount terms offered to these customers</w:t>
      </w:r>
      <w:r>
        <w:t xml:space="preserve"> (the “Customer Receivables Purchase Agreement”). The Company received approximately $200 million under the agreement during the second quarter of</w:t>
      </w:r>
      <w:r>
        <w:rPr>
          <w:spacing w:val="18"/>
        </w:rPr>
        <w:t xml:space="preserve"> </w:t>
      </w:r>
      <w:r>
        <w:t>2019,</w:t>
      </w:r>
    </w:p>
    <w:p w14:paraId="7326C460" w14:textId="77777777" w:rsidR="00EF3DFB" w:rsidRDefault="00EF3DFB">
      <w:pPr>
        <w:spacing w:line="249" w:lineRule="auto"/>
        <w:jc w:val="both"/>
        <w:sectPr w:rsidR="00EF3DFB">
          <w:pgSz w:w="12240" w:h="15840"/>
          <w:pgMar w:top="600" w:right="640" w:bottom="480" w:left="620" w:header="0" w:footer="291" w:gutter="0"/>
          <w:cols w:space="720"/>
        </w:sectPr>
      </w:pPr>
    </w:p>
    <w:p w14:paraId="7326C461" w14:textId="77777777" w:rsidR="00EF3DFB" w:rsidRDefault="00D27C17">
      <w:pPr>
        <w:pStyle w:val="BodyText"/>
        <w:spacing w:before="72" w:line="249" w:lineRule="auto"/>
        <w:ind w:left="190" w:right="168"/>
        <w:jc w:val="both"/>
      </w:pPr>
      <w:r>
        <w:lastRenderedPageBreak/>
        <w:t>which was substantially unchanged at December 31, 2019. The balance of the factored recei</w:t>
      </w:r>
      <w:r>
        <w:t>vables at December 31, 2020 was approximately $350 million. Transactions under this agreement are accounted for as sales of accounts receivable, and the receivables are removed from the Consolidated Balance Sheet at the time of the sales transaction. The C</w:t>
      </w:r>
      <w:r>
        <w:t>ompany classifies the proceeds received from the sales of accounts receivable as an operating cash flow in the Consolidated Statement of Cash Flows. The Company records the discount as other (income) expense, net in the Consolidated Statement of Operations</w:t>
      </w:r>
      <w:r>
        <w:t xml:space="preserve"> and collections of accounts receivables not yet submitted to the financial institution as a financing cash</w:t>
      </w:r>
      <w:r>
        <w:rPr>
          <w:spacing w:val="-15"/>
        </w:rPr>
        <w:t xml:space="preserve"> </w:t>
      </w:r>
      <w:r>
        <w:t>flow.</w:t>
      </w:r>
    </w:p>
    <w:p w14:paraId="7326C462" w14:textId="77777777" w:rsidR="00EF3DFB" w:rsidRDefault="00EF3DFB">
      <w:pPr>
        <w:pStyle w:val="BodyText"/>
        <w:spacing w:before="3"/>
        <w:rPr>
          <w:sz w:val="21"/>
        </w:rPr>
      </w:pPr>
    </w:p>
    <w:p w14:paraId="7326C463" w14:textId="77777777" w:rsidR="00EF3DFB" w:rsidRDefault="00D27C17">
      <w:pPr>
        <w:ind w:left="190"/>
        <w:jc w:val="both"/>
        <w:rPr>
          <w:i/>
          <w:sz w:val="20"/>
        </w:rPr>
      </w:pPr>
      <w:r>
        <w:rPr>
          <w:i/>
          <w:sz w:val="20"/>
        </w:rPr>
        <w:t>Cash, Cash Equivalents and Restricted Cash</w:t>
      </w:r>
    </w:p>
    <w:p w14:paraId="7326C464" w14:textId="77777777" w:rsidR="00EF3DFB" w:rsidRDefault="00EF3DFB">
      <w:pPr>
        <w:pStyle w:val="BodyText"/>
        <w:spacing w:before="8"/>
        <w:rPr>
          <w:i/>
          <w:sz w:val="21"/>
        </w:rPr>
      </w:pPr>
    </w:p>
    <w:p w14:paraId="7326C465" w14:textId="77777777" w:rsidR="00EF3DFB" w:rsidRDefault="00D27C17">
      <w:pPr>
        <w:pStyle w:val="BodyText"/>
        <w:spacing w:before="1" w:line="249" w:lineRule="auto"/>
        <w:ind w:left="190" w:right="169"/>
        <w:jc w:val="both"/>
      </w:pPr>
      <w:r>
        <w:t>Cash and cash equivalents include cash on hand and highly liquid investments that have a maturity</w:t>
      </w:r>
      <w:r>
        <w:t xml:space="preserve"> of three months or less when purchased. Restricted cash reflects cash received on previously sold customer receivables in connection with the new factoring program that are required to be remitted to a financial institution. Restricted cash is reported as</w:t>
      </w:r>
      <w:r>
        <w:t xml:space="preserve"> prepaid expenses and other current assets on the Consolidated Balance Sheets.</w:t>
      </w:r>
    </w:p>
    <w:p w14:paraId="7326C466" w14:textId="77777777" w:rsidR="00EF3DFB" w:rsidRDefault="00EF3DFB">
      <w:pPr>
        <w:pStyle w:val="BodyText"/>
        <w:spacing w:before="1"/>
        <w:rPr>
          <w:sz w:val="21"/>
        </w:rPr>
      </w:pPr>
    </w:p>
    <w:p w14:paraId="7326C467" w14:textId="77777777" w:rsidR="00EF3DFB" w:rsidRDefault="00D27C17">
      <w:pPr>
        <w:spacing w:before="1"/>
        <w:ind w:left="190"/>
        <w:jc w:val="both"/>
        <w:rPr>
          <w:i/>
          <w:sz w:val="20"/>
        </w:rPr>
      </w:pPr>
      <w:r>
        <w:rPr>
          <w:i/>
          <w:sz w:val="20"/>
        </w:rPr>
        <w:t>Accounts Receivable, Net</w:t>
      </w:r>
    </w:p>
    <w:p w14:paraId="7326C468" w14:textId="77777777" w:rsidR="00EF3DFB" w:rsidRDefault="00EF3DFB">
      <w:pPr>
        <w:pStyle w:val="BodyText"/>
        <w:spacing w:before="8"/>
        <w:rPr>
          <w:i/>
          <w:sz w:val="21"/>
        </w:rPr>
      </w:pPr>
    </w:p>
    <w:p w14:paraId="7326C469" w14:textId="77777777" w:rsidR="00EF3DFB" w:rsidRDefault="00D27C17">
      <w:pPr>
        <w:pStyle w:val="BodyText"/>
        <w:spacing w:line="249" w:lineRule="auto"/>
        <w:ind w:left="190" w:right="169"/>
        <w:jc w:val="both"/>
      </w:pPr>
      <w:r>
        <w:t xml:space="preserve">Accounts receivables, net, include amounts billed and due from customers. Payment terms vary but generally are 90 days or less. An allowance for expected credit losses is based on the amount it ultimately expects to collect from its customers. The Company </w:t>
      </w:r>
      <w:r>
        <w:t>evaluates the collectability of accounts receivable based on a combination of factors including the length of time the receivables are past due, historical collection experience, current market conditions and forecasted direction of economic and business e</w:t>
      </w:r>
      <w:r>
        <w:t>nvironment. Accounts deemed uncollectible are written off, net of expected recoveries.</w:t>
      </w:r>
    </w:p>
    <w:p w14:paraId="7326C46A" w14:textId="77777777" w:rsidR="00EF3DFB" w:rsidRDefault="00EF3DFB">
      <w:pPr>
        <w:pStyle w:val="BodyText"/>
        <w:spacing w:before="3"/>
        <w:rPr>
          <w:sz w:val="21"/>
        </w:rPr>
      </w:pPr>
    </w:p>
    <w:p w14:paraId="7326C46B" w14:textId="77777777" w:rsidR="00EF3DFB" w:rsidRDefault="00D27C17">
      <w:pPr>
        <w:ind w:left="190"/>
        <w:jc w:val="both"/>
        <w:rPr>
          <w:i/>
          <w:sz w:val="20"/>
        </w:rPr>
      </w:pPr>
      <w:r>
        <w:rPr>
          <w:i/>
          <w:sz w:val="20"/>
        </w:rPr>
        <w:t>Capitalized Software Costs</w:t>
      </w:r>
    </w:p>
    <w:p w14:paraId="7326C46C" w14:textId="77777777" w:rsidR="00EF3DFB" w:rsidRDefault="00EF3DFB">
      <w:pPr>
        <w:pStyle w:val="BodyText"/>
        <w:spacing w:before="8"/>
        <w:rPr>
          <w:i/>
          <w:sz w:val="21"/>
        </w:rPr>
      </w:pPr>
    </w:p>
    <w:p w14:paraId="7326C46D" w14:textId="77777777" w:rsidR="00EF3DFB" w:rsidRDefault="00D27C17">
      <w:pPr>
        <w:pStyle w:val="BodyText"/>
        <w:spacing w:line="249" w:lineRule="auto"/>
        <w:ind w:left="190" w:right="168"/>
        <w:jc w:val="both"/>
      </w:pPr>
      <w:r>
        <w:t>The Company capitalizes costs associated with internal-use software during the application development stage after both the preliminary proj</w:t>
      </w:r>
      <w:r>
        <w:t>ect stage has been completed and the Company’s management has authorized and committed to funding for further project development. Capitalized internal-use software costs include: (i) external direct costs of materials and services consumed in developing o</w:t>
      </w:r>
      <w:r>
        <w:t>r obtaining the software; (ii) payroll and payroll-related costs for employees who are directly associated with and who devote</w:t>
      </w:r>
      <w:r>
        <w:rPr>
          <w:spacing w:val="-5"/>
        </w:rPr>
        <w:t xml:space="preserve"> </w:t>
      </w:r>
      <w:r>
        <w:t>time</w:t>
      </w:r>
      <w:r>
        <w:rPr>
          <w:spacing w:val="-5"/>
        </w:rPr>
        <w:t xml:space="preserve"> </w:t>
      </w:r>
      <w:r>
        <w:t>directly</w:t>
      </w:r>
      <w:r>
        <w:rPr>
          <w:spacing w:val="-4"/>
        </w:rPr>
        <w:t xml:space="preserve"> </w:t>
      </w:r>
      <w:r>
        <w:t>to</w:t>
      </w:r>
      <w:r>
        <w:rPr>
          <w:spacing w:val="-4"/>
        </w:rPr>
        <w:t xml:space="preserve"> </w:t>
      </w:r>
      <w:r>
        <w:t>the</w:t>
      </w:r>
      <w:r>
        <w:rPr>
          <w:spacing w:val="-5"/>
        </w:rPr>
        <w:t xml:space="preserve"> </w:t>
      </w:r>
      <w:r>
        <w:t>project;</w:t>
      </w:r>
      <w:r>
        <w:rPr>
          <w:spacing w:val="-5"/>
        </w:rPr>
        <w:t xml:space="preserve"> </w:t>
      </w:r>
      <w:r>
        <w:t>and</w:t>
      </w:r>
      <w:r>
        <w:rPr>
          <w:spacing w:val="-4"/>
        </w:rPr>
        <w:t xml:space="preserve"> </w:t>
      </w:r>
      <w:r>
        <w:t>(iii)</w:t>
      </w:r>
      <w:r>
        <w:rPr>
          <w:spacing w:val="-4"/>
        </w:rPr>
        <w:t xml:space="preserve"> </w:t>
      </w:r>
      <w:r>
        <w:t>interest</w:t>
      </w:r>
      <w:r>
        <w:rPr>
          <w:spacing w:val="-5"/>
        </w:rPr>
        <w:t xml:space="preserve"> </w:t>
      </w:r>
      <w:r>
        <w:t>costs</w:t>
      </w:r>
      <w:r>
        <w:rPr>
          <w:spacing w:val="-5"/>
        </w:rPr>
        <w:t xml:space="preserve"> </w:t>
      </w:r>
      <w:r>
        <w:t>incurred</w:t>
      </w:r>
      <w:r>
        <w:rPr>
          <w:spacing w:val="-4"/>
        </w:rPr>
        <w:t xml:space="preserve"> </w:t>
      </w:r>
      <w:r>
        <w:t>while</w:t>
      </w:r>
      <w:r>
        <w:rPr>
          <w:spacing w:val="-5"/>
        </w:rPr>
        <w:t xml:space="preserve"> </w:t>
      </w:r>
      <w:r>
        <w:t>developing</w:t>
      </w:r>
      <w:r>
        <w:rPr>
          <w:spacing w:val="-4"/>
        </w:rPr>
        <w:t xml:space="preserve"> </w:t>
      </w:r>
      <w:r>
        <w:t>the</w:t>
      </w:r>
      <w:r>
        <w:rPr>
          <w:spacing w:val="-5"/>
        </w:rPr>
        <w:t xml:space="preserve"> </w:t>
      </w:r>
      <w:r>
        <w:t>software.</w:t>
      </w:r>
      <w:r>
        <w:rPr>
          <w:spacing w:val="-4"/>
        </w:rPr>
        <w:t xml:space="preserve"> </w:t>
      </w:r>
      <w:r>
        <w:t>Capitalization</w:t>
      </w:r>
      <w:r>
        <w:rPr>
          <w:spacing w:val="-4"/>
        </w:rPr>
        <w:t xml:space="preserve"> </w:t>
      </w:r>
      <w:r>
        <w:t>of</w:t>
      </w:r>
      <w:r>
        <w:rPr>
          <w:spacing w:val="-4"/>
        </w:rPr>
        <w:t xml:space="preserve"> </w:t>
      </w:r>
      <w:r>
        <w:t>these</w:t>
      </w:r>
      <w:r>
        <w:rPr>
          <w:spacing w:val="-5"/>
        </w:rPr>
        <w:t xml:space="preserve"> </w:t>
      </w:r>
      <w:r>
        <w:t>costs</w:t>
      </w:r>
      <w:r>
        <w:rPr>
          <w:spacing w:val="-5"/>
        </w:rPr>
        <w:t xml:space="preserve"> </w:t>
      </w:r>
      <w:r>
        <w:t>ceases no later than the point at which the project is substantially complete and ready for its intended purpose. The Company expenses as incurred research and development, general and administrative, and indirect costs associated with internal-use softwar</w:t>
      </w:r>
      <w:r>
        <w:t>e. In addition, the Company expenses as incurred training, maintenance and other internal-use software costs incurred during the post- implementation stage. Costs associated with upgrades and enhancements of internal-use software are capitalized only if su</w:t>
      </w:r>
      <w:r>
        <w:t>ch modifications result in additional functionality of the software. The Company amortizes internal-use software costs using the straight-line</w:t>
      </w:r>
      <w:r>
        <w:rPr>
          <w:spacing w:val="-4"/>
        </w:rPr>
        <w:t xml:space="preserve"> </w:t>
      </w:r>
      <w:r>
        <w:t>method</w:t>
      </w:r>
      <w:r>
        <w:rPr>
          <w:spacing w:val="-4"/>
        </w:rPr>
        <w:t xml:space="preserve"> </w:t>
      </w:r>
      <w:r>
        <w:t>over</w:t>
      </w:r>
      <w:r>
        <w:rPr>
          <w:spacing w:val="-4"/>
        </w:rPr>
        <w:t xml:space="preserve"> </w:t>
      </w:r>
      <w:r>
        <w:t>the</w:t>
      </w:r>
      <w:r>
        <w:rPr>
          <w:spacing w:val="-4"/>
        </w:rPr>
        <w:t xml:space="preserve"> </w:t>
      </w:r>
      <w:r>
        <w:t>estimated</w:t>
      </w:r>
      <w:r>
        <w:rPr>
          <w:spacing w:val="-4"/>
        </w:rPr>
        <w:t xml:space="preserve"> </w:t>
      </w:r>
      <w:r>
        <w:t>useful</w:t>
      </w:r>
      <w:r>
        <w:rPr>
          <w:spacing w:val="-4"/>
        </w:rPr>
        <w:t xml:space="preserve"> </w:t>
      </w:r>
      <w:r>
        <w:t>life</w:t>
      </w:r>
      <w:r>
        <w:rPr>
          <w:spacing w:val="-4"/>
        </w:rPr>
        <w:t xml:space="preserve"> </w:t>
      </w:r>
      <w:r>
        <w:t>of</w:t>
      </w:r>
      <w:r>
        <w:rPr>
          <w:spacing w:val="-4"/>
        </w:rPr>
        <w:t xml:space="preserve"> </w:t>
      </w:r>
      <w:r>
        <w:t>the</w:t>
      </w:r>
      <w:r>
        <w:rPr>
          <w:spacing w:val="-4"/>
        </w:rPr>
        <w:t xml:space="preserve"> </w:t>
      </w:r>
      <w:r>
        <w:t>software.</w:t>
      </w:r>
      <w:r>
        <w:rPr>
          <w:spacing w:val="-4"/>
        </w:rPr>
        <w:t xml:space="preserve"> </w:t>
      </w:r>
      <w:r>
        <w:t>Capitalized</w:t>
      </w:r>
      <w:r>
        <w:rPr>
          <w:spacing w:val="-4"/>
        </w:rPr>
        <w:t xml:space="preserve"> </w:t>
      </w:r>
      <w:r>
        <w:t>software</w:t>
      </w:r>
      <w:r>
        <w:rPr>
          <w:spacing w:val="-4"/>
        </w:rPr>
        <w:t xml:space="preserve"> </w:t>
      </w:r>
      <w:r>
        <w:t>costs</w:t>
      </w:r>
      <w:r>
        <w:rPr>
          <w:spacing w:val="-4"/>
        </w:rPr>
        <w:t xml:space="preserve"> </w:t>
      </w:r>
      <w:r>
        <w:t>are</w:t>
      </w:r>
      <w:r>
        <w:rPr>
          <w:spacing w:val="-4"/>
        </w:rPr>
        <w:t xml:space="preserve"> </w:t>
      </w:r>
      <w:r>
        <w:t>evaluated</w:t>
      </w:r>
      <w:r>
        <w:rPr>
          <w:spacing w:val="-4"/>
        </w:rPr>
        <w:t xml:space="preserve"> </w:t>
      </w:r>
      <w:r>
        <w:t>annually</w:t>
      </w:r>
      <w:r>
        <w:rPr>
          <w:spacing w:val="-4"/>
        </w:rPr>
        <w:t xml:space="preserve"> </w:t>
      </w:r>
      <w:r>
        <w:t>for</w:t>
      </w:r>
      <w:r>
        <w:rPr>
          <w:spacing w:val="-4"/>
        </w:rPr>
        <w:t xml:space="preserve"> </w:t>
      </w:r>
      <w:r>
        <w:t>indi</w:t>
      </w:r>
      <w:r>
        <w:t>cators</w:t>
      </w:r>
      <w:r>
        <w:rPr>
          <w:spacing w:val="-4"/>
        </w:rPr>
        <w:t xml:space="preserve"> </w:t>
      </w:r>
      <w:r>
        <w:t>of impairment, including but not limited to a significant change in available technology or the manner in which the software is being used. Impaired items are written down to their estimated fair</w:t>
      </w:r>
      <w:r>
        <w:rPr>
          <w:spacing w:val="-6"/>
        </w:rPr>
        <w:t xml:space="preserve"> </w:t>
      </w:r>
      <w:r>
        <w:t>values.</w:t>
      </w:r>
    </w:p>
    <w:p w14:paraId="7326C46E" w14:textId="77777777" w:rsidR="00EF3DFB" w:rsidRDefault="00EF3DFB">
      <w:pPr>
        <w:pStyle w:val="BodyText"/>
        <w:spacing w:before="9"/>
        <w:rPr>
          <w:sz w:val="21"/>
        </w:rPr>
      </w:pPr>
    </w:p>
    <w:p w14:paraId="7326C46F" w14:textId="77777777" w:rsidR="00EF3DFB" w:rsidRDefault="00D27C17">
      <w:pPr>
        <w:pStyle w:val="BodyText"/>
        <w:spacing w:line="249" w:lineRule="auto"/>
        <w:ind w:left="190" w:right="169"/>
        <w:jc w:val="both"/>
      </w:pPr>
      <w:r>
        <w:t>Capitalized implementation costs for certain</w:t>
      </w:r>
      <w:r>
        <w:t xml:space="preserve"> qualified Software-as-a-Service (“SaaS”) arrangements are also subject to the same accounting criteria described above, when the Company does not own the intellectual property for the software license used in the arrangement. SaaS arrangements are include</w:t>
      </w:r>
      <w:r>
        <w:t xml:space="preserve">d in prepaid expenses and other current assets and other assets in the Consolidated Balance Sheets. The straight-line amortization of these costs is presented along with the fees related to the hosted cloud computing service in the Consolidated Statements </w:t>
      </w:r>
      <w:r>
        <w:t>of Operations.</w:t>
      </w:r>
    </w:p>
    <w:p w14:paraId="7326C470" w14:textId="77777777" w:rsidR="00EF3DFB" w:rsidRDefault="00EF3DFB">
      <w:pPr>
        <w:pStyle w:val="BodyText"/>
        <w:spacing w:before="3"/>
        <w:rPr>
          <w:sz w:val="21"/>
        </w:rPr>
      </w:pPr>
    </w:p>
    <w:p w14:paraId="7326C471" w14:textId="77777777" w:rsidR="00EF3DFB" w:rsidRDefault="00D27C17">
      <w:pPr>
        <w:ind w:left="190"/>
        <w:jc w:val="both"/>
        <w:rPr>
          <w:i/>
          <w:sz w:val="20"/>
        </w:rPr>
      </w:pPr>
      <w:r>
        <w:rPr>
          <w:i/>
          <w:sz w:val="20"/>
        </w:rPr>
        <w:t>Product Liability Reserves</w:t>
      </w:r>
    </w:p>
    <w:p w14:paraId="7326C472" w14:textId="77777777" w:rsidR="00EF3DFB" w:rsidRDefault="00EF3DFB">
      <w:pPr>
        <w:pStyle w:val="BodyText"/>
        <w:spacing w:before="8"/>
        <w:rPr>
          <w:i/>
          <w:sz w:val="21"/>
        </w:rPr>
      </w:pPr>
    </w:p>
    <w:p w14:paraId="7326C473" w14:textId="77777777" w:rsidR="00EF3DFB" w:rsidRDefault="00D27C17">
      <w:pPr>
        <w:pStyle w:val="BodyText"/>
        <w:spacing w:line="249" w:lineRule="auto"/>
        <w:ind w:left="190" w:right="167"/>
        <w:jc w:val="both"/>
      </w:pPr>
      <w:r>
        <w:t>The Company has a self-insurance program for product liability that includes reserves for self-retained losses and certain excess and aggregate risk transfer insurance. The Company uses historical loss experience</w:t>
      </w:r>
      <w:r>
        <w:t xml:space="preserve"> combined with actuarial evaluation methods, review of significant individual files and the application of risk transfer programs in determining required product liability reserves. The Company’s actuarial evaluation methods take into account claims incurr</w:t>
      </w:r>
      <w:r>
        <w:t>ed but not reported when determining the Company’s product liability reserve. While the Company believes that it has adequately reserved for these claims, the ultimate outcome of these matters may exceed the amounts recorded by the Company, and such additi</w:t>
      </w:r>
      <w:r>
        <w:t>onal losses may be material to the Company’s Consolidated Financial Statements.</w:t>
      </w:r>
    </w:p>
    <w:p w14:paraId="7326C474" w14:textId="77777777" w:rsidR="00EF3DFB" w:rsidRDefault="00EF3DFB">
      <w:pPr>
        <w:pStyle w:val="BodyText"/>
        <w:spacing w:before="5"/>
        <w:rPr>
          <w:sz w:val="21"/>
        </w:rPr>
      </w:pPr>
    </w:p>
    <w:p w14:paraId="7326C475" w14:textId="77777777" w:rsidR="00EF3DFB" w:rsidRDefault="00D27C17">
      <w:pPr>
        <w:ind w:left="190"/>
        <w:jc w:val="both"/>
        <w:rPr>
          <w:i/>
          <w:sz w:val="20"/>
        </w:rPr>
      </w:pPr>
      <w:r>
        <w:rPr>
          <w:i/>
          <w:sz w:val="20"/>
        </w:rPr>
        <w:t>Product Warranties</w:t>
      </w:r>
    </w:p>
    <w:p w14:paraId="7326C476" w14:textId="77777777" w:rsidR="00EF3DFB" w:rsidRDefault="00EF3DFB">
      <w:pPr>
        <w:pStyle w:val="BodyText"/>
        <w:spacing w:before="8"/>
        <w:rPr>
          <w:i/>
          <w:sz w:val="21"/>
        </w:rPr>
      </w:pPr>
    </w:p>
    <w:p w14:paraId="7326C477" w14:textId="77777777" w:rsidR="00EF3DFB" w:rsidRDefault="00D27C17">
      <w:pPr>
        <w:pStyle w:val="BodyText"/>
        <w:spacing w:line="249" w:lineRule="auto"/>
        <w:ind w:left="190" w:right="168"/>
        <w:jc w:val="both"/>
      </w:pPr>
      <w:r>
        <w:t>In the normal course of business, the Company offers warranties for a variety of its products. The specific terms and conditions of the warranties vary dep</w:t>
      </w:r>
      <w:r>
        <w:t>ending upon the specific product and markets in which the products were sold. The Company accrues for the estimated cost of product warranty at the time of sale based on historical experience.</w:t>
      </w:r>
    </w:p>
    <w:p w14:paraId="7326C478" w14:textId="77777777" w:rsidR="00EF3DFB" w:rsidRDefault="00EF3DFB">
      <w:pPr>
        <w:spacing w:line="249" w:lineRule="auto"/>
        <w:jc w:val="both"/>
        <w:sectPr w:rsidR="00EF3DFB">
          <w:pgSz w:w="12240" w:h="15840"/>
          <w:pgMar w:top="600" w:right="640" w:bottom="480" w:left="620" w:header="0" w:footer="291" w:gutter="0"/>
          <w:cols w:space="720"/>
        </w:sectPr>
      </w:pPr>
    </w:p>
    <w:p w14:paraId="7326C479" w14:textId="77777777" w:rsidR="00EF3DFB" w:rsidRDefault="00D27C17">
      <w:pPr>
        <w:spacing w:before="72"/>
        <w:ind w:left="190"/>
        <w:jc w:val="both"/>
        <w:rPr>
          <w:i/>
          <w:sz w:val="20"/>
        </w:rPr>
      </w:pPr>
      <w:r>
        <w:rPr>
          <w:i/>
          <w:sz w:val="20"/>
        </w:rPr>
        <w:lastRenderedPageBreak/>
        <w:t>Advertising Costs</w:t>
      </w:r>
    </w:p>
    <w:p w14:paraId="7326C47A" w14:textId="77777777" w:rsidR="00EF3DFB" w:rsidRDefault="00EF3DFB">
      <w:pPr>
        <w:pStyle w:val="BodyText"/>
        <w:spacing w:before="8"/>
        <w:rPr>
          <w:i/>
          <w:sz w:val="21"/>
        </w:rPr>
      </w:pPr>
    </w:p>
    <w:p w14:paraId="7326C47B" w14:textId="77777777" w:rsidR="00EF3DFB" w:rsidRDefault="00D27C17">
      <w:pPr>
        <w:pStyle w:val="BodyText"/>
        <w:spacing w:line="249" w:lineRule="auto"/>
        <w:ind w:left="190" w:right="169"/>
        <w:jc w:val="both"/>
      </w:pPr>
      <w:r>
        <w:t>The Company expenses production costs of print, radio, television and other advertisements as of the first date the advertisements take place, and the Company expenses all other advertising and marketing costs when incurred. Advertising and promotion costs</w:t>
      </w:r>
      <w:r>
        <w:t xml:space="preserve"> are recorded in selling, general and administrative expenses and totaled $362 million, $389 million and $397 million in 2020, 2019 and 2018, respectively.</w:t>
      </w:r>
    </w:p>
    <w:p w14:paraId="7326C47C" w14:textId="77777777" w:rsidR="00EF3DFB" w:rsidRDefault="00EF3DFB">
      <w:pPr>
        <w:pStyle w:val="BodyText"/>
        <w:spacing w:before="2"/>
        <w:rPr>
          <w:sz w:val="21"/>
        </w:rPr>
      </w:pPr>
    </w:p>
    <w:p w14:paraId="7326C47D" w14:textId="77777777" w:rsidR="00EF3DFB" w:rsidRDefault="00D27C17">
      <w:pPr>
        <w:ind w:left="190"/>
        <w:jc w:val="both"/>
        <w:rPr>
          <w:i/>
          <w:sz w:val="20"/>
        </w:rPr>
      </w:pPr>
      <w:r>
        <w:rPr>
          <w:i/>
          <w:sz w:val="20"/>
        </w:rPr>
        <w:t>Research and Development Costs</w:t>
      </w:r>
    </w:p>
    <w:p w14:paraId="7326C47E" w14:textId="77777777" w:rsidR="00EF3DFB" w:rsidRDefault="00EF3DFB">
      <w:pPr>
        <w:pStyle w:val="BodyText"/>
        <w:spacing w:before="8"/>
        <w:rPr>
          <w:i/>
          <w:sz w:val="21"/>
        </w:rPr>
      </w:pPr>
    </w:p>
    <w:p w14:paraId="7326C47F" w14:textId="77777777" w:rsidR="00EF3DFB" w:rsidRDefault="00D27C17">
      <w:pPr>
        <w:pStyle w:val="BodyText"/>
        <w:spacing w:line="249" w:lineRule="auto"/>
        <w:ind w:left="190" w:right="171"/>
        <w:jc w:val="both"/>
      </w:pPr>
      <w:r>
        <w:t>Research and development costs relating to both future and current products are charged to selling, general and administrative expenses as incurred. These costs totaled $144 million, $149 million and $151 million in 2020, 2019 and 2018, respectively.</w:t>
      </w:r>
    </w:p>
    <w:p w14:paraId="7326C480" w14:textId="77777777" w:rsidR="00EF3DFB" w:rsidRDefault="00EF3DFB">
      <w:pPr>
        <w:pStyle w:val="BodyText"/>
        <w:spacing w:before="1"/>
        <w:rPr>
          <w:sz w:val="21"/>
        </w:rPr>
      </w:pPr>
    </w:p>
    <w:p w14:paraId="7326C481" w14:textId="77777777" w:rsidR="00EF3DFB" w:rsidRDefault="00D27C17">
      <w:pPr>
        <w:ind w:left="190"/>
        <w:jc w:val="both"/>
        <w:rPr>
          <w:i/>
          <w:sz w:val="20"/>
        </w:rPr>
      </w:pPr>
      <w:r>
        <w:rPr>
          <w:i/>
          <w:sz w:val="20"/>
        </w:rPr>
        <w:t>Othe</w:t>
      </w:r>
      <w:r>
        <w:rPr>
          <w:i/>
          <w:sz w:val="20"/>
        </w:rPr>
        <w:t>r Significant Accounting Policies</w:t>
      </w:r>
    </w:p>
    <w:p w14:paraId="7326C482" w14:textId="77777777" w:rsidR="00EF3DFB" w:rsidRDefault="00EF3DFB">
      <w:pPr>
        <w:pStyle w:val="BodyText"/>
        <w:spacing w:before="8"/>
        <w:rPr>
          <w:i/>
          <w:sz w:val="21"/>
        </w:rPr>
      </w:pPr>
    </w:p>
    <w:p w14:paraId="7326C483" w14:textId="77777777" w:rsidR="00EF3DFB" w:rsidRDefault="00D27C17">
      <w:pPr>
        <w:pStyle w:val="BodyText"/>
        <w:ind w:left="190"/>
        <w:jc w:val="both"/>
      </w:pPr>
      <w:r>
        <w:t>Other significant accounting policies are disclosed as follows:</w:t>
      </w:r>
    </w:p>
    <w:p w14:paraId="7326C484" w14:textId="77777777" w:rsidR="00EF3DFB" w:rsidRDefault="00D27C17">
      <w:pPr>
        <w:pStyle w:val="ListParagraph"/>
        <w:numPr>
          <w:ilvl w:val="0"/>
          <w:numId w:val="25"/>
        </w:numPr>
        <w:tabs>
          <w:tab w:val="left" w:pos="909"/>
          <w:tab w:val="left" w:pos="910"/>
        </w:tabs>
        <w:spacing w:before="8"/>
        <w:rPr>
          <w:sz w:val="20"/>
        </w:rPr>
      </w:pPr>
      <w:r>
        <w:rPr>
          <w:sz w:val="20"/>
        </w:rPr>
        <w:t>Discontinued Operations - Footnote</w:t>
      </w:r>
      <w:r>
        <w:rPr>
          <w:spacing w:val="-3"/>
          <w:sz w:val="20"/>
        </w:rPr>
        <w:t xml:space="preserve"> </w:t>
      </w:r>
      <w:r>
        <w:rPr>
          <w:sz w:val="20"/>
        </w:rPr>
        <w:t>2</w:t>
      </w:r>
    </w:p>
    <w:p w14:paraId="7326C485" w14:textId="77777777" w:rsidR="00EF3DFB" w:rsidRDefault="00D27C17">
      <w:pPr>
        <w:pStyle w:val="ListParagraph"/>
        <w:numPr>
          <w:ilvl w:val="0"/>
          <w:numId w:val="25"/>
        </w:numPr>
        <w:tabs>
          <w:tab w:val="left" w:pos="909"/>
          <w:tab w:val="left" w:pos="910"/>
        </w:tabs>
        <w:spacing w:before="12"/>
        <w:rPr>
          <w:sz w:val="20"/>
        </w:rPr>
      </w:pPr>
      <w:r>
        <w:rPr>
          <w:sz w:val="20"/>
        </w:rPr>
        <w:t>Restructuring – Footnote</w:t>
      </w:r>
      <w:r>
        <w:rPr>
          <w:spacing w:val="-2"/>
          <w:sz w:val="20"/>
        </w:rPr>
        <w:t xml:space="preserve"> </w:t>
      </w:r>
      <w:r>
        <w:rPr>
          <w:sz w:val="20"/>
        </w:rPr>
        <w:t>4</w:t>
      </w:r>
    </w:p>
    <w:p w14:paraId="7326C486" w14:textId="77777777" w:rsidR="00EF3DFB" w:rsidRDefault="00D27C17">
      <w:pPr>
        <w:pStyle w:val="ListParagraph"/>
        <w:numPr>
          <w:ilvl w:val="0"/>
          <w:numId w:val="25"/>
        </w:numPr>
        <w:tabs>
          <w:tab w:val="left" w:pos="909"/>
          <w:tab w:val="left" w:pos="910"/>
        </w:tabs>
        <w:spacing w:before="12"/>
        <w:rPr>
          <w:sz w:val="20"/>
        </w:rPr>
      </w:pPr>
      <w:r>
        <w:rPr>
          <w:sz w:val="20"/>
        </w:rPr>
        <w:t>Inventory – Footnote</w:t>
      </w:r>
      <w:r>
        <w:rPr>
          <w:spacing w:val="-2"/>
          <w:sz w:val="20"/>
        </w:rPr>
        <w:t xml:space="preserve"> </w:t>
      </w:r>
      <w:r>
        <w:rPr>
          <w:sz w:val="20"/>
        </w:rPr>
        <w:t>5</w:t>
      </w:r>
    </w:p>
    <w:p w14:paraId="7326C487" w14:textId="77777777" w:rsidR="00EF3DFB" w:rsidRDefault="00D27C17">
      <w:pPr>
        <w:pStyle w:val="ListParagraph"/>
        <w:numPr>
          <w:ilvl w:val="0"/>
          <w:numId w:val="25"/>
        </w:numPr>
        <w:tabs>
          <w:tab w:val="left" w:pos="909"/>
          <w:tab w:val="left" w:pos="910"/>
        </w:tabs>
        <w:spacing w:before="12"/>
        <w:rPr>
          <w:sz w:val="20"/>
        </w:rPr>
      </w:pPr>
      <w:r>
        <w:rPr>
          <w:sz w:val="20"/>
        </w:rPr>
        <w:t>Property, Plant &amp; Equipment – Footnote</w:t>
      </w:r>
      <w:r>
        <w:rPr>
          <w:spacing w:val="-5"/>
          <w:sz w:val="20"/>
        </w:rPr>
        <w:t xml:space="preserve"> </w:t>
      </w:r>
      <w:r>
        <w:rPr>
          <w:sz w:val="20"/>
        </w:rPr>
        <w:t>6</w:t>
      </w:r>
    </w:p>
    <w:p w14:paraId="7326C488" w14:textId="77777777" w:rsidR="00EF3DFB" w:rsidRDefault="00D27C17">
      <w:pPr>
        <w:pStyle w:val="ListParagraph"/>
        <w:numPr>
          <w:ilvl w:val="0"/>
          <w:numId w:val="25"/>
        </w:numPr>
        <w:tabs>
          <w:tab w:val="left" w:pos="909"/>
          <w:tab w:val="left" w:pos="910"/>
        </w:tabs>
        <w:spacing w:before="12"/>
        <w:rPr>
          <w:sz w:val="20"/>
        </w:rPr>
      </w:pPr>
      <w:r>
        <w:rPr>
          <w:sz w:val="20"/>
        </w:rPr>
        <w:t>Derivative Instruments – Foot</w:t>
      </w:r>
      <w:r>
        <w:rPr>
          <w:sz w:val="20"/>
        </w:rPr>
        <w:t>note</w:t>
      </w:r>
      <w:r>
        <w:rPr>
          <w:spacing w:val="-4"/>
          <w:sz w:val="20"/>
        </w:rPr>
        <w:t xml:space="preserve"> </w:t>
      </w:r>
      <w:r>
        <w:rPr>
          <w:sz w:val="20"/>
        </w:rPr>
        <w:t>10</w:t>
      </w:r>
    </w:p>
    <w:p w14:paraId="7326C489" w14:textId="77777777" w:rsidR="00EF3DFB" w:rsidRDefault="00D27C17">
      <w:pPr>
        <w:pStyle w:val="ListParagraph"/>
        <w:numPr>
          <w:ilvl w:val="0"/>
          <w:numId w:val="25"/>
        </w:numPr>
        <w:tabs>
          <w:tab w:val="left" w:pos="909"/>
          <w:tab w:val="left" w:pos="910"/>
        </w:tabs>
        <w:spacing w:before="12"/>
        <w:rPr>
          <w:sz w:val="20"/>
        </w:rPr>
      </w:pPr>
      <w:r>
        <w:rPr>
          <w:sz w:val="20"/>
        </w:rPr>
        <w:t>Foreign Currency Operations – Footnote</w:t>
      </w:r>
      <w:r>
        <w:rPr>
          <w:spacing w:val="-3"/>
          <w:sz w:val="20"/>
        </w:rPr>
        <w:t xml:space="preserve"> </w:t>
      </w:r>
      <w:r>
        <w:rPr>
          <w:sz w:val="20"/>
        </w:rPr>
        <w:t>10</w:t>
      </w:r>
    </w:p>
    <w:p w14:paraId="7326C48A" w14:textId="77777777" w:rsidR="00EF3DFB" w:rsidRDefault="00D27C17">
      <w:pPr>
        <w:pStyle w:val="ListParagraph"/>
        <w:numPr>
          <w:ilvl w:val="0"/>
          <w:numId w:val="25"/>
        </w:numPr>
        <w:tabs>
          <w:tab w:val="left" w:pos="909"/>
          <w:tab w:val="left" w:pos="910"/>
        </w:tabs>
        <w:spacing w:before="12"/>
        <w:rPr>
          <w:sz w:val="20"/>
        </w:rPr>
      </w:pPr>
      <w:r>
        <w:rPr>
          <w:sz w:val="20"/>
        </w:rPr>
        <w:t>Pensions and Postretirement Benefits – Footnote</w:t>
      </w:r>
      <w:r>
        <w:rPr>
          <w:spacing w:val="-6"/>
          <w:sz w:val="20"/>
        </w:rPr>
        <w:t xml:space="preserve"> </w:t>
      </w:r>
      <w:r>
        <w:rPr>
          <w:sz w:val="20"/>
        </w:rPr>
        <w:t>11</w:t>
      </w:r>
    </w:p>
    <w:p w14:paraId="7326C48B" w14:textId="77777777" w:rsidR="00EF3DFB" w:rsidRDefault="00D27C17">
      <w:pPr>
        <w:pStyle w:val="ListParagraph"/>
        <w:numPr>
          <w:ilvl w:val="0"/>
          <w:numId w:val="25"/>
        </w:numPr>
        <w:tabs>
          <w:tab w:val="left" w:pos="909"/>
          <w:tab w:val="left" w:pos="910"/>
        </w:tabs>
        <w:spacing w:before="12"/>
        <w:rPr>
          <w:sz w:val="20"/>
        </w:rPr>
      </w:pPr>
      <w:r>
        <w:rPr>
          <w:sz w:val="20"/>
        </w:rPr>
        <w:t>Leases – Footnote</w:t>
      </w:r>
      <w:r>
        <w:rPr>
          <w:spacing w:val="-3"/>
          <w:sz w:val="20"/>
        </w:rPr>
        <w:t xml:space="preserve"> </w:t>
      </w:r>
      <w:r>
        <w:rPr>
          <w:sz w:val="20"/>
        </w:rPr>
        <w:t>13</w:t>
      </w:r>
    </w:p>
    <w:p w14:paraId="7326C48C" w14:textId="77777777" w:rsidR="00EF3DFB" w:rsidRDefault="00D27C17">
      <w:pPr>
        <w:pStyle w:val="ListParagraph"/>
        <w:numPr>
          <w:ilvl w:val="0"/>
          <w:numId w:val="25"/>
        </w:numPr>
        <w:tabs>
          <w:tab w:val="left" w:pos="909"/>
          <w:tab w:val="left" w:pos="910"/>
        </w:tabs>
        <w:spacing w:before="12"/>
        <w:rPr>
          <w:sz w:val="20"/>
        </w:rPr>
      </w:pPr>
      <w:r>
        <w:rPr>
          <w:sz w:val="20"/>
        </w:rPr>
        <w:t>Share-Based Compensation – Footnote</w:t>
      </w:r>
      <w:r>
        <w:rPr>
          <w:spacing w:val="-2"/>
          <w:sz w:val="20"/>
        </w:rPr>
        <w:t xml:space="preserve"> </w:t>
      </w:r>
      <w:r>
        <w:rPr>
          <w:sz w:val="20"/>
        </w:rPr>
        <w:t>15</w:t>
      </w:r>
    </w:p>
    <w:p w14:paraId="7326C48D" w14:textId="77777777" w:rsidR="00EF3DFB" w:rsidRDefault="00D27C17">
      <w:pPr>
        <w:pStyle w:val="ListParagraph"/>
        <w:numPr>
          <w:ilvl w:val="0"/>
          <w:numId w:val="25"/>
        </w:numPr>
        <w:tabs>
          <w:tab w:val="left" w:pos="909"/>
          <w:tab w:val="left" w:pos="910"/>
        </w:tabs>
        <w:spacing w:before="12"/>
        <w:rPr>
          <w:sz w:val="20"/>
        </w:rPr>
      </w:pPr>
      <w:r>
        <w:rPr>
          <w:sz w:val="20"/>
        </w:rPr>
        <w:t>Legal and Environmental Reserves – Footnote</w:t>
      </w:r>
      <w:r>
        <w:rPr>
          <w:spacing w:val="-5"/>
          <w:sz w:val="20"/>
        </w:rPr>
        <w:t xml:space="preserve"> </w:t>
      </w:r>
      <w:r>
        <w:rPr>
          <w:sz w:val="20"/>
        </w:rPr>
        <w:t>18</w:t>
      </w:r>
    </w:p>
    <w:p w14:paraId="7326C48E" w14:textId="77777777" w:rsidR="00EF3DFB" w:rsidRDefault="00EF3DFB">
      <w:pPr>
        <w:pStyle w:val="BodyText"/>
        <w:spacing w:before="10"/>
        <w:rPr>
          <w:sz w:val="21"/>
        </w:rPr>
      </w:pPr>
    </w:p>
    <w:p w14:paraId="7326C48F" w14:textId="77777777" w:rsidR="00EF3DFB" w:rsidRDefault="00D27C17">
      <w:pPr>
        <w:pStyle w:val="Heading2"/>
      </w:pPr>
      <w:r>
        <w:t>Recent Accounting Pronouncements</w:t>
      </w:r>
    </w:p>
    <w:p w14:paraId="7326C490" w14:textId="77777777" w:rsidR="00EF3DFB" w:rsidRDefault="00EF3DFB">
      <w:pPr>
        <w:pStyle w:val="BodyText"/>
        <w:rPr>
          <w:b/>
          <w:sz w:val="22"/>
        </w:rPr>
      </w:pPr>
    </w:p>
    <w:p w14:paraId="7326C491" w14:textId="77777777" w:rsidR="00EF3DFB" w:rsidRDefault="00D27C17">
      <w:pPr>
        <w:pStyle w:val="BodyText"/>
        <w:spacing w:line="249" w:lineRule="auto"/>
        <w:ind w:left="190" w:right="169"/>
        <w:jc w:val="both"/>
      </w:pPr>
      <w:r>
        <w:t>Changes to U.S. GAAP are established by the Financial Accounting Standards Board (“FASB”) in the form of accounting standards updates (“ASUs”) to the FASB’s Accounting Standards Codification. The Company considers the appl</w:t>
      </w:r>
      <w:r>
        <w:t>icability and impact of all ASUs.</w:t>
      </w:r>
    </w:p>
    <w:p w14:paraId="7326C492" w14:textId="77777777" w:rsidR="00EF3DFB" w:rsidRDefault="00EF3DFB">
      <w:pPr>
        <w:pStyle w:val="BodyText"/>
        <w:spacing w:before="1"/>
        <w:rPr>
          <w:sz w:val="21"/>
        </w:rPr>
      </w:pPr>
    </w:p>
    <w:p w14:paraId="7326C493" w14:textId="77777777" w:rsidR="00EF3DFB" w:rsidRDefault="00D27C17">
      <w:pPr>
        <w:pStyle w:val="BodyText"/>
        <w:spacing w:line="249" w:lineRule="auto"/>
        <w:ind w:left="190" w:right="168"/>
        <w:jc w:val="both"/>
      </w:pPr>
      <w:r>
        <w:t xml:space="preserve">In December 2019, the FASB issued ASU 2019-12, </w:t>
      </w:r>
      <w:r>
        <w:rPr>
          <w:i/>
        </w:rPr>
        <w:t xml:space="preserve">“Simplifying the Accounting for Income Taxes” (Topic 740). </w:t>
      </w:r>
      <w:r>
        <w:t>ASU 2019-12 removes certain exceptions to the general principles in Topic 740 and also clarifies and amends existin</w:t>
      </w:r>
      <w:r>
        <w:t>g guidance to improve consistent application. ASU 2019-12 is effective for years, and interim periods within those years, beginning after December 15, 2020, with early adoption permitted. Depending on the amendment, adoption may be applied on the retrospec</w:t>
      </w:r>
      <w:r>
        <w:t>tive, modified retrospective or prospective basis. The adoption of ASU 2019-12 will not have a material impact on the Company’s consolidated financial statements.</w:t>
      </w:r>
    </w:p>
    <w:p w14:paraId="7326C494" w14:textId="77777777" w:rsidR="00EF3DFB" w:rsidRDefault="00EF3DFB">
      <w:pPr>
        <w:pStyle w:val="BodyText"/>
        <w:spacing w:before="3"/>
        <w:rPr>
          <w:sz w:val="21"/>
        </w:rPr>
      </w:pPr>
    </w:p>
    <w:p w14:paraId="7326C495" w14:textId="77777777" w:rsidR="00EF3DFB" w:rsidRDefault="00D27C17">
      <w:pPr>
        <w:pStyle w:val="BodyText"/>
        <w:spacing w:before="1" w:line="249" w:lineRule="auto"/>
        <w:ind w:left="190" w:right="168"/>
        <w:jc w:val="both"/>
      </w:pPr>
      <w:r>
        <w:t>In March 2020, the FASB issued ASU 2020-04, “</w:t>
      </w:r>
      <w:r>
        <w:rPr>
          <w:i/>
        </w:rPr>
        <w:t>Reference Rate Reform (Topic 848): Facilitation</w:t>
      </w:r>
      <w:r>
        <w:rPr>
          <w:i/>
        </w:rPr>
        <w:t xml:space="preserve"> of the Effects of Reference Rate Reform on Financial Reporting.</w:t>
      </w:r>
      <w:r>
        <w:t xml:space="preserve">” In January 2021, the FASB clarified the scope of that guidance with the issuance of ASU 2021-01, </w:t>
      </w:r>
      <w:r>
        <w:rPr>
          <w:i/>
        </w:rPr>
        <w:t xml:space="preserve">Reference Rate Reform: Scope. </w:t>
      </w:r>
      <w:r>
        <w:t>ASU 2020-04 provides optional expedients and exceptions to acco</w:t>
      </w:r>
      <w:r>
        <w:t>unt for contracts, hedging relationships and other transactions that reference LIBOR or another reference rate if certain criteria are met. ASU 2020-04 may be applied prospectively to contract modifications made and hedging relationships entered into or ev</w:t>
      </w:r>
      <w:r>
        <w:t>aluated on or before December 31, 2022. The Company is currently evaluating the potential effects of the adoption of ASU 2020-04.</w:t>
      </w:r>
    </w:p>
    <w:p w14:paraId="7326C496" w14:textId="77777777" w:rsidR="00EF3DFB" w:rsidRDefault="00EF3DFB">
      <w:pPr>
        <w:pStyle w:val="BodyText"/>
        <w:spacing w:before="11"/>
      </w:pPr>
    </w:p>
    <w:p w14:paraId="7326C497" w14:textId="77777777" w:rsidR="00EF3DFB" w:rsidRDefault="00D27C17">
      <w:pPr>
        <w:pStyle w:val="Heading2"/>
      </w:pPr>
      <w:r>
        <w:t>Adoption of New Accounting Guidance</w:t>
      </w:r>
    </w:p>
    <w:p w14:paraId="7326C498" w14:textId="77777777" w:rsidR="00EF3DFB" w:rsidRDefault="00EF3DFB">
      <w:pPr>
        <w:pStyle w:val="BodyText"/>
        <w:rPr>
          <w:b/>
          <w:sz w:val="22"/>
        </w:rPr>
      </w:pPr>
    </w:p>
    <w:p w14:paraId="7326C499" w14:textId="77777777" w:rsidR="00EF3DFB" w:rsidRDefault="00D27C17">
      <w:pPr>
        <w:pStyle w:val="BodyText"/>
        <w:spacing w:before="1" w:line="249" w:lineRule="auto"/>
        <w:ind w:left="190" w:right="168"/>
        <w:jc w:val="both"/>
      </w:pPr>
      <w:r>
        <w:t xml:space="preserve">In February 2016, the FASB issued ASU 2016-02, </w:t>
      </w:r>
      <w:r>
        <w:rPr>
          <w:i/>
        </w:rPr>
        <w:t xml:space="preserve">“Leases (Topic 842),” </w:t>
      </w:r>
      <w:r>
        <w:t>which requires lessees to recognize a right-of-use asset and lease liability for all leases with terms of more than 12 months. Recognition, measurement and presentation of expenses will d</w:t>
      </w:r>
      <w:r>
        <w:t>epend on classification as a finance or operating lease. The Company adopted ASU 2016-02 prospectively starting on January 1, 2019. As part of the adoption, the Company elected the package of practical expedients permitted under the transition guidance tha</w:t>
      </w:r>
      <w:r>
        <w:t>t includes not to reassess historical lease classification, and not to recognize short-term leases on the balance sheet, nor separate lease and non-lease components for all its leases. In addition, the Company used hindsight to determine the lease term and</w:t>
      </w:r>
      <w:r>
        <w:t xml:space="preserve"> applied its incremental borrowing rate based on the remaining term of the lease as of the adoption date. The impact upon adoption, related to operating leases in continuing operations, as of January 1, 2019, resulted in the recognition of right-of-use ass</w:t>
      </w:r>
      <w:r>
        <w:t>ets of approximately</w:t>
      </w:r>
    </w:p>
    <w:p w14:paraId="7326C49A" w14:textId="77777777" w:rsidR="00EF3DFB" w:rsidRDefault="00D27C17">
      <w:pPr>
        <w:pStyle w:val="BodyText"/>
        <w:spacing w:before="6" w:line="249" w:lineRule="auto"/>
        <w:ind w:left="190" w:right="169"/>
        <w:jc w:val="both"/>
      </w:pPr>
      <w:r>
        <w:t xml:space="preserve">$664 million, lease liabilities of approximately $725 million and a minimal cumulative-effect adjustment on retained deficit on the Company's Consolidated Balance Sheet. See </w:t>
      </w:r>
      <w:r>
        <w:rPr>
          <w:i/>
        </w:rPr>
        <w:t xml:space="preserve">Footnote 13 </w:t>
      </w:r>
      <w:r>
        <w:t>for further information.</w:t>
      </w:r>
    </w:p>
    <w:p w14:paraId="7326C49B" w14:textId="77777777" w:rsidR="00EF3DFB" w:rsidRDefault="00EF3DFB">
      <w:pPr>
        <w:spacing w:line="249" w:lineRule="auto"/>
        <w:jc w:val="both"/>
        <w:sectPr w:rsidR="00EF3DFB">
          <w:pgSz w:w="12240" w:h="15840"/>
          <w:pgMar w:top="600" w:right="640" w:bottom="480" w:left="620" w:header="0" w:footer="291" w:gutter="0"/>
          <w:cols w:space="720"/>
        </w:sectPr>
      </w:pPr>
    </w:p>
    <w:p w14:paraId="7326C49C" w14:textId="77777777" w:rsidR="00EF3DFB" w:rsidRDefault="00D27C17">
      <w:pPr>
        <w:pStyle w:val="BodyText"/>
        <w:spacing w:before="72" w:line="249" w:lineRule="auto"/>
        <w:ind w:left="190" w:right="168"/>
        <w:jc w:val="both"/>
      </w:pPr>
      <w:r>
        <w:lastRenderedPageBreak/>
        <w:t>In June 2016, the FASB issued ASU 2016-13, “</w:t>
      </w:r>
      <w:r>
        <w:rPr>
          <w:i/>
        </w:rPr>
        <w:t>Measurement of Credit Losses on Financial Instruments</w:t>
      </w:r>
      <w:r>
        <w:t>.” ASU 2016-13 involves several aspects of the accounting for credit losses related to certain financial instruments including assets measured at amortized cos</w:t>
      </w:r>
      <w:r>
        <w:t xml:space="preserve">t, available-for-sale debt securities and certain off-balance sheet commitments. ASU 2016-13, and subsequent updates, broadens the information that an entity must consider in developing its estimated credit losses expected to occur over the remaining life </w:t>
      </w:r>
      <w:r>
        <w:t>of assets measured either collectively or individually to include historical experience, current conditions and reasonable and supportable forecasts, replacing the existing incurred credit loss model and other models with the Current Expected Credit Losses</w:t>
      </w:r>
      <w:r>
        <w:t xml:space="preserve"> (“CECL”) model. ASU 2016-13 is effective for fiscal years beginning after December 15, 2019. The Company adopted ASU 2016-13 on a modified retrospective basis effective January 1, 2020. The adoption of ASU 2016-03 did not have a material impact on the Com</w:t>
      </w:r>
      <w:r>
        <w:t>pany’s consolidated financial statements. The Company's reserves for expected credit losses at December 31, 2020 and December 31, 2019 were $36 million and $29 million respectively.</w:t>
      </w:r>
    </w:p>
    <w:p w14:paraId="7326C49D" w14:textId="77777777" w:rsidR="00EF3DFB" w:rsidRDefault="00EF3DFB">
      <w:pPr>
        <w:pStyle w:val="BodyText"/>
        <w:spacing w:before="8"/>
        <w:rPr>
          <w:sz w:val="25"/>
        </w:rPr>
      </w:pPr>
    </w:p>
    <w:p w14:paraId="7326C49E" w14:textId="77777777" w:rsidR="00EF3DFB" w:rsidRDefault="00D27C17">
      <w:pPr>
        <w:pStyle w:val="BodyText"/>
        <w:spacing w:before="1" w:line="249" w:lineRule="auto"/>
        <w:ind w:left="190" w:right="168"/>
        <w:jc w:val="both"/>
      </w:pPr>
      <w:r>
        <w:t xml:space="preserve">In February 2018, the FASB issued ASU No. 2018-02, </w:t>
      </w:r>
      <w:r>
        <w:rPr>
          <w:i/>
        </w:rPr>
        <w:t>“Income Statement — Re</w:t>
      </w:r>
      <w:r>
        <w:rPr>
          <w:i/>
        </w:rPr>
        <w:t xml:space="preserve">porting Comprehensive Income (Topic 220): Reclassification of Certain Tax Effects from Accumulated Other Comprehensive Income.” </w:t>
      </w:r>
      <w:r>
        <w:t>ASU No. 2018-02 provides companies with an option to reclassify stranded tax effects within accumulated other comprehensive inco</w:t>
      </w:r>
      <w:r>
        <w:t>me (loss) (“AOCL”) to retained earnings in each period in which the effect of the change in the U.S. federal corporate income tax rate in the Tax Cuts and Jobs Act (or portion thereof) is recorded. ASU No. 2018-02 also requires disclosure of the accounting</w:t>
      </w:r>
      <w:r>
        <w:t xml:space="preserve"> policy for releasing income tax effects from AOCL and whether an election was made to reclassify the stranded income tax effects from the Tax Cuts and Jobs Act. ASU No. 2018-02 is effective for fiscal years beginning after December 15, 2018, and interim p</w:t>
      </w:r>
      <w:r>
        <w:t>eriods within those fiscal years. Early adoption is permitted. Companies can adopt the provisions of ASU 2018-02 in either the period of adoption or retrospectively to each period (or periods) in which the effect of the change in the U.S. federal corporate</w:t>
      </w:r>
      <w:r>
        <w:t xml:space="preserve"> income tax rate in the Tax Cuts and Jobs Act is recognized. The Company adopted this guidance in the second quarter of 2018 and reclassified the stranded income tax effects from the Tax Cuts and Jobs Act from AOCL of $63 million to retained earnings.</w:t>
      </w:r>
    </w:p>
    <w:p w14:paraId="7326C49F" w14:textId="77777777" w:rsidR="00EF3DFB" w:rsidRDefault="00EF3DFB">
      <w:pPr>
        <w:pStyle w:val="BodyText"/>
        <w:spacing w:before="7"/>
        <w:rPr>
          <w:sz w:val="21"/>
        </w:rPr>
      </w:pPr>
    </w:p>
    <w:p w14:paraId="7326C4A0" w14:textId="77777777" w:rsidR="00EF3DFB" w:rsidRDefault="00D27C17">
      <w:pPr>
        <w:spacing w:line="249" w:lineRule="auto"/>
        <w:ind w:left="190" w:right="169"/>
        <w:jc w:val="both"/>
        <w:rPr>
          <w:sz w:val="20"/>
        </w:rPr>
      </w:pPr>
      <w:r>
        <w:rPr>
          <w:sz w:val="20"/>
        </w:rPr>
        <w:t xml:space="preserve">In </w:t>
      </w:r>
      <w:r>
        <w:rPr>
          <w:sz w:val="20"/>
        </w:rPr>
        <w:t>August 2018, the FASB issued ASU 2018-15, “</w:t>
      </w:r>
      <w:r>
        <w:rPr>
          <w:i/>
          <w:sz w:val="20"/>
        </w:rPr>
        <w:t>Intangibles - Goodwill and Other - Internal-Use Software (Subtopic 350-40): Customer’s Accounting for Implementation Costs Incurred in a Cloud Computing Arrangement That Is a Service Contract.</w:t>
      </w:r>
      <w:r>
        <w:rPr>
          <w:sz w:val="20"/>
        </w:rPr>
        <w:t>” ASU 2018-15 clarifi</w:t>
      </w:r>
      <w:r>
        <w:rPr>
          <w:sz w:val="20"/>
        </w:rPr>
        <w:t>es the accounting treatment for fees paid by a customer in a cloud computing arrangement (hosting arrangement) by providing guidance for determining when the arrangement includes a software license. ASU 2018-15 is effective for public business entities for</w:t>
      </w:r>
      <w:r>
        <w:rPr>
          <w:sz w:val="20"/>
        </w:rPr>
        <w:t xml:space="preserve"> years, and interim periods within those years, beginning after December 15, 2019. The Company adopted ASU 2018-15 prospectively to all implementation costs incurred after January 1, 2020, the date of adoption. The adoption of ASU 2018-15 did not have a ma</w:t>
      </w:r>
      <w:r>
        <w:rPr>
          <w:sz w:val="20"/>
        </w:rPr>
        <w:t>terial impact on the Company’s consolidated financial statements.</w:t>
      </w:r>
    </w:p>
    <w:p w14:paraId="7326C4A1" w14:textId="77777777" w:rsidR="00EF3DFB" w:rsidRDefault="00EF3DFB">
      <w:pPr>
        <w:pStyle w:val="BodyText"/>
        <w:spacing w:before="4"/>
        <w:rPr>
          <w:sz w:val="21"/>
        </w:rPr>
      </w:pPr>
    </w:p>
    <w:p w14:paraId="7326C4A2" w14:textId="77777777" w:rsidR="00EF3DFB" w:rsidRDefault="00D27C17">
      <w:pPr>
        <w:spacing w:line="249" w:lineRule="auto"/>
        <w:ind w:left="190" w:right="168"/>
        <w:jc w:val="both"/>
        <w:rPr>
          <w:sz w:val="20"/>
        </w:rPr>
      </w:pPr>
      <w:r>
        <w:rPr>
          <w:sz w:val="20"/>
        </w:rPr>
        <w:t xml:space="preserve">In August 2018, the FASB issued ASU 2018-14, </w:t>
      </w:r>
      <w:r>
        <w:rPr>
          <w:i/>
          <w:sz w:val="20"/>
        </w:rPr>
        <w:t>“Compensation-Retirement Benefits-Defined Benefit Plans-General (Subtopic 715-20): Disclosure Framework-Changes to the Disclosure Requirements f</w:t>
      </w:r>
      <w:r>
        <w:rPr>
          <w:i/>
          <w:sz w:val="20"/>
        </w:rPr>
        <w:t xml:space="preserve">or Defined Benefit Plans.” </w:t>
      </w:r>
      <w:r>
        <w:rPr>
          <w:sz w:val="20"/>
        </w:rPr>
        <w:t>ASU 2018-14 modifies disclosure requirements for defined benefit pension and other postretirement plans. ASU 2018-14 is effective for fiscal years ending after December 15, 2020. Since ASU 2018-14 only impacts the disclosure requ</w:t>
      </w:r>
      <w:r>
        <w:rPr>
          <w:sz w:val="20"/>
        </w:rPr>
        <w:t xml:space="preserve">irements related to defined benefit pension and other postretirement plans, the adoption of ASU 2018-14 did not have a material impact on the Company’s consolidated financial statements. See </w:t>
      </w:r>
      <w:r>
        <w:rPr>
          <w:i/>
          <w:sz w:val="20"/>
        </w:rPr>
        <w:t xml:space="preserve">Footnote 11 </w:t>
      </w:r>
      <w:r>
        <w:rPr>
          <w:sz w:val="20"/>
        </w:rPr>
        <w:t>for further information.</w:t>
      </w:r>
    </w:p>
    <w:p w14:paraId="7326C4A3" w14:textId="77777777" w:rsidR="00EF3DFB" w:rsidRDefault="00EF3DFB">
      <w:pPr>
        <w:pStyle w:val="BodyText"/>
        <w:rPr>
          <w:sz w:val="21"/>
        </w:rPr>
      </w:pPr>
    </w:p>
    <w:p w14:paraId="7326C4A4" w14:textId="77777777" w:rsidR="00EF3DFB" w:rsidRDefault="00D27C17">
      <w:pPr>
        <w:pStyle w:val="Heading2"/>
      </w:pPr>
      <w:bookmarkStart w:id="50" w:name="Footnote_2_—_Divestitures_and_Held_for_S"/>
      <w:bookmarkEnd w:id="50"/>
      <w:r>
        <w:t>Footnote 2 — Discontinued O</w:t>
      </w:r>
      <w:r>
        <w:t>perations and Divestitures</w:t>
      </w:r>
    </w:p>
    <w:p w14:paraId="7326C4A5" w14:textId="77777777" w:rsidR="00EF3DFB" w:rsidRDefault="00EF3DFB">
      <w:pPr>
        <w:pStyle w:val="BodyText"/>
        <w:spacing w:before="1"/>
        <w:rPr>
          <w:b/>
          <w:sz w:val="22"/>
        </w:rPr>
      </w:pPr>
    </w:p>
    <w:p w14:paraId="7326C4A6" w14:textId="77777777" w:rsidR="00EF3DFB" w:rsidRDefault="00D27C17">
      <w:pPr>
        <w:ind w:left="190"/>
        <w:jc w:val="both"/>
        <w:rPr>
          <w:i/>
          <w:sz w:val="20"/>
        </w:rPr>
      </w:pPr>
      <w:r>
        <w:rPr>
          <w:i/>
          <w:sz w:val="20"/>
        </w:rPr>
        <w:t>Discontinued Operations</w:t>
      </w:r>
    </w:p>
    <w:p w14:paraId="7326C4A7" w14:textId="77777777" w:rsidR="00EF3DFB" w:rsidRDefault="00EF3DFB">
      <w:pPr>
        <w:pStyle w:val="BodyText"/>
        <w:spacing w:before="8"/>
        <w:rPr>
          <w:i/>
          <w:sz w:val="21"/>
        </w:rPr>
      </w:pPr>
    </w:p>
    <w:p w14:paraId="7326C4A8" w14:textId="77777777" w:rsidR="00EF3DFB" w:rsidRDefault="00D27C17">
      <w:pPr>
        <w:pStyle w:val="BodyText"/>
        <w:ind w:left="190" w:right="169"/>
        <w:jc w:val="both"/>
      </w:pPr>
      <w:r>
        <w:t xml:space="preserve">In connection with the ATP, the Company completed the sale of several businesses during 2018 and 2019. In 2018, the Company sold: Goody Products, Inc. (“Goody”), Jostens, Inc. (“Jostens”), Pure Fishing, </w:t>
      </w:r>
      <w:r>
        <w:t>Inc. (“Pure Fishing”), the Rawlings Sporting Goods Company, Inc. (“Rawlings”), Waddington Group, Inc. (“Waddington”) and other related subsidiaries. In 2019, the Company sold: the Process Solutions business, Rexair Holdings Inc. ("Rexair"), The United Stat</w:t>
      </w:r>
      <w:r>
        <w:t>es Playing Card Company (“The Playing Cards Company”) and other related subsidiaries.</w:t>
      </w:r>
    </w:p>
    <w:p w14:paraId="7326C4A9" w14:textId="77777777" w:rsidR="00EF3DFB" w:rsidRDefault="00EF3DFB">
      <w:pPr>
        <w:pStyle w:val="BodyText"/>
        <w:spacing w:before="10"/>
      </w:pPr>
    </w:p>
    <w:p w14:paraId="7326C4AA" w14:textId="77777777" w:rsidR="00EF3DFB" w:rsidRDefault="00D27C17">
      <w:pPr>
        <w:pStyle w:val="BodyText"/>
        <w:spacing w:line="249" w:lineRule="auto"/>
        <w:ind w:left="190" w:right="168"/>
        <w:jc w:val="both"/>
      </w:pPr>
      <w:r>
        <w:t>In July 2019, the Company announced its decision to no longer pursue the sale of the majority of the Rubbermaid Outdoor, Closet, Refuse, Garage and Cleaning businesses (“Commercial Products”). The decision to keep Commercial Products was based on the stren</w:t>
      </w:r>
      <w:r>
        <w:t xml:space="preserve">gth of the brand, its competitive position in a large and growing category, and track record of cash flow generation, revenue growth and margin expansion. Management believes that retaining this business will further enhance the value creation opportunity </w:t>
      </w:r>
      <w:r>
        <w:t>for the Company. In October 2019, the Company decided to no longer pursue the sale of the Mapa/Spontex and Quickie businesses. The decision to keep these businesses was based on their financial profile, relative to expected sales proceeds.</w:t>
      </w:r>
    </w:p>
    <w:p w14:paraId="7326C4AB" w14:textId="77777777" w:rsidR="00EF3DFB" w:rsidRDefault="00EF3DFB">
      <w:pPr>
        <w:pStyle w:val="BodyText"/>
        <w:spacing w:before="4"/>
        <w:rPr>
          <w:sz w:val="21"/>
        </w:rPr>
      </w:pPr>
    </w:p>
    <w:p w14:paraId="7326C4AC" w14:textId="77777777" w:rsidR="00EF3DFB" w:rsidRDefault="00D27C17">
      <w:pPr>
        <w:pStyle w:val="BodyText"/>
        <w:spacing w:line="249" w:lineRule="auto"/>
        <w:ind w:left="190" w:right="168"/>
        <w:jc w:val="both"/>
      </w:pPr>
      <w:r>
        <w:t>At December 31,</w:t>
      </w:r>
      <w:r>
        <w:t xml:space="preserve"> 2019, the Rubbermaid Outdoor, Closet, Refuse, Garage and Cleaning businesses and the Mapa/Spontex and Quickie businesses (collectively referred to as the “Commercial Business”) were no longer classified as held for sale in the Company's Consolidated Balan</w:t>
      </w:r>
      <w:r>
        <w:t>ce Sheets nor as discontinued operations in the Company's Consolidated Statement of Operations. These businesses are reported in the Commercial Solutions segment for all periods presented.</w:t>
      </w:r>
    </w:p>
    <w:p w14:paraId="7326C4AD" w14:textId="77777777" w:rsidR="00EF3DFB" w:rsidRDefault="00EF3DFB">
      <w:pPr>
        <w:spacing w:line="249" w:lineRule="auto"/>
        <w:jc w:val="both"/>
        <w:sectPr w:rsidR="00EF3DFB">
          <w:pgSz w:w="12240" w:h="15840"/>
          <w:pgMar w:top="840" w:right="640" w:bottom="480" w:left="620" w:header="0" w:footer="291" w:gutter="0"/>
          <w:cols w:space="720"/>
        </w:sectPr>
      </w:pPr>
    </w:p>
    <w:p w14:paraId="7326C4AE" w14:textId="77777777" w:rsidR="00EF3DFB" w:rsidRDefault="00D27C17">
      <w:pPr>
        <w:pStyle w:val="BodyText"/>
        <w:spacing w:before="72" w:line="249" w:lineRule="auto"/>
        <w:ind w:left="190" w:right="170"/>
        <w:jc w:val="both"/>
      </w:pPr>
      <w:r>
        <w:lastRenderedPageBreak/>
        <w:t>The following table provides a summary of amounts inc</w:t>
      </w:r>
      <w:r>
        <w:t>luded in discontinued operations for the years ended December 31, (in millions):</w:t>
      </w:r>
    </w:p>
    <w:p w14:paraId="7326C4AF" w14:textId="77777777" w:rsidR="00EF3DFB" w:rsidRDefault="00EF3DFB">
      <w:pPr>
        <w:pStyle w:val="BodyText"/>
        <w:spacing w:before="2"/>
        <w:rPr>
          <w:sz w:val="7"/>
        </w:rPr>
      </w:pPr>
    </w:p>
    <w:tbl>
      <w:tblPr>
        <w:tblW w:w="0" w:type="auto"/>
        <w:tblInd w:w="190" w:type="dxa"/>
        <w:tblLayout w:type="fixed"/>
        <w:tblCellMar>
          <w:left w:w="0" w:type="dxa"/>
          <w:right w:w="0" w:type="dxa"/>
        </w:tblCellMar>
        <w:tblLook w:val="01E0" w:firstRow="1" w:lastRow="1" w:firstColumn="1" w:lastColumn="1" w:noHBand="0" w:noVBand="0"/>
      </w:tblPr>
      <w:tblGrid>
        <w:gridCol w:w="6226"/>
        <w:gridCol w:w="3176"/>
        <w:gridCol w:w="1219"/>
      </w:tblGrid>
      <w:tr w:rsidR="00EF3DFB" w14:paraId="7326C4B3" w14:textId="77777777">
        <w:trPr>
          <w:trHeight w:val="196"/>
        </w:trPr>
        <w:tc>
          <w:tcPr>
            <w:tcW w:w="6226" w:type="dxa"/>
          </w:tcPr>
          <w:p w14:paraId="7326C4B0" w14:textId="77777777" w:rsidR="00EF3DFB" w:rsidRDefault="00EF3DFB">
            <w:pPr>
              <w:pStyle w:val="TableParagraph"/>
              <w:rPr>
                <w:sz w:val="12"/>
              </w:rPr>
            </w:pPr>
          </w:p>
        </w:tc>
        <w:tc>
          <w:tcPr>
            <w:tcW w:w="3176" w:type="dxa"/>
            <w:tcBorders>
              <w:bottom w:val="single" w:sz="8" w:space="0" w:color="000000"/>
            </w:tcBorders>
          </w:tcPr>
          <w:p w14:paraId="7326C4B1" w14:textId="77777777" w:rsidR="00EF3DFB" w:rsidRDefault="00D27C17">
            <w:pPr>
              <w:pStyle w:val="TableParagraph"/>
              <w:spacing w:line="177" w:lineRule="exact"/>
              <w:ind w:right="496"/>
              <w:jc w:val="right"/>
              <w:rPr>
                <w:b/>
                <w:sz w:val="16"/>
              </w:rPr>
            </w:pPr>
            <w:r>
              <w:rPr>
                <w:b/>
                <w:sz w:val="16"/>
              </w:rPr>
              <w:t>2019</w:t>
            </w:r>
          </w:p>
        </w:tc>
        <w:tc>
          <w:tcPr>
            <w:tcW w:w="1219" w:type="dxa"/>
            <w:tcBorders>
              <w:bottom w:val="single" w:sz="8" w:space="0" w:color="000000"/>
            </w:tcBorders>
          </w:tcPr>
          <w:p w14:paraId="7326C4B2" w14:textId="77777777" w:rsidR="00EF3DFB" w:rsidRDefault="00D27C17">
            <w:pPr>
              <w:pStyle w:val="TableParagraph"/>
              <w:spacing w:line="177" w:lineRule="exact"/>
              <w:ind w:left="437" w:right="420"/>
              <w:jc w:val="center"/>
              <w:rPr>
                <w:b/>
                <w:sz w:val="16"/>
              </w:rPr>
            </w:pPr>
            <w:r>
              <w:rPr>
                <w:b/>
                <w:sz w:val="16"/>
              </w:rPr>
              <w:t>2018</w:t>
            </w:r>
          </w:p>
        </w:tc>
      </w:tr>
      <w:tr w:rsidR="00EF3DFB" w14:paraId="7326C4B7" w14:textId="77777777">
        <w:trPr>
          <w:trHeight w:val="275"/>
        </w:trPr>
        <w:tc>
          <w:tcPr>
            <w:tcW w:w="6226" w:type="dxa"/>
            <w:shd w:val="clear" w:color="auto" w:fill="CCEDFF"/>
          </w:tcPr>
          <w:p w14:paraId="7326C4B4" w14:textId="77777777" w:rsidR="00EF3DFB" w:rsidRDefault="00D27C17">
            <w:pPr>
              <w:pStyle w:val="TableParagraph"/>
              <w:spacing w:line="224" w:lineRule="exact"/>
              <w:ind w:left="52"/>
              <w:rPr>
                <w:sz w:val="20"/>
              </w:rPr>
            </w:pPr>
            <w:r>
              <w:rPr>
                <w:sz w:val="20"/>
              </w:rPr>
              <w:t>Net sales (1)</w:t>
            </w:r>
          </w:p>
        </w:tc>
        <w:tc>
          <w:tcPr>
            <w:tcW w:w="3176" w:type="dxa"/>
            <w:tcBorders>
              <w:top w:val="single" w:sz="8" w:space="0" w:color="000000"/>
            </w:tcBorders>
            <w:shd w:val="clear" w:color="auto" w:fill="CCEDFF"/>
          </w:tcPr>
          <w:p w14:paraId="7326C4B5" w14:textId="77777777" w:rsidR="00EF3DFB" w:rsidRDefault="00D27C17">
            <w:pPr>
              <w:pStyle w:val="TableParagraph"/>
              <w:tabs>
                <w:tab w:val="left" w:pos="765"/>
              </w:tabs>
              <w:spacing w:before="15"/>
              <w:ind w:right="136"/>
              <w:jc w:val="right"/>
              <w:rPr>
                <w:sz w:val="20"/>
              </w:rPr>
            </w:pPr>
            <w:r>
              <w:rPr>
                <w:sz w:val="20"/>
              </w:rPr>
              <w:t>$</w:t>
            </w:r>
            <w:r>
              <w:rPr>
                <w:sz w:val="20"/>
              </w:rPr>
              <w:tab/>
              <w:t>368</w:t>
            </w:r>
          </w:p>
        </w:tc>
        <w:tc>
          <w:tcPr>
            <w:tcW w:w="1219" w:type="dxa"/>
            <w:tcBorders>
              <w:top w:val="single" w:sz="8" w:space="0" w:color="000000"/>
            </w:tcBorders>
            <w:shd w:val="clear" w:color="auto" w:fill="CCEDFF"/>
          </w:tcPr>
          <w:p w14:paraId="7326C4B6" w14:textId="77777777" w:rsidR="00EF3DFB" w:rsidRDefault="00D27C17">
            <w:pPr>
              <w:pStyle w:val="TableParagraph"/>
              <w:tabs>
                <w:tab w:val="left" w:pos="686"/>
              </w:tabs>
              <w:spacing w:before="15"/>
              <w:ind w:left="70"/>
              <w:rPr>
                <w:sz w:val="20"/>
              </w:rPr>
            </w:pPr>
            <w:r>
              <w:rPr>
                <w:sz w:val="20"/>
              </w:rPr>
              <w:t>$</w:t>
            </w:r>
            <w:r>
              <w:rPr>
                <w:sz w:val="20"/>
              </w:rPr>
              <w:tab/>
              <w:t>2,879</w:t>
            </w:r>
          </w:p>
        </w:tc>
      </w:tr>
      <w:tr w:rsidR="00EF3DFB" w14:paraId="7326C4BB" w14:textId="77777777">
        <w:trPr>
          <w:trHeight w:val="275"/>
        </w:trPr>
        <w:tc>
          <w:tcPr>
            <w:tcW w:w="6226" w:type="dxa"/>
          </w:tcPr>
          <w:p w14:paraId="7326C4B8" w14:textId="77777777" w:rsidR="00EF3DFB" w:rsidRDefault="00D27C17">
            <w:pPr>
              <w:pStyle w:val="TableParagraph"/>
              <w:spacing w:before="4"/>
              <w:ind w:left="52"/>
              <w:rPr>
                <w:sz w:val="20"/>
              </w:rPr>
            </w:pPr>
            <w:r>
              <w:rPr>
                <w:sz w:val="20"/>
              </w:rPr>
              <w:t>Cost of products sold (1)</w:t>
            </w:r>
          </w:p>
        </w:tc>
        <w:tc>
          <w:tcPr>
            <w:tcW w:w="3176" w:type="dxa"/>
            <w:tcBorders>
              <w:bottom w:val="single" w:sz="8" w:space="0" w:color="000000"/>
            </w:tcBorders>
          </w:tcPr>
          <w:p w14:paraId="7326C4B9" w14:textId="77777777" w:rsidR="00EF3DFB" w:rsidRDefault="00D27C17">
            <w:pPr>
              <w:pStyle w:val="TableParagraph"/>
              <w:spacing w:before="25" w:line="230" w:lineRule="exact"/>
              <w:ind w:right="136"/>
              <w:jc w:val="right"/>
              <w:rPr>
                <w:sz w:val="20"/>
              </w:rPr>
            </w:pPr>
            <w:r>
              <w:rPr>
                <w:sz w:val="20"/>
              </w:rPr>
              <w:t>266</w:t>
            </w:r>
          </w:p>
        </w:tc>
        <w:tc>
          <w:tcPr>
            <w:tcW w:w="1219" w:type="dxa"/>
            <w:tcBorders>
              <w:bottom w:val="single" w:sz="8" w:space="0" w:color="000000"/>
            </w:tcBorders>
          </w:tcPr>
          <w:p w14:paraId="7326C4BA" w14:textId="77777777" w:rsidR="00EF3DFB" w:rsidRDefault="00D27C17">
            <w:pPr>
              <w:pStyle w:val="TableParagraph"/>
              <w:spacing w:before="25" w:line="230" w:lineRule="exact"/>
              <w:ind w:right="80"/>
              <w:jc w:val="right"/>
              <w:rPr>
                <w:sz w:val="20"/>
              </w:rPr>
            </w:pPr>
            <w:r>
              <w:rPr>
                <w:sz w:val="20"/>
              </w:rPr>
              <w:t>1,798</w:t>
            </w:r>
          </w:p>
        </w:tc>
      </w:tr>
      <w:tr w:rsidR="00EF3DFB" w14:paraId="7326C4BF" w14:textId="77777777">
        <w:trPr>
          <w:trHeight w:val="275"/>
        </w:trPr>
        <w:tc>
          <w:tcPr>
            <w:tcW w:w="6226" w:type="dxa"/>
            <w:shd w:val="clear" w:color="auto" w:fill="CCEDFF"/>
          </w:tcPr>
          <w:p w14:paraId="7326C4BC" w14:textId="77777777" w:rsidR="00EF3DFB" w:rsidRDefault="00D27C17">
            <w:pPr>
              <w:pStyle w:val="TableParagraph"/>
              <w:spacing w:line="224" w:lineRule="exact"/>
              <w:ind w:left="52"/>
              <w:rPr>
                <w:sz w:val="20"/>
              </w:rPr>
            </w:pPr>
            <w:r>
              <w:rPr>
                <w:sz w:val="20"/>
              </w:rPr>
              <w:t>Gross profit</w:t>
            </w:r>
          </w:p>
        </w:tc>
        <w:tc>
          <w:tcPr>
            <w:tcW w:w="3176" w:type="dxa"/>
            <w:tcBorders>
              <w:top w:val="single" w:sz="8" w:space="0" w:color="000000"/>
            </w:tcBorders>
            <w:shd w:val="clear" w:color="auto" w:fill="CCEDFF"/>
          </w:tcPr>
          <w:p w14:paraId="7326C4BD" w14:textId="77777777" w:rsidR="00EF3DFB" w:rsidRDefault="00D27C17">
            <w:pPr>
              <w:pStyle w:val="TableParagraph"/>
              <w:spacing w:before="15"/>
              <w:ind w:right="136"/>
              <w:jc w:val="right"/>
              <w:rPr>
                <w:sz w:val="20"/>
              </w:rPr>
            </w:pPr>
            <w:r>
              <w:rPr>
                <w:sz w:val="20"/>
              </w:rPr>
              <w:t>102</w:t>
            </w:r>
          </w:p>
        </w:tc>
        <w:tc>
          <w:tcPr>
            <w:tcW w:w="1219" w:type="dxa"/>
            <w:tcBorders>
              <w:top w:val="single" w:sz="8" w:space="0" w:color="000000"/>
            </w:tcBorders>
            <w:shd w:val="clear" w:color="auto" w:fill="CCEDFF"/>
          </w:tcPr>
          <w:p w14:paraId="7326C4BE" w14:textId="77777777" w:rsidR="00EF3DFB" w:rsidRDefault="00D27C17">
            <w:pPr>
              <w:pStyle w:val="TableParagraph"/>
              <w:spacing w:before="15"/>
              <w:ind w:right="80"/>
              <w:jc w:val="right"/>
              <w:rPr>
                <w:sz w:val="20"/>
              </w:rPr>
            </w:pPr>
            <w:r>
              <w:rPr>
                <w:sz w:val="20"/>
              </w:rPr>
              <w:t>1,081</w:t>
            </w:r>
          </w:p>
        </w:tc>
      </w:tr>
      <w:tr w:rsidR="00EF3DFB" w14:paraId="7326C4C3" w14:textId="77777777">
        <w:trPr>
          <w:trHeight w:val="285"/>
        </w:trPr>
        <w:tc>
          <w:tcPr>
            <w:tcW w:w="6226" w:type="dxa"/>
          </w:tcPr>
          <w:p w14:paraId="7326C4C0" w14:textId="77777777" w:rsidR="00EF3DFB" w:rsidRDefault="00D27C17">
            <w:pPr>
              <w:pStyle w:val="TableParagraph"/>
              <w:spacing w:before="4"/>
              <w:ind w:left="52"/>
              <w:rPr>
                <w:sz w:val="20"/>
              </w:rPr>
            </w:pPr>
            <w:r>
              <w:rPr>
                <w:sz w:val="20"/>
              </w:rPr>
              <w:t>Selling, general and administrative expenses</w:t>
            </w:r>
          </w:p>
        </w:tc>
        <w:tc>
          <w:tcPr>
            <w:tcW w:w="3176" w:type="dxa"/>
          </w:tcPr>
          <w:p w14:paraId="7326C4C1" w14:textId="77777777" w:rsidR="00EF3DFB" w:rsidRDefault="00D27C17">
            <w:pPr>
              <w:pStyle w:val="TableParagraph"/>
              <w:spacing w:before="25"/>
              <w:ind w:right="136"/>
              <w:jc w:val="right"/>
              <w:rPr>
                <w:sz w:val="20"/>
              </w:rPr>
            </w:pPr>
            <w:r>
              <w:rPr>
                <w:sz w:val="20"/>
              </w:rPr>
              <w:t>48</w:t>
            </w:r>
          </w:p>
        </w:tc>
        <w:tc>
          <w:tcPr>
            <w:tcW w:w="1219" w:type="dxa"/>
          </w:tcPr>
          <w:p w14:paraId="7326C4C2" w14:textId="77777777" w:rsidR="00EF3DFB" w:rsidRDefault="00D27C17">
            <w:pPr>
              <w:pStyle w:val="TableParagraph"/>
              <w:spacing w:before="25"/>
              <w:ind w:right="80"/>
              <w:jc w:val="right"/>
              <w:rPr>
                <w:sz w:val="20"/>
              </w:rPr>
            </w:pPr>
            <w:r>
              <w:rPr>
                <w:sz w:val="20"/>
              </w:rPr>
              <w:t>624</w:t>
            </w:r>
          </w:p>
        </w:tc>
      </w:tr>
      <w:tr w:rsidR="00EF3DFB" w14:paraId="7326C4C7" w14:textId="77777777">
        <w:trPr>
          <w:trHeight w:val="285"/>
        </w:trPr>
        <w:tc>
          <w:tcPr>
            <w:tcW w:w="6226" w:type="dxa"/>
            <w:shd w:val="clear" w:color="auto" w:fill="CCEDFF"/>
          </w:tcPr>
          <w:p w14:paraId="7326C4C4" w14:textId="77777777" w:rsidR="00EF3DFB" w:rsidRDefault="00D27C17">
            <w:pPr>
              <w:pStyle w:val="TableParagraph"/>
              <w:spacing w:before="4"/>
              <w:ind w:left="52"/>
              <w:rPr>
                <w:sz w:val="20"/>
              </w:rPr>
            </w:pPr>
            <w:r>
              <w:rPr>
                <w:sz w:val="20"/>
              </w:rPr>
              <w:t>Restructuring costs, net</w:t>
            </w:r>
          </w:p>
        </w:tc>
        <w:tc>
          <w:tcPr>
            <w:tcW w:w="3176" w:type="dxa"/>
            <w:shd w:val="clear" w:color="auto" w:fill="CCEDFF"/>
          </w:tcPr>
          <w:p w14:paraId="7326C4C5" w14:textId="77777777" w:rsidR="00EF3DFB" w:rsidRDefault="00D27C17">
            <w:pPr>
              <w:pStyle w:val="TableParagraph"/>
              <w:spacing w:before="25"/>
              <w:ind w:right="136"/>
              <w:jc w:val="right"/>
              <w:rPr>
                <w:sz w:val="20"/>
              </w:rPr>
            </w:pPr>
            <w:r>
              <w:rPr>
                <w:sz w:val="20"/>
              </w:rPr>
              <w:t>—</w:t>
            </w:r>
          </w:p>
        </w:tc>
        <w:tc>
          <w:tcPr>
            <w:tcW w:w="1219" w:type="dxa"/>
            <w:shd w:val="clear" w:color="auto" w:fill="CCEDFF"/>
          </w:tcPr>
          <w:p w14:paraId="7326C4C6" w14:textId="77777777" w:rsidR="00EF3DFB" w:rsidRDefault="00D27C17">
            <w:pPr>
              <w:pStyle w:val="TableParagraph"/>
              <w:spacing w:before="25"/>
              <w:ind w:right="80"/>
              <w:jc w:val="right"/>
              <w:rPr>
                <w:sz w:val="20"/>
              </w:rPr>
            </w:pPr>
            <w:r>
              <w:rPr>
                <w:sz w:val="20"/>
              </w:rPr>
              <w:t>3</w:t>
            </w:r>
          </w:p>
        </w:tc>
      </w:tr>
      <w:tr w:rsidR="00EF3DFB" w14:paraId="7326C4CB" w14:textId="77777777">
        <w:trPr>
          <w:trHeight w:val="275"/>
        </w:trPr>
        <w:tc>
          <w:tcPr>
            <w:tcW w:w="6226" w:type="dxa"/>
          </w:tcPr>
          <w:p w14:paraId="7326C4C8" w14:textId="77777777" w:rsidR="00EF3DFB" w:rsidRDefault="00D27C17">
            <w:pPr>
              <w:pStyle w:val="TableParagraph"/>
              <w:spacing w:before="4"/>
              <w:ind w:left="52"/>
              <w:rPr>
                <w:sz w:val="20"/>
              </w:rPr>
            </w:pPr>
            <w:r>
              <w:rPr>
                <w:sz w:val="20"/>
              </w:rPr>
              <w:t>Impairment of goodwill, intangibles and other assets</w:t>
            </w:r>
          </w:p>
        </w:tc>
        <w:tc>
          <w:tcPr>
            <w:tcW w:w="3176" w:type="dxa"/>
            <w:tcBorders>
              <w:bottom w:val="single" w:sz="8" w:space="0" w:color="000000"/>
            </w:tcBorders>
          </w:tcPr>
          <w:p w14:paraId="7326C4C9" w14:textId="77777777" w:rsidR="00EF3DFB" w:rsidRDefault="00D27C17">
            <w:pPr>
              <w:pStyle w:val="TableParagraph"/>
              <w:spacing w:before="25" w:line="230" w:lineRule="exact"/>
              <w:ind w:right="136"/>
              <w:jc w:val="right"/>
              <w:rPr>
                <w:sz w:val="20"/>
              </w:rPr>
            </w:pPr>
            <w:r>
              <w:rPr>
                <w:sz w:val="20"/>
              </w:rPr>
              <w:t>112</w:t>
            </w:r>
          </w:p>
        </w:tc>
        <w:tc>
          <w:tcPr>
            <w:tcW w:w="1219" w:type="dxa"/>
            <w:tcBorders>
              <w:bottom w:val="single" w:sz="8" w:space="0" w:color="000000"/>
            </w:tcBorders>
          </w:tcPr>
          <w:p w14:paraId="7326C4CA" w14:textId="77777777" w:rsidR="00EF3DFB" w:rsidRDefault="00D27C17">
            <w:pPr>
              <w:pStyle w:val="TableParagraph"/>
              <w:spacing w:before="25" w:line="230" w:lineRule="exact"/>
              <w:ind w:right="80"/>
              <w:jc w:val="right"/>
              <w:rPr>
                <w:sz w:val="20"/>
              </w:rPr>
            </w:pPr>
            <w:r>
              <w:rPr>
                <w:sz w:val="20"/>
              </w:rPr>
              <w:t>1,464</w:t>
            </w:r>
          </w:p>
        </w:tc>
      </w:tr>
      <w:tr w:rsidR="00EF3DFB" w14:paraId="7326C4CF" w14:textId="77777777">
        <w:trPr>
          <w:trHeight w:val="275"/>
        </w:trPr>
        <w:tc>
          <w:tcPr>
            <w:tcW w:w="6226" w:type="dxa"/>
            <w:shd w:val="clear" w:color="auto" w:fill="CCEDFF"/>
          </w:tcPr>
          <w:p w14:paraId="7326C4CC" w14:textId="77777777" w:rsidR="00EF3DFB" w:rsidRDefault="00D27C17">
            <w:pPr>
              <w:pStyle w:val="TableParagraph"/>
              <w:spacing w:line="224" w:lineRule="exact"/>
              <w:ind w:left="412"/>
              <w:rPr>
                <w:sz w:val="20"/>
              </w:rPr>
            </w:pPr>
            <w:r>
              <w:rPr>
                <w:sz w:val="20"/>
              </w:rPr>
              <w:t>Operating loss</w:t>
            </w:r>
          </w:p>
        </w:tc>
        <w:tc>
          <w:tcPr>
            <w:tcW w:w="3176" w:type="dxa"/>
            <w:tcBorders>
              <w:top w:val="single" w:sz="8" w:space="0" w:color="000000"/>
            </w:tcBorders>
            <w:shd w:val="clear" w:color="auto" w:fill="CCEDFF"/>
          </w:tcPr>
          <w:p w14:paraId="7326C4CD" w14:textId="77777777" w:rsidR="00EF3DFB" w:rsidRDefault="00D27C17">
            <w:pPr>
              <w:pStyle w:val="TableParagraph"/>
              <w:spacing w:before="15"/>
              <w:ind w:right="71"/>
              <w:jc w:val="right"/>
              <w:rPr>
                <w:sz w:val="20"/>
              </w:rPr>
            </w:pPr>
            <w:r>
              <w:rPr>
                <w:sz w:val="20"/>
              </w:rPr>
              <w:t>(58)</w:t>
            </w:r>
          </w:p>
        </w:tc>
        <w:tc>
          <w:tcPr>
            <w:tcW w:w="1219" w:type="dxa"/>
            <w:tcBorders>
              <w:top w:val="single" w:sz="8" w:space="0" w:color="000000"/>
            </w:tcBorders>
            <w:shd w:val="clear" w:color="auto" w:fill="CCEDFF"/>
          </w:tcPr>
          <w:p w14:paraId="7326C4CE" w14:textId="77777777" w:rsidR="00EF3DFB" w:rsidRDefault="00D27C17">
            <w:pPr>
              <w:pStyle w:val="TableParagraph"/>
              <w:spacing w:before="15"/>
              <w:ind w:right="15"/>
              <w:jc w:val="right"/>
              <w:rPr>
                <w:sz w:val="20"/>
              </w:rPr>
            </w:pPr>
            <w:r>
              <w:rPr>
                <w:sz w:val="20"/>
              </w:rPr>
              <w:t>(1,010)</w:t>
            </w:r>
          </w:p>
        </w:tc>
      </w:tr>
      <w:tr w:rsidR="00EF3DFB" w14:paraId="7326C4D3" w14:textId="77777777">
        <w:trPr>
          <w:trHeight w:val="275"/>
        </w:trPr>
        <w:tc>
          <w:tcPr>
            <w:tcW w:w="6226" w:type="dxa"/>
          </w:tcPr>
          <w:p w14:paraId="7326C4D0" w14:textId="77777777" w:rsidR="00EF3DFB" w:rsidRDefault="00D27C17">
            <w:pPr>
              <w:pStyle w:val="TableParagraph"/>
              <w:spacing w:before="25" w:line="230" w:lineRule="exact"/>
              <w:ind w:left="52"/>
              <w:rPr>
                <w:sz w:val="20"/>
              </w:rPr>
            </w:pPr>
            <w:r>
              <w:rPr>
                <w:sz w:val="20"/>
              </w:rPr>
              <w:t>Non-operating income, net (2)</w:t>
            </w:r>
          </w:p>
        </w:tc>
        <w:tc>
          <w:tcPr>
            <w:tcW w:w="3176" w:type="dxa"/>
            <w:tcBorders>
              <w:bottom w:val="single" w:sz="8" w:space="0" w:color="000000"/>
            </w:tcBorders>
          </w:tcPr>
          <w:p w14:paraId="7326C4D1" w14:textId="77777777" w:rsidR="00EF3DFB" w:rsidRDefault="00D27C17">
            <w:pPr>
              <w:pStyle w:val="TableParagraph"/>
              <w:spacing w:before="25" w:line="230" w:lineRule="exact"/>
              <w:ind w:right="136"/>
              <w:jc w:val="right"/>
              <w:rPr>
                <w:sz w:val="20"/>
              </w:rPr>
            </w:pPr>
            <w:r>
              <w:rPr>
                <w:sz w:val="20"/>
              </w:rPr>
              <w:t>10</w:t>
            </w:r>
          </w:p>
        </w:tc>
        <w:tc>
          <w:tcPr>
            <w:tcW w:w="1219" w:type="dxa"/>
            <w:tcBorders>
              <w:bottom w:val="single" w:sz="8" w:space="0" w:color="000000"/>
            </w:tcBorders>
          </w:tcPr>
          <w:p w14:paraId="7326C4D2" w14:textId="77777777" w:rsidR="00EF3DFB" w:rsidRDefault="00D27C17">
            <w:pPr>
              <w:pStyle w:val="TableParagraph"/>
              <w:spacing w:before="25" w:line="230" w:lineRule="exact"/>
              <w:ind w:right="80"/>
              <w:jc w:val="right"/>
              <w:rPr>
                <w:sz w:val="20"/>
              </w:rPr>
            </w:pPr>
            <w:r>
              <w:rPr>
                <w:sz w:val="20"/>
              </w:rPr>
              <w:t>830</w:t>
            </w:r>
          </w:p>
        </w:tc>
      </w:tr>
      <w:tr w:rsidR="00EF3DFB" w14:paraId="7326C4D7" w14:textId="77777777">
        <w:trPr>
          <w:trHeight w:val="275"/>
        </w:trPr>
        <w:tc>
          <w:tcPr>
            <w:tcW w:w="6226" w:type="dxa"/>
            <w:shd w:val="clear" w:color="auto" w:fill="CCEDFF"/>
          </w:tcPr>
          <w:p w14:paraId="7326C4D4" w14:textId="77777777" w:rsidR="00EF3DFB" w:rsidRDefault="00D27C17">
            <w:pPr>
              <w:pStyle w:val="TableParagraph"/>
              <w:spacing w:line="224" w:lineRule="exact"/>
              <w:ind w:left="52"/>
              <w:rPr>
                <w:sz w:val="20"/>
              </w:rPr>
            </w:pPr>
            <w:r>
              <w:rPr>
                <w:sz w:val="20"/>
              </w:rPr>
              <w:t>Loss before income taxes</w:t>
            </w:r>
          </w:p>
        </w:tc>
        <w:tc>
          <w:tcPr>
            <w:tcW w:w="3176" w:type="dxa"/>
            <w:tcBorders>
              <w:top w:val="single" w:sz="8" w:space="0" w:color="000000"/>
            </w:tcBorders>
            <w:shd w:val="clear" w:color="auto" w:fill="CCEDFF"/>
          </w:tcPr>
          <w:p w14:paraId="7326C4D5" w14:textId="77777777" w:rsidR="00EF3DFB" w:rsidRDefault="00D27C17">
            <w:pPr>
              <w:pStyle w:val="TableParagraph"/>
              <w:spacing w:before="15"/>
              <w:ind w:right="71"/>
              <w:jc w:val="right"/>
              <w:rPr>
                <w:sz w:val="20"/>
              </w:rPr>
            </w:pPr>
            <w:r>
              <w:rPr>
                <w:sz w:val="20"/>
              </w:rPr>
              <w:t>(48)</w:t>
            </w:r>
          </w:p>
        </w:tc>
        <w:tc>
          <w:tcPr>
            <w:tcW w:w="1219" w:type="dxa"/>
            <w:tcBorders>
              <w:top w:val="single" w:sz="8" w:space="0" w:color="000000"/>
            </w:tcBorders>
            <w:shd w:val="clear" w:color="auto" w:fill="CCEDFF"/>
          </w:tcPr>
          <w:p w14:paraId="7326C4D6" w14:textId="77777777" w:rsidR="00EF3DFB" w:rsidRDefault="00D27C17">
            <w:pPr>
              <w:pStyle w:val="TableParagraph"/>
              <w:spacing w:before="15"/>
              <w:ind w:right="15"/>
              <w:jc w:val="right"/>
              <w:rPr>
                <w:sz w:val="20"/>
              </w:rPr>
            </w:pPr>
            <w:r>
              <w:rPr>
                <w:sz w:val="20"/>
              </w:rPr>
              <w:t>(180)</w:t>
            </w:r>
          </w:p>
        </w:tc>
      </w:tr>
      <w:tr w:rsidR="00EF3DFB" w14:paraId="7326C4DB" w14:textId="77777777">
        <w:trPr>
          <w:trHeight w:val="275"/>
        </w:trPr>
        <w:tc>
          <w:tcPr>
            <w:tcW w:w="6226" w:type="dxa"/>
          </w:tcPr>
          <w:p w14:paraId="7326C4D8" w14:textId="77777777" w:rsidR="00EF3DFB" w:rsidRDefault="00D27C17">
            <w:pPr>
              <w:pStyle w:val="TableParagraph"/>
              <w:spacing w:before="4"/>
              <w:ind w:left="52"/>
              <w:rPr>
                <w:sz w:val="20"/>
              </w:rPr>
            </w:pPr>
            <w:r>
              <w:rPr>
                <w:sz w:val="20"/>
              </w:rPr>
              <w:t>Income tax provision</w:t>
            </w:r>
          </w:p>
        </w:tc>
        <w:tc>
          <w:tcPr>
            <w:tcW w:w="3176" w:type="dxa"/>
            <w:tcBorders>
              <w:bottom w:val="single" w:sz="8" w:space="0" w:color="000000"/>
            </w:tcBorders>
          </w:tcPr>
          <w:p w14:paraId="7326C4D9" w14:textId="77777777" w:rsidR="00EF3DFB" w:rsidRDefault="00D27C17">
            <w:pPr>
              <w:pStyle w:val="TableParagraph"/>
              <w:spacing w:before="25" w:line="230" w:lineRule="exact"/>
              <w:ind w:right="136"/>
              <w:jc w:val="right"/>
              <w:rPr>
                <w:sz w:val="20"/>
              </w:rPr>
            </w:pPr>
            <w:r>
              <w:rPr>
                <w:sz w:val="20"/>
              </w:rPr>
              <w:t>31</w:t>
            </w:r>
          </w:p>
        </w:tc>
        <w:tc>
          <w:tcPr>
            <w:tcW w:w="1219" w:type="dxa"/>
            <w:tcBorders>
              <w:bottom w:val="single" w:sz="8" w:space="0" w:color="000000"/>
            </w:tcBorders>
          </w:tcPr>
          <w:p w14:paraId="7326C4DA" w14:textId="77777777" w:rsidR="00EF3DFB" w:rsidRDefault="00D27C17">
            <w:pPr>
              <w:pStyle w:val="TableParagraph"/>
              <w:spacing w:before="25" w:line="230" w:lineRule="exact"/>
              <w:ind w:right="80"/>
              <w:jc w:val="right"/>
              <w:rPr>
                <w:sz w:val="20"/>
              </w:rPr>
            </w:pPr>
            <w:r>
              <w:rPr>
                <w:sz w:val="20"/>
              </w:rPr>
              <w:t>129</w:t>
            </w:r>
          </w:p>
        </w:tc>
      </w:tr>
      <w:tr w:rsidR="00EF3DFB" w14:paraId="7326C4DF" w14:textId="77777777">
        <w:trPr>
          <w:trHeight w:val="275"/>
        </w:trPr>
        <w:tc>
          <w:tcPr>
            <w:tcW w:w="6226" w:type="dxa"/>
            <w:shd w:val="clear" w:color="auto" w:fill="CCEDFF"/>
          </w:tcPr>
          <w:p w14:paraId="7326C4DC" w14:textId="77777777" w:rsidR="00EF3DFB" w:rsidRDefault="00D27C17">
            <w:pPr>
              <w:pStyle w:val="TableParagraph"/>
              <w:spacing w:line="224" w:lineRule="exact"/>
              <w:ind w:left="412"/>
              <w:rPr>
                <w:sz w:val="20"/>
              </w:rPr>
            </w:pPr>
            <w:r>
              <w:rPr>
                <w:sz w:val="20"/>
              </w:rPr>
              <w:t>Net loss</w:t>
            </w:r>
          </w:p>
        </w:tc>
        <w:tc>
          <w:tcPr>
            <w:tcW w:w="3176" w:type="dxa"/>
            <w:tcBorders>
              <w:top w:val="single" w:sz="8" w:space="0" w:color="000000"/>
            </w:tcBorders>
            <w:shd w:val="clear" w:color="auto" w:fill="CCEDFF"/>
          </w:tcPr>
          <w:p w14:paraId="7326C4DD" w14:textId="77777777" w:rsidR="00EF3DFB" w:rsidRDefault="00D27C17">
            <w:pPr>
              <w:pStyle w:val="TableParagraph"/>
              <w:tabs>
                <w:tab w:val="left" w:pos="799"/>
              </w:tabs>
              <w:spacing w:before="15"/>
              <w:ind w:right="71"/>
              <w:jc w:val="right"/>
              <w:rPr>
                <w:sz w:val="20"/>
              </w:rPr>
            </w:pPr>
            <w:r>
              <w:rPr>
                <w:sz w:val="20"/>
                <w:u w:val="single"/>
              </w:rPr>
              <w:t>$</w:t>
            </w:r>
            <w:r>
              <w:rPr>
                <w:sz w:val="20"/>
                <w:u w:val="single"/>
              </w:rPr>
              <w:tab/>
              <w:t>(79)</w:t>
            </w:r>
          </w:p>
        </w:tc>
        <w:tc>
          <w:tcPr>
            <w:tcW w:w="1219" w:type="dxa"/>
            <w:tcBorders>
              <w:top w:val="single" w:sz="8" w:space="0" w:color="000000"/>
            </w:tcBorders>
            <w:shd w:val="clear" w:color="auto" w:fill="CCEDFF"/>
          </w:tcPr>
          <w:p w14:paraId="7326C4DE" w14:textId="77777777" w:rsidR="00EF3DFB" w:rsidRDefault="00D27C17">
            <w:pPr>
              <w:pStyle w:val="TableParagraph"/>
              <w:tabs>
                <w:tab w:val="left" w:pos="699"/>
              </w:tabs>
              <w:spacing w:before="15"/>
              <w:ind w:right="15"/>
              <w:jc w:val="right"/>
              <w:rPr>
                <w:sz w:val="20"/>
              </w:rPr>
            </w:pPr>
            <w:r>
              <w:rPr>
                <w:sz w:val="20"/>
                <w:u w:val="single"/>
              </w:rPr>
              <w:t>$</w:t>
            </w:r>
            <w:r>
              <w:rPr>
                <w:sz w:val="20"/>
                <w:u w:val="single"/>
              </w:rPr>
              <w:tab/>
              <w:t>(309)</w:t>
            </w:r>
          </w:p>
        </w:tc>
      </w:tr>
    </w:tbl>
    <w:p w14:paraId="7326C4E0" w14:textId="4FFAECBF" w:rsidR="00EF3DFB" w:rsidRDefault="00D27C17">
      <w:pPr>
        <w:spacing w:line="20" w:lineRule="exact"/>
        <w:ind w:left="8325"/>
        <w:rPr>
          <w:sz w:val="2"/>
        </w:rPr>
      </w:pPr>
      <w:r>
        <w:rPr>
          <w:noProof/>
          <w:sz w:val="2"/>
        </w:rPr>
        <mc:AlternateContent>
          <mc:Choice Requires="wpg">
            <w:drawing>
              <wp:inline distT="0" distB="0" distL="0" distR="0" wp14:anchorId="7326D70E" wp14:editId="666BC895">
                <wp:extent cx="762000" cy="12700"/>
                <wp:effectExtent l="12700" t="8890" r="6350" b="6985"/>
                <wp:docPr id="448"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49" name="Line 432"/>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8BA732" id="Group 431"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">
                <v:line id="Line 432"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10" wp14:editId="5B8ECBC0">
                <wp:extent cx="762000" cy="12700"/>
                <wp:effectExtent l="12700" t="8890" r="6350" b="6985"/>
                <wp:docPr id="446"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47" name="Line 430"/>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D9CE4E" id="Group 429"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ACLR2dJwIAANsEAAAOAAAAAAAAAAAAAAAAAC4CAABkcnMvZTJvRG9jLnht&#10;bFBLAQItABQABgAIAAAAIQDqJm4U2QAAAAMBAAAPAAAAAAAAAAAAAAAAAIEEAABkcnMvZG93bnJl&#10;di54bWxQSwUGAAAAAAQABADzAAAAhwUAAAAA&#10;">
                <v:line id="Line 430"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" strokeweight="1pt"/>
                <w10:anchorlock/>
              </v:group>
            </w:pict>
          </mc:Fallback>
        </mc:AlternateContent>
      </w:r>
    </w:p>
    <w:p w14:paraId="7326C4E1" w14:textId="77777777" w:rsidR="00EF3DFB" w:rsidRDefault="00D27C17">
      <w:pPr>
        <w:pStyle w:val="ListParagraph"/>
        <w:numPr>
          <w:ilvl w:val="0"/>
          <w:numId w:val="24"/>
        </w:numPr>
        <w:tabs>
          <w:tab w:val="left" w:pos="550"/>
        </w:tabs>
        <w:spacing w:before="161" w:line="249" w:lineRule="auto"/>
        <w:ind w:right="396"/>
        <w:rPr>
          <w:sz w:val="16"/>
        </w:rPr>
      </w:pPr>
      <w:r>
        <w:rPr>
          <w:sz w:val="16"/>
        </w:rPr>
        <w:t>2018 includes a reclassification from cost of products sold to net sales of $13 million related to the adoption of ASU 2014-9 - “Revenue from Contracts</w:t>
      </w:r>
      <w:r>
        <w:rPr>
          <w:spacing w:val="-17"/>
          <w:sz w:val="16"/>
        </w:rPr>
        <w:t xml:space="preserve"> </w:t>
      </w:r>
      <w:r>
        <w:rPr>
          <w:sz w:val="16"/>
        </w:rPr>
        <w:t>with Customers (Topic</w:t>
      </w:r>
      <w:r>
        <w:rPr>
          <w:spacing w:val="-2"/>
          <w:sz w:val="16"/>
        </w:rPr>
        <w:t xml:space="preserve"> </w:t>
      </w:r>
      <w:r>
        <w:rPr>
          <w:sz w:val="16"/>
        </w:rPr>
        <w:t>606)”.</w:t>
      </w:r>
    </w:p>
    <w:p w14:paraId="7326C4E2" w14:textId="77777777" w:rsidR="00EF3DFB" w:rsidRDefault="00D27C17">
      <w:pPr>
        <w:pStyle w:val="ListParagraph"/>
        <w:numPr>
          <w:ilvl w:val="0"/>
          <w:numId w:val="24"/>
        </w:numPr>
        <w:tabs>
          <w:tab w:val="left" w:pos="550"/>
        </w:tabs>
        <w:spacing w:before="122"/>
        <w:jc w:val="both"/>
        <w:rPr>
          <w:sz w:val="16"/>
        </w:rPr>
      </w:pPr>
      <w:r>
        <w:rPr>
          <w:sz w:val="16"/>
        </w:rPr>
        <w:t>2019 and 2018 include gains on sale of discontinued operations of $7 millio</w:t>
      </w:r>
      <w:r>
        <w:rPr>
          <w:sz w:val="16"/>
        </w:rPr>
        <w:t>n and $831 million,</w:t>
      </w:r>
      <w:r>
        <w:rPr>
          <w:spacing w:val="-7"/>
          <w:sz w:val="16"/>
        </w:rPr>
        <w:t xml:space="preserve"> </w:t>
      </w:r>
      <w:r>
        <w:rPr>
          <w:sz w:val="16"/>
        </w:rPr>
        <w:t>respectively.</w:t>
      </w:r>
    </w:p>
    <w:p w14:paraId="7326C4E3" w14:textId="77777777" w:rsidR="00EF3DFB" w:rsidRDefault="00EF3DFB">
      <w:pPr>
        <w:pStyle w:val="BodyText"/>
        <w:spacing w:before="8"/>
      </w:pPr>
    </w:p>
    <w:p w14:paraId="7326C4E4" w14:textId="77777777" w:rsidR="00EF3DFB" w:rsidRDefault="00D27C17">
      <w:pPr>
        <w:ind w:left="190"/>
        <w:jc w:val="both"/>
        <w:rPr>
          <w:i/>
          <w:sz w:val="20"/>
        </w:rPr>
      </w:pPr>
      <w:r>
        <w:rPr>
          <w:i/>
          <w:sz w:val="20"/>
        </w:rPr>
        <w:t>Divestitures</w:t>
      </w:r>
    </w:p>
    <w:p w14:paraId="7326C4E5" w14:textId="77777777" w:rsidR="00EF3DFB" w:rsidRDefault="00EF3DFB">
      <w:pPr>
        <w:pStyle w:val="BodyText"/>
        <w:spacing w:before="5"/>
        <w:rPr>
          <w:i/>
          <w:sz w:val="21"/>
        </w:rPr>
      </w:pPr>
    </w:p>
    <w:p w14:paraId="7326C4E6" w14:textId="77777777" w:rsidR="00EF3DFB" w:rsidRDefault="00D27C17">
      <w:pPr>
        <w:pStyle w:val="Heading3"/>
      </w:pPr>
      <w:r>
        <w:t>2020</w:t>
      </w:r>
    </w:p>
    <w:p w14:paraId="7326C4E7" w14:textId="77777777" w:rsidR="00EF3DFB" w:rsidRDefault="00EF3DFB">
      <w:pPr>
        <w:pStyle w:val="BodyText"/>
        <w:rPr>
          <w:b/>
          <w:i/>
          <w:sz w:val="22"/>
        </w:rPr>
      </w:pPr>
    </w:p>
    <w:p w14:paraId="7326C4E8" w14:textId="77777777" w:rsidR="00EF3DFB" w:rsidRDefault="00D27C17">
      <w:pPr>
        <w:pStyle w:val="BodyText"/>
        <w:spacing w:before="1" w:line="249" w:lineRule="auto"/>
        <w:ind w:left="190" w:right="168"/>
        <w:jc w:val="both"/>
      </w:pPr>
      <w:r>
        <w:t>On August 31, 2020, the Company divested the foam board product line in its Learning and Development segment. As a result, the Company recorded a pre-tax loss of $8 million, which is included in the other (income) expense, net in the Consolidated Statement</w:t>
      </w:r>
      <w:r>
        <w:t>s of Operations.</w:t>
      </w:r>
    </w:p>
    <w:p w14:paraId="7326C4E9" w14:textId="77777777" w:rsidR="00EF3DFB" w:rsidRDefault="00EF3DFB">
      <w:pPr>
        <w:pStyle w:val="BodyText"/>
        <w:spacing w:before="9"/>
      </w:pPr>
    </w:p>
    <w:p w14:paraId="7326C4EA" w14:textId="77777777" w:rsidR="00EF3DFB" w:rsidRDefault="00D27C17">
      <w:pPr>
        <w:pStyle w:val="Heading3"/>
      </w:pPr>
      <w:r>
        <w:t>2019</w:t>
      </w:r>
    </w:p>
    <w:p w14:paraId="7326C4EB" w14:textId="77777777" w:rsidR="00EF3DFB" w:rsidRDefault="00EF3DFB">
      <w:pPr>
        <w:pStyle w:val="BodyText"/>
        <w:rPr>
          <w:b/>
          <w:i/>
          <w:sz w:val="22"/>
        </w:rPr>
      </w:pPr>
    </w:p>
    <w:p w14:paraId="7326C4EC" w14:textId="77777777" w:rsidR="00EF3DFB" w:rsidRDefault="00D27C17">
      <w:pPr>
        <w:pStyle w:val="BodyText"/>
        <w:spacing w:line="249" w:lineRule="auto"/>
        <w:ind w:left="190" w:right="170"/>
        <w:jc w:val="both"/>
      </w:pPr>
      <w:r>
        <w:t>On May 1, 2019, the Company sold its Rexair business to investment funds affiliated with Rhône Capital for approximately $235 million, subject to customary working capital and other post-closing adjustments. As a result, during 2019</w:t>
      </w:r>
      <w:r>
        <w:t>, the Company recorded a pre-tax gain of $2 million, which is included in the loss from discontinued operations.</w:t>
      </w:r>
    </w:p>
    <w:p w14:paraId="7326C4ED" w14:textId="77777777" w:rsidR="00EF3DFB" w:rsidRDefault="00EF3DFB">
      <w:pPr>
        <w:pStyle w:val="BodyText"/>
        <w:spacing w:before="1"/>
        <w:rPr>
          <w:sz w:val="21"/>
        </w:rPr>
      </w:pPr>
    </w:p>
    <w:p w14:paraId="7326C4EE" w14:textId="77777777" w:rsidR="00EF3DFB" w:rsidRDefault="00D27C17">
      <w:pPr>
        <w:pStyle w:val="BodyText"/>
        <w:spacing w:line="249" w:lineRule="auto"/>
        <w:ind w:left="190" w:right="171"/>
        <w:jc w:val="both"/>
      </w:pPr>
      <w:r>
        <w:t>On May 1, 2019, the Company sold its Process Solutions business to an affiliate of One Rock Capital Partners, LLC, for approximately $500 mill</w:t>
      </w:r>
      <w:r>
        <w:t>ion, subject to customary working capital and other post-closing adjustments. As a result, during 2019, the Company recorded a pre-tax loss of $7 million, which is included in the loss from discontinued operations.</w:t>
      </w:r>
    </w:p>
    <w:p w14:paraId="7326C4EF" w14:textId="77777777" w:rsidR="00EF3DFB" w:rsidRDefault="00EF3DFB">
      <w:pPr>
        <w:pStyle w:val="BodyText"/>
        <w:spacing w:before="1"/>
        <w:rPr>
          <w:sz w:val="21"/>
        </w:rPr>
      </w:pPr>
    </w:p>
    <w:p w14:paraId="7326C4F0" w14:textId="77777777" w:rsidR="00EF3DFB" w:rsidRDefault="00D27C17">
      <w:pPr>
        <w:pStyle w:val="BodyText"/>
        <w:spacing w:line="249" w:lineRule="auto"/>
        <w:ind w:left="190" w:right="169"/>
        <w:jc w:val="both"/>
      </w:pPr>
      <w:r>
        <w:t>On December 31, 2019, the Company sold T</w:t>
      </w:r>
      <w:r>
        <w:t>he Playing Cards Company to Cartamundi Inc. and Cartamundi España S.L. for $220 million, subject to customary working capital and other post-closing adjustments. As a result, during 2019, the Company recorded a pre-tax loss of $5 million, which is included</w:t>
      </w:r>
      <w:r>
        <w:t xml:space="preserve"> in the loss from discontinued operations.</w:t>
      </w:r>
    </w:p>
    <w:p w14:paraId="7326C4F1" w14:textId="77777777" w:rsidR="00EF3DFB" w:rsidRDefault="00EF3DFB">
      <w:pPr>
        <w:pStyle w:val="BodyText"/>
        <w:spacing w:before="1"/>
        <w:rPr>
          <w:sz w:val="21"/>
        </w:rPr>
      </w:pPr>
    </w:p>
    <w:p w14:paraId="7326C4F2" w14:textId="77777777" w:rsidR="00EF3DFB" w:rsidRDefault="00D27C17">
      <w:pPr>
        <w:pStyle w:val="BodyText"/>
        <w:spacing w:line="249" w:lineRule="auto"/>
        <w:ind w:left="190" w:right="168"/>
        <w:jc w:val="both"/>
      </w:pPr>
      <w:r>
        <w:t xml:space="preserve">During 2019, the Company recorded impairment charges of $112 million, which is included in the loss from discontinued operations, related to the write-down of the carrying value of the net assets of certain held </w:t>
      </w:r>
      <w:r>
        <w:t>for sale businesses based on their estimated fair value.</w:t>
      </w:r>
    </w:p>
    <w:p w14:paraId="7326C4F3" w14:textId="77777777" w:rsidR="00EF3DFB" w:rsidRDefault="00EF3DFB">
      <w:pPr>
        <w:pStyle w:val="BodyText"/>
        <w:spacing w:before="3"/>
        <w:rPr>
          <w:sz w:val="31"/>
        </w:rPr>
      </w:pPr>
    </w:p>
    <w:p w14:paraId="7326C4F4" w14:textId="77777777" w:rsidR="00EF3DFB" w:rsidRDefault="00D27C17">
      <w:pPr>
        <w:pStyle w:val="Heading3"/>
      </w:pPr>
      <w:r>
        <w:t>2018</w:t>
      </w:r>
    </w:p>
    <w:p w14:paraId="7326C4F5" w14:textId="77777777" w:rsidR="00EF3DFB" w:rsidRDefault="00EF3DFB">
      <w:pPr>
        <w:pStyle w:val="BodyText"/>
        <w:rPr>
          <w:b/>
          <w:i/>
          <w:sz w:val="22"/>
        </w:rPr>
      </w:pPr>
    </w:p>
    <w:p w14:paraId="7326C4F6" w14:textId="77777777" w:rsidR="00EF3DFB" w:rsidRDefault="00D27C17">
      <w:pPr>
        <w:pStyle w:val="BodyText"/>
        <w:spacing w:line="249" w:lineRule="auto"/>
        <w:ind w:left="190" w:right="168"/>
        <w:jc w:val="both"/>
      </w:pPr>
      <w:r>
        <w:t>On June 29, 2018, the Company sold Rawlings to a fund managed by Seidler Equity Partners with a co-investment of Major League Baseball for approximately $400 million, subject to customary working capital and other post-closing adjustments. As a result, dur</w:t>
      </w:r>
      <w:r>
        <w:t>ing 2018, the Company recorded a pre-tax loss of $128 million, which is included in the loss from discontinued operations.</w:t>
      </w:r>
    </w:p>
    <w:p w14:paraId="7326C4F7" w14:textId="77777777" w:rsidR="00EF3DFB" w:rsidRDefault="00EF3DFB">
      <w:pPr>
        <w:pStyle w:val="BodyText"/>
        <w:spacing w:before="1"/>
        <w:rPr>
          <w:sz w:val="21"/>
        </w:rPr>
      </w:pPr>
    </w:p>
    <w:p w14:paraId="7326C4F8" w14:textId="77777777" w:rsidR="00EF3DFB" w:rsidRDefault="00D27C17">
      <w:pPr>
        <w:pStyle w:val="BodyText"/>
        <w:spacing w:line="249" w:lineRule="auto"/>
        <w:ind w:left="190" w:right="170"/>
        <w:jc w:val="both"/>
      </w:pPr>
      <w:r>
        <w:t>On June 29, 2018, the Company sold Waddington to Novolex Holdings LLC for approximately $2.3 billion, subject to customary working c</w:t>
      </w:r>
      <w:r>
        <w:t>apital and other post-closing adjustments. As a result, during 2018, the Company recorded a pre-tax gain of $599 million, which is included in the loss from discontinued operations.</w:t>
      </w:r>
    </w:p>
    <w:p w14:paraId="7326C4F9" w14:textId="77777777" w:rsidR="00EF3DFB" w:rsidRDefault="00EF3DFB">
      <w:pPr>
        <w:spacing w:line="249" w:lineRule="auto"/>
        <w:jc w:val="both"/>
        <w:sectPr w:rsidR="00EF3DFB">
          <w:pgSz w:w="12240" w:h="15840"/>
          <w:pgMar w:top="1080" w:right="640" w:bottom="480" w:left="620" w:header="0" w:footer="291" w:gutter="0"/>
          <w:cols w:space="720"/>
        </w:sectPr>
      </w:pPr>
    </w:p>
    <w:p w14:paraId="7326C4FA" w14:textId="77777777" w:rsidR="00EF3DFB" w:rsidRDefault="00D27C17">
      <w:pPr>
        <w:pStyle w:val="BodyText"/>
        <w:spacing w:before="72"/>
        <w:ind w:left="190"/>
      </w:pPr>
      <w:r>
        <w:lastRenderedPageBreak/>
        <w:t xml:space="preserve">On August 31, 2018, the Company sold its Goody business, to </w:t>
      </w:r>
      <w:r>
        <w:t>a fund managed by ACON Investments, L.L.C. for approximately</w:t>
      </w:r>
    </w:p>
    <w:p w14:paraId="7326C4FB" w14:textId="77777777" w:rsidR="00EF3DFB" w:rsidRDefault="00D27C17">
      <w:pPr>
        <w:pStyle w:val="BodyText"/>
        <w:spacing w:before="10" w:line="249" w:lineRule="auto"/>
        <w:ind w:left="190" w:right="170"/>
        <w:jc w:val="both"/>
      </w:pPr>
      <w:r>
        <w:t xml:space="preserve">$109 million, subject to customary working capital and other post-closing adjustments. As a result, during 2018, the Company recorded a pre-tax gain of $20 million, which is included in the loss </w:t>
      </w:r>
      <w:r>
        <w:t>from discontinued operations.</w:t>
      </w:r>
    </w:p>
    <w:p w14:paraId="7326C4FC" w14:textId="77777777" w:rsidR="00EF3DFB" w:rsidRDefault="00EF3DFB">
      <w:pPr>
        <w:pStyle w:val="BodyText"/>
        <w:rPr>
          <w:sz w:val="21"/>
        </w:rPr>
      </w:pPr>
    </w:p>
    <w:p w14:paraId="7326C4FD" w14:textId="77777777" w:rsidR="00EF3DFB" w:rsidRDefault="00D27C17">
      <w:pPr>
        <w:pStyle w:val="BodyText"/>
        <w:spacing w:line="249" w:lineRule="auto"/>
        <w:ind w:left="190" w:right="169"/>
        <w:jc w:val="both"/>
      </w:pPr>
      <w:r>
        <w:t>On December 21, 2018, the Company sold Jostens to Platinum Equity for approximately $1.3 billion, subject to customary working capital and other post-closing adjustments. As a result, during 2018, the Company recorded a pre-t</w:t>
      </w:r>
      <w:r>
        <w:t>ax loss of $32 million, which is included in the loss from discontinued operations.</w:t>
      </w:r>
    </w:p>
    <w:p w14:paraId="7326C4FE" w14:textId="77777777" w:rsidR="00EF3DFB" w:rsidRDefault="00EF3DFB">
      <w:pPr>
        <w:pStyle w:val="BodyText"/>
        <w:spacing w:before="1"/>
        <w:rPr>
          <w:sz w:val="21"/>
        </w:rPr>
      </w:pPr>
    </w:p>
    <w:p w14:paraId="7326C4FF" w14:textId="77777777" w:rsidR="00EF3DFB" w:rsidRDefault="00D27C17">
      <w:pPr>
        <w:pStyle w:val="BodyText"/>
        <w:spacing w:line="249" w:lineRule="auto"/>
        <w:ind w:left="190" w:right="168"/>
        <w:jc w:val="both"/>
      </w:pPr>
      <w:r>
        <w:t>On December 21, 2018, the Company sold Pure Fishing to Sycamore Partners for approximately $1.3 billion, subject to customary working capital and other post-closing adjust</w:t>
      </w:r>
      <w:r>
        <w:t>ments. As a result, during 2018, the Company recorded a pre-tax gain of $372 million, which is included in the loss from discontinued operations.</w:t>
      </w:r>
    </w:p>
    <w:p w14:paraId="7326C500" w14:textId="77777777" w:rsidR="00EF3DFB" w:rsidRDefault="00EF3DFB">
      <w:pPr>
        <w:pStyle w:val="BodyText"/>
        <w:spacing w:before="1"/>
        <w:rPr>
          <w:sz w:val="21"/>
        </w:rPr>
      </w:pPr>
    </w:p>
    <w:p w14:paraId="7326C501" w14:textId="77777777" w:rsidR="00EF3DFB" w:rsidRDefault="00D27C17">
      <w:pPr>
        <w:pStyle w:val="BodyText"/>
        <w:spacing w:line="249" w:lineRule="auto"/>
        <w:ind w:left="190" w:right="169"/>
        <w:jc w:val="both"/>
      </w:pPr>
      <w:r>
        <w:t>During 2018, the Company recorded an impairment charge primarily related to goodwill and indefinite-lived int</w:t>
      </w:r>
      <w:r>
        <w:t>angible assets totaling $1.5 billion, which is included in the loss from discontinued operations, primarily related to the write-down of the carrying value of the net assets of certain held for sale businesses based on their estimated fair value.</w:t>
      </w:r>
    </w:p>
    <w:p w14:paraId="7326C502" w14:textId="77777777" w:rsidR="00EF3DFB" w:rsidRDefault="00EF3DFB">
      <w:pPr>
        <w:pStyle w:val="BodyText"/>
        <w:spacing w:before="2"/>
        <w:rPr>
          <w:sz w:val="31"/>
        </w:rPr>
      </w:pPr>
    </w:p>
    <w:p w14:paraId="7326C503" w14:textId="77777777" w:rsidR="00EF3DFB" w:rsidRDefault="00D27C17">
      <w:pPr>
        <w:pStyle w:val="Heading2"/>
        <w:spacing w:before="1"/>
        <w:jc w:val="left"/>
      </w:pPr>
      <w:bookmarkStart w:id="51" w:name="Footnote_3_—_Accumulated_Other_Comprehen"/>
      <w:bookmarkEnd w:id="51"/>
      <w:r>
        <w:t>Footnote</w:t>
      </w:r>
      <w:r>
        <w:t xml:space="preserve"> 3 — Accumulated Other Comprehensive Income (Loss)</w:t>
      </w:r>
    </w:p>
    <w:p w14:paraId="7326C504" w14:textId="77777777" w:rsidR="00EF3DFB" w:rsidRDefault="00EF3DFB">
      <w:pPr>
        <w:pStyle w:val="BodyText"/>
        <w:rPr>
          <w:b/>
          <w:sz w:val="22"/>
        </w:rPr>
      </w:pPr>
    </w:p>
    <w:p w14:paraId="7326C505" w14:textId="77777777" w:rsidR="00EF3DFB" w:rsidRDefault="00D27C17">
      <w:pPr>
        <w:pStyle w:val="BodyText"/>
        <w:spacing w:line="249" w:lineRule="auto"/>
        <w:ind w:left="190" w:right="169"/>
        <w:jc w:val="both"/>
      </w:pPr>
      <w:r>
        <w:t>The following tables display the components of AOCL, net of tax, as of and for the years ended December 31, 2020 and 2019 (in millions):</w:t>
      </w:r>
    </w:p>
    <w:p w14:paraId="7326C506" w14:textId="77777777" w:rsidR="00EF3DFB" w:rsidRDefault="00EF3DFB">
      <w:pPr>
        <w:pStyle w:val="BodyText"/>
        <w:spacing w:before="8"/>
        <w:rPr>
          <w:sz w:val="17"/>
        </w:rPr>
      </w:pPr>
    </w:p>
    <w:tbl>
      <w:tblPr>
        <w:tblW w:w="0" w:type="auto"/>
        <w:tblInd w:w="190" w:type="dxa"/>
        <w:tblLayout w:type="fixed"/>
        <w:tblCellMar>
          <w:left w:w="0" w:type="dxa"/>
          <w:right w:w="0" w:type="dxa"/>
        </w:tblCellMar>
        <w:tblLook w:val="01E0" w:firstRow="1" w:lastRow="1" w:firstColumn="1" w:lastColumn="1" w:noHBand="0" w:noVBand="0"/>
      </w:tblPr>
      <w:tblGrid>
        <w:gridCol w:w="5222"/>
        <w:gridCol w:w="1629"/>
        <w:gridCol w:w="1275"/>
        <w:gridCol w:w="1275"/>
        <w:gridCol w:w="1219"/>
      </w:tblGrid>
      <w:tr w:rsidR="00EF3DFB" w14:paraId="7326C511" w14:textId="77777777">
        <w:trPr>
          <w:trHeight w:val="580"/>
        </w:trPr>
        <w:tc>
          <w:tcPr>
            <w:tcW w:w="5222" w:type="dxa"/>
          </w:tcPr>
          <w:p w14:paraId="7326C507" w14:textId="77777777" w:rsidR="00EF3DFB" w:rsidRDefault="00EF3DFB">
            <w:pPr>
              <w:pStyle w:val="TableParagraph"/>
              <w:rPr>
                <w:sz w:val="18"/>
              </w:rPr>
            </w:pPr>
          </w:p>
        </w:tc>
        <w:tc>
          <w:tcPr>
            <w:tcW w:w="1629" w:type="dxa"/>
            <w:tcBorders>
              <w:bottom w:val="single" w:sz="8" w:space="0" w:color="000000"/>
            </w:tcBorders>
          </w:tcPr>
          <w:p w14:paraId="7326C508" w14:textId="77777777" w:rsidR="00EF3DFB" w:rsidRDefault="00D27C17">
            <w:pPr>
              <w:pStyle w:val="TableParagraph"/>
              <w:spacing w:line="249" w:lineRule="auto"/>
              <w:ind w:left="573" w:right="235"/>
              <w:rPr>
                <w:b/>
                <w:sz w:val="16"/>
              </w:rPr>
            </w:pPr>
            <w:r>
              <w:rPr>
                <w:b/>
                <w:sz w:val="16"/>
              </w:rPr>
              <w:t>Cumulative Translation</w:t>
            </w:r>
          </w:p>
          <w:p w14:paraId="7326C509" w14:textId="77777777" w:rsidR="00EF3DFB" w:rsidRDefault="00D27C17">
            <w:pPr>
              <w:pStyle w:val="TableParagraph"/>
              <w:spacing w:line="184" w:lineRule="exact"/>
              <w:ind w:left="568"/>
              <w:rPr>
                <w:b/>
                <w:sz w:val="16"/>
              </w:rPr>
            </w:pPr>
            <w:r>
              <w:rPr>
                <w:b/>
                <w:sz w:val="16"/>
              </w:rPr>
              <w:t>Adjustment</w:t>
            </w:r>
          </w:p>
        </w:tc>
        <w:tc>
          <w:tcPr>
            <w:tcW w:w="1275" w:type="dxa"/>
            <w:tcBorders>
              <w:bottom w:val="single" w:sz="8" w:space="0" w:color="000000"/>
            </w:tcBorders>
          </w:tcPr>
          <w:p w14:paraId="7326C50A" w14:textId="77777777" w:rsidR="00EF3DFB" w:rsidRDefault="00D27C17">
            <w:pPr>
              <w:pStyle w:val="TableParagraph"/>
              <w:spacing w:line="249" w:lineRule="auto"/>
              <w:ind w:left="108" w:right="142" w:hanging="1"/>
              <w:jc w:val="center"/>
              <w:rPr>
                <w:b/>
                <w:sz w:val="16"/>
              </w:rPr>
            </w:pPr>
            <w:r>
              <w:rPr>
                <w:b/>
                <w:sz w:val="16"/>
              </w:rPr>
              <w:t>Pension and Postretirement</w:t>
            </w:r>
          </w:p>
          <w:p w14:paraId="7326C50B" w14:textId="77777777" w:rsidR="00EF3DFB" w:rsidRDefault="00D27C17">
            <w:pPr>
              <w:pStyle w:val="TableParagraph"/>
              <w:spacing w:line="184" w:lineRule="exact"/>
              <w:ind w:left="377" w:right="411"/>
              <w:jc w:val="center"/>
              <w:rPr>
                <w:b/>
                <w:sz w:val="16"/>
              </w:rPr>
            </w:pPr>
            <w:r>
              <w:rPr>
                <w:b/>
                <w:sz w:val="16"/>
              </w:rPr>
              <w:t>Cost</w:t>
            </w:r>
          </w:p>
        </w:tc>
        <w:tc>
          <w:tcPr>
            <w:tcW w:w="1275" w:type="dxa"/>
            <w:tcBorders>
              <w:bottom w:val="single" w:sz="8" w:space="0" w:color="000000"/>
            </w:tcBorders>
          </w:tcPr>
          <w:p w14:paraId="7326C50C" w14:textId="77777777" w:rsidR="00EF3DFB" w:rsidRDefault="00D27C17">
            <w:pPr>
              <w:pStyle w:val="TableParagraph"/>
              <w:spacing w:line="249" w:lineRule="auto"/>
              <w:ind w:left="299" w:right="281" w:hanging="36"/>
              <w:rPr>
                <w:b/>
                <w:sz w:val="16"/>
              </w:rPr>
            </w:pPr>
            <w:r>
              <w:rPr>
                <w:b/>
                <w:sz w:val="16"/>
              </w:rPr>
              <w:t>Derivative Financial</w:t>
            </w:r>
          </w:p>
          <w:p w14:paraId="7326C50D" w14:textId="77777777" w:rsidR="00EF3DFB" w:rsidRDefault="00D27C17">
            <w:pPr>
              <w:pStyle w:val="TableParagraph"/>
              <w:spacing w:line="184" w:lineRule="exact"/>
              <w:ind w:left="201"/>
              <w:rPr>
                <w:b/>
                <w:sz w:val="16"/>
              </w:rPr>
            </w:pPr>
            <w:r>
              <w:rPr>
                <w:b/>
                <w:sz w:val="16"/>
              </w:rPr>
              <w:t>Instruments</w:t>
            </w:r>
          </w:p>
        </w:tc>
        <w:tc>
          <w:tcPr>
            <w:tcW w:w="1219" w:type="dxa"/>
            <w:tcBorders>
              <w:bottom w:val="single" w:sz="8" w:space="0" w:color="000000"/>
            </w:tcBorders>
          </w:tcPr>
          <w:p w14:paraId="7326C50E" w14:textId="77777777" w:rsidR="00EF3DFB" w:rsidRDefault="00EF3DFB">
            <w:pPr>
              <w:pStyle w:val="TableParagraph"/>
              <w:rPr>
                <w:sz w:val="18"/>
              </w:rPr>
            </w:pPr>
          </w:p>
          <w:p w14:paraId="7326C50F" w14:textId="77777777" w:rsidR="00EF3DFB" w:rsidRDefault="00EF3DFB">
            <w:pPr>
              <w:pStyle w:val="TableParagraph"/>
              <w:spacing w:before="9"/>
              <w:rPr>
                <w:sz w:val="14"/>
              </w:rPr>
            </w:pPr>
          </w:p>
          <w:p w14:paraId="7326C510" w14:textId="77777777" w:rsidR="00EF3DFB" w:rsidRDefault="00D27C17">
            <w:pPr>
              <w:pStyle w:val="TableParagraph"/>
              <w:spacing w:line="184" w:lineRule="exact"/>
              <w:ind w:left="388"/>
              <w:rPr>
                <w:b/>
                <w:sz w:val="16"/>
              </w:rPr>
            </w:pPr>
            <w:r>
              <w:rPr>
                <w:b/>
                <w:sz w:val="16"/>
              </w:rPr>
              <w:t>AOCL</w:t>
            </w:r>
          </w:p>
        </w:tc>
      </w:tr>
      <w:tr w:rsidR="00EF3DFB" w14:paraId="7326C517" w14:textId="77777777">
        <w:trPr>
          <w:trHeight w:val="275"/>
        </w:trPr>
        <w:tc>
          <w:tcPr>
            <w:tcW w:w="5222" w:type="dxa"/>
            <w:shd w:val="clear" w:color="auto" w:fill="CCEDFF"/>
          </w:tcPr>
          <w:p w14:paraId="7326C512" w14:textId="77777777" w:rsidR="00EF3DFB" w:rsidRDefault="00D27C17">
            <w:pPr>
              <w:pStyle w:val="TableParagraph"/>
              <w:spacing w:line="224" w:lineRule="exact"/>
              <w:ind w:left="52"/>
              <w:rPr>
                <w:sz w:val="20"/>
              </w:rPr>
            </w:pPr>
            <w:r>
              <w:rPr>
                <w:sz w:val="20"/>
              </w:rPr>
              <w:t>Balance at December 31, 2018</w:t>
            </w:r>
          </w:p>
        </w:tc>
        <w:tc>
          <w:tcPr>
            <w:tcW w:w="1629" w:type="dxa"/>
            <w:tcBorders>
              <w:top w:val="single" w:sz="8" w:space="0" w:color="000000"/>
            </w:tcBorders>
            <w:shd w:val="clear" w:color="auto" w:fill="CCEDFF"/>
          </w:tcPr>
          <w:p w14:paraId="7326C513" w14:textId="77777777" w:rsidR="00EF3DFB" w:rsidRDefault="00D27C17">
            <w:pPr>
              <w:pStyle w:val="TableParagraph"/>
              <w:tabs>
                <w:tab w:val="left" w:pos="699"/>
              </w:tabs>
              <w:spacing w:before="15"/>
              <w:ind w:right="70"/>
              <w:jc w:val="right"/>
              <w:rPr>
                <w:sz w:val="20"/>
              </w:rPr>
            </w:pPr>
            <w:r>
              <w:rPr>
                <w:sz w:val="20"/>
              </w:rPr>
              <w:t>$</w:t>
            </w:r>
            <w:r>
              <w:rPr>
                <w:sz w:val="20"/>
              </w:rPr>
              <w:tab/>
              <w:t>(493)</w:t>
            </w:r>
          </w:p>
        </w:tc>
        <w:tc>
          <w:tcPr>
            <w:tcW w:w="1275" w:type="dxa"/>
            <w:tcBorders>
              <w:top w:val="single" w:sz="8" w:space="0" w:color="000000"/>
            </w:tcBorders>
            <w:shd w:val="clear" w:color="auto" w:fill="CCEDFF"/>
          </w:tcPr>
          <w:p w14:paraId="7326C514" w14:textId="77777777" w:rsidR="00EF3DFB" w:rsidRDefault="00D27C17">
            <w:pPr>
              <w:pStyle w:val="TableParagraph"/>
              <w:tabs>
                <w:tab w:val="left" w:pos="699"/>
              </w:tabs>
              <w:spacing w:before="15"/>
              <w:ind w:right="70"/>
              <w:jc w:val="right"/>
              <w:rPr>
                <w:sz w:val="20"/>
              </w:rPr>
            </w:pPr>
            <w:r>
              <w:rPr>
                <w:sz w:val="20"/>
              </w:rPr>
              <w:t>$</w:t>
            </w:r>
            <w:r>
              <w:rPr>
                <w:sz w:val="20"/>
              </w:rPr>
              <w:tab/>
              <w:t>(398)</w:t>
            </w:r>
          </w:p>
        </w:tc>
        <w:tc>
          <w:tcPr>
            <w:tcW w:w="1275" w:type="dxa"/>
            <w:tcBorders>
              <w:top w:val="single" w:sz="8" w:space="0" w:color="000000"/>
            </w:tcBorders>
            <w:shd w:val="clear" w:color="auto" w:fill="CCEDFF"/>
          </w:tcPr>
          <w:p w14:paraId="7326C515" w14:textId="77777777" w:rsidR="00EF3DFB" w:rsidRDefault="00D27C17">
            <w:pPr>
              <w:pStyle w:val="TableParagraph"/>
              <w:tabs>
                <w:tab w:val="left" w:pos="799"/>
              </w:tabs>
              <w:spacing w:before="15"/>
              <w:ind w:right="70"/>
              <w:jc w:val="right"/>
              <w:rPr>
                <w:sz w:val="20"/>
              </w:rPr>
            </w:pPr>
            <w:r>
              <w:rPr>
                <w:sz w:val="20"/>
              </w:rPr>
              <w:t>$</w:t>
            </w:r>
            <w:r>
              <w:rPr>
                <w:sz w:val="20"/>
              </w:rPr>
              <w:tab/>
              <w:t>(22)</w:t>
            </w:r>
          </w:p>
        </w:tc>
        <w:tc>
          <w:tcPr>
            <w:tcW w:w="1219" w:type="dxa"/>
            <w:tcBorders>
              <w:top w:val="single" w:sz="8" w:space="0" w:color="000000"/>
            </w:tcBorders>
            <w:shd w:val="clear" w:color="auto" w:fill="CCEDFF"/>
          </w:tcPr>
          <w:p w14:paraId="7326C516" w14:textId="77777777" w:rsidR="00EF3DFB" w:rsidRDefault="00D27C17">
            <w:pPr>
              <w:pStyle w:val="TableParagraph"/>
              <w:tabs>
                <w:tab w:val="left" w:pos="699"/>
              </w:tabs>
              <w:spacing w:before="15"/>
              <w:ind w:right="14"/>
              <w:jc w:val="right"/>
              <w:rPr>
                <w:sz w:val="20"/>
              </w:rPr>
            </w:pPr>
            <w:r>
              <w:rPr>
                <w:sz w:val="20"/>
              </w:rPr>
              <w:t>$</w:t>
            </w:r>
            <w:r>
              <w:rPr>
                <w:sz w:val="20"/>
              </w:rPr>
              <w:tab/>
              <w:t>(913)</w:t>
            </w:r>
          </w:p>
        </w:tc>
      </w:tr>
      <w:tr w:rsidR="00EF3DFB" w14:paraId="7326C51D" w14:textId="77777777">
        <w:trPr>
          <w:trHeight w:val="285"/>
        </w:trPr>
        <w:tc>
          <w:tcPr>
            <w:tcW w:w="5222" w:type="dxa"/>
          </w:tcPr>
          <w:p w14:paraId="7326C518" w14:textId="77777777" w:rsidR="00EF3DFB" w:rsidRDefault="00D27C17">
            <w:pPr>
              <w:pStyle w:val="TableParagraph"/>
              <w:spacing w:before="4"/>
              <w:ind w:left="52"/>
              <w:rPr>
                <w:sz w:val="20"/>
              </w:rPr>
            </w:pPr>
            <w:r>
              <w:rPr>
                <w:sz w:val="20"/>
              </w:rPr>
              <w:t>Other comprehensive income (loss) before reclassifications</w:t>
            </w:r>
          </w:p>
        </w:tc>
        <w:tc>
          <w:tcPr>
            <w:tcW w:w="1629" w:type="dxa"/>
          </w:tcPr>
          <w:p w14:paraId="7326C519" w14:textId="77777777" w:rsidR="00EF3DFB" w:rsidRDefault="00D27C17">
            <w:pPr>
              <w:pStyle w:val="TableParagraph"/>
              <w:spacing w:before="25"/>
              <w:ind w:right="135"/>
              <w:jc w:val="right"/>
              <w:rPr>
                <w:sz w:val="20"/>
              </w:rPr>
            </w:pPr>
            <w:r>
              <w:rPr>
                <w:sz w:val="20"/>
              </w:rPr>
              <w:t>4</w:t>
            </w:r>
          </w:p>
        </w:tc>
        <w:tc>
          <w:tcPr>
            <w:tcW w:w="1275" w:type="dxa"/>
          </w:tcPr>
          <w:p w14:paraId="7326C51A" w14:textId="77777777" w:rsidR="00EF3DFB" w:rsidRDefault="00D27C17">
            <w:pPr>
              <w:pStyle w:val="TableParagraph"/>
              <w:spacing w:before="25"/>
              <w:ind w:right="70"/>
              <w:jc w:val="right"/>
              <w:rPr>
                <w:sz w:val="20"/>
              </w:rPr>
            </w:pPr>
            <w:r>
              <w:rPr>
                <w:sz w:val="20"/>
              </w:rPr>
              <w:t>(8)</w:t>
            </w:r>
          </w:p>
        </w:tc>
        <w:tc>
          <w:tcPr>
            <w:tcW w:w="1275" w:type="dxa"/>
          </w:tcPr>
          <w:p w14:paraId="7326C51B" w14:textId="77777777" w:rsidR="00EF3DFB" w:rsidRDefault="00D27C17">
            <w:pPr>
              <w:pStyle w:val="TableParagraph"/>
              <w:spacing w:before="25"/>
              <w:ind w:right="70"/>
              <w:jc w:val="right"/>
              <w:rPr>
                <w:sz w:val="20"/>
              </w:rPr>
            </w:pPr>
            <w:r>
              <w:rPr>
                <w:sz w:val="20"/>
              </w:rPr>
              <w:t>(14)</w:t>
            </w:r>
          </w:p>
        </w:tc>
        <w:tc>
          <w:tcPr>
            <w:tcW w:w="1219" w:type="dxa"/>
          </w:tcPr>
          <w:p w14:paraId="7326C51C" w14:textId="77777777" w:rsidR="00EF3DFB" w:rsidRDefault="00D27C17">
            <w:pPr>
              <w:pStyle w:val="TableParagraph"/>
              <w:spacing w:before="25"/>
              <w:ind w:right="14"/>
              <w:jc w:val="right"/>
              <w:rPr>
                <w:sz w:val="20"/>
              </w:rPr>
            </w:pPr>
            <w:r>
              <w:rPr>
                <w:sz w:val="20"/>
              </w:rPr>
              <w:t>(18)</w:t>
            </w:r>
          </w:p>
        </w:tc>
      </w:tr>
      <w:tr w:rsidR="00EF3DFB" w14:paraId="7326C523" w14:textId="77777777">
        <w:trPr>
          <w:trHeight w:val="275"/>
        </w:trPr>
        <w:tc>
          <w:tcPr>
            <w:tcW w:w="5222" w:type="dxa"/>
            <w:shd w:val="clear" w:color="auto" w:fill="CCEDFF"/>
          </w:tcPr>
          <w:p w14:paraId="7326C51E" w14:textId="77777777" w:rsidR="00EF3DFB" w:rsidRDefault="00D27C17">
            <w:pPr>
              <w:pStyle w:val="TableParagraph"/>
              <w:spacing w:before="4"/>
              <w:ind w:left="52"/>
              <w:rPr>
                <w:sz w:val="20"/>
              </w:rPr>
            </w:pPr>
            <w:r>
              <w:rPr>
                <w:sz w:val="20"/>
              </w:rPr>
              <w:t>Amounts reclassified to earnings</w:t>
            </w:r>
          </w:p>
        </w:tc>
        <w:tc>
          <w:tcPr>
            <w:tcW w:w="1629" w:type="dxa"/>
            <w:tcBorders>
              <w:bottom w:val="single" w:sz="8" w:space="0" w:color="000000"/>
            </w:tcBorders>
            <w:shd w:val="clear" w:color="auto" w:fill="CCEDFF"/>
          </w:tcPr>
          <w:p w14:paraId="7326C51F" w14:textId="77777777" w:rsidR="00EF3DFB" w:rsidRDefault="00D27C17">
            <w:pPr>
              <w:pStyle w:val="TableParagraph"/>
              <w:spacing w:before="25" w:line="230" w:lineRule="exact"/>
              <w:ind w:right="135"/>
              <w:jc w:val="right"/>
              <w:rPr>
                <w:sz w:val="20"/>
              </w:rPr>
            </w:pPr>
            <w:r>
              <w:rPr>
                <w:sz w:val="20"/>
              </w:rPr>
              <w:t>10</w:t>
            </w:r>
          </w:p>
        </w:tc>
        <w:tc>
          <w:tcPr>
            <w:tcW w:w="1275" w:type="dxa"/>
            <w:tcBorders>
              <w:bottom w:val="single" w:sz="8" w:space="0" w:color="000000"/>
            </w:tcBorders>
            <w:shd w:val="clear" w:color="auto" w:fill="CCEDFF"/>
          </w:tcPr>
          <w:p w14:paraId="7326C520" w14:textId="77777777" w:rsidR="00EF3DFB" w:rsidRDefault="00D27C17">
            <w:pPr>
              <w:pStyle w:val="TableParagraph"/>
              <w:spacing w:before="25" w:line="230" w:lineRule="exact"/>
              <w:ind w:right="135"/>
              <w:jc w:val="right"/>
              <w:rPr>
                <w:sz w:val="20"/>
              </w:rPr>
            </w:pPr>
            <w:r>
              <w:rPr>
                <w:sz w:val="20"/>
              </w:rPr>
              <w:t>7</w:t>
            </w:r>
          </w:p>
        </w:tc>
        <w:tc>
          <w:tcPr>
            <w:tcW w:w="1275" w:type="dxa"/>
            <w:tcBorders>
              <w:bottom w:val="single" w:sz="8" w:space="0" w:color="000000"/>
            </w:tcBorders>
            <w:shd w:val="clear" w:color="auto" w:fill="CCEDFF"/>
          </w:tcPr>
          <w:p w14:paraId="7326C521" w14:textId="77777777" w:rsidR="00EF3DFB" w:rsidRDefault="00D27C17">
            <w:pPr>
              <w:pStyle w:val="TableParagraph"/>
              <w:spacing w:before="25" w:line="230" w:lineRule="exact"/>
              <w:ind w:right="70"/>
              <w:jc w:val="right"/>
              <w:rPr>
                <w:sz w:val="20"/>
              </w:rPr>
            </w:pPr>
            <w:r>
              <w:rPr>
                <w:sz w:val="20"/>
              </w:rPr>
              <w:t>(6)</w:t>
            </w:r>
          </w:p>
        </w:tc>
        <w:tc>
          <w:tcPr>
            <w:tcW w:w="1219" w:type="dxa"/>
            <w:tcBorders>
              <w:bottom w:val="single" w:sz="8" w:space="0" w:color="000000"/>
            </w:tcBorders>
            <w:shd w:val="clear" w:color="auto" w:fill="CCEDFF"/>
          </w:tcPr>
          <w:p w14:paraId="7326C522" w14:textId="77777777" w:rsidR="00EF3DFB" w:rsidRDefault="00D27C17">
            <w:pPr>
              <w:pStyle w:val="TableParagraph"/>
              <w:spacing w:before="25" w:line="230" w:lineRule="exact"/>
              <w:ind w:right="79"/>
              <w:jc w:val="right"/>
              <w:rPr>
                <w:sz w:val="20"/>
              </w:rPr>
            </w:pPr>
            <w:r>
              <w:rPr>
                <w:sz w:val="20"/>
              </w:rPr>
              <w:t>11</w:t>
            </w:r>
          </w:p>
        </w:tc>
      </w:tr>
      <w:tr w:rsidR="00EF3DFB" w14:paraId="7326C529" w14:textId="77777777">
        <w:trPr>
          <w:trHeight w:val="265"/>
        </w:trPr>
        <w:tc>
          <w:tcPr>
            <w:tcW w:w="5222" w:type="dxa"/>
          </w:tcPr>
          <w:p w14:paraId="7326C524" w14:textId="77777777" w:rsidR="00EF3DFB" w:rsidRDefault="00D27C17">
            <w:pPr>
              <w:pStyle w:val="TableParagraph"/>
              <w:spacing w:line="224" w:lineRule="exact"/>
              <w:ind w:left="52"/>
              <w:rPr>
                <w:sz w:val="20"/>
              </w:rPr>
            </w:pPr>
            <w:r>
              <w:rPr>
                <w:sz w:val="20"/>
              </w:rPr>
              <w:t>Net current period other comprehensive income (loss)</w:t>
            </w:r>
          </w:p>
        </w:tc>
        <w:tc>
          <w:tcPr>
            <w:tcW w:w="1629" w:type="dxa"/>
            <w:tcBorders>
              <w:top w:val="single" w:sz="8" w:space="0" w:color="000000"/>
              <w:bottom w:val="single" w:sz="8" w:space="0" w:color="000000"/>
            </w:tcBorders>
          </w:tcPr>
          <w:p w14:paraId="7326C525" w14:textId="77777777" w:rsidR="00EF3DFB" w:rsidRDefault="00D27C17">
            <w:pPr>
              <w:pStyle w:val="TableParagraph"/>
              <w:spacing w:before="15" w:line="230" w:lineRule="exact"/>
              <w:ind w:right="135"/>
              <w:jc w:val="right"/>
              <w:rPr>
                <w:sz w:val="20"/>
              </w:rPr>
            </w:pPr>
            <w:r>
              <w:rPr>
                <w:sz w:val="20"/>
              </w:rPr>
              <w:t>14</w:t>
            </w:r>
          </w:p>
        </w:tc>
        <w:tc>
          <w:tcPr>
            <w:tcW w:w="1275" w:type="dxa"/>
            <w:tcBorders>
              <w:top w:val="single" w:sz="8" w:space="0" w:color="000000"/>
              <w:bottom w:val="single" w:sz="8" w:space="0" w:color="000000"/>
            </w:tcBorders>
          </w:tcPr>
          <w:p w14:paraId="7326C526" w14:textId="77777777" w:rsidR="00EF3DFB" w:rsidRDefault="00D27C17">
            <w:pPr>
              <w:pStyle w:val="TableParagraph"/>
              <w:spacing w:before="15" w:line="230" w:lineRule="exact"/>
              <w:ind w:right="70"/>
              <w:jc w:val="right"/>
              <w:rPr>
                <w:sz w:val="20"/>
              </w:rPr>
            </w:pPr>
            <w:r>
              <w:rPr>
                <w:sz w:val="20"/>
              </w:rPr>
              <w:t>(1)</w:t>
            </w:r>
          </w:p>
        </w:tc>
        <w:tc>
          <w:tcPr>
            <w:tcW w:w="1275" w:type="dxa"/>
            <w:tcBorders>
              <w:top w:val="single" w:sz="8" w:space="0" w:color="000000"/>
              <w:bottom w:val="single" w:sz="8" w:space="0" w:color="000000"/>
            </w:tcBorders>
          </w:tcPr>
          <w:p w14:paraId="7326C527" w14:textId="77777777" w:rsidR="00EF3DFB" w:rsidRDefault="00D27C17">
            <w:pPr>
              <w:pStyle w:val="TableParagraph"/>
              <w:spacing w:before="15" w:line="230" w:lineRule="exact"/>
              <w:ind w:right="70"/>
              <w:jc w:val="right"/>
              <w:rPr>
                <w:sz w:val="20"/>
              </w:rPr>
            </w:pPr>
            <w:r>
              <w:rPr>
                <w:sz w:val="20"/>
              </w:rPr>
              <w:t>(20)</w:t>
            </w:r>
          </w:p>
        </w:tc>
        <w:tc>
          <w:tcPr>
            <w:tcW w:w="1219" w:type="dxa"/>
            <w:tcBorders>
              <w:top w:val="single" w:sz="8" w:space="0" w:color="000000"/>
              <w:bottom w:val="single" w:sz="8" w:space="0" w:color="000000"/>
            </w:tcBorders>
          </w:tcPr>
          <w:p w14:paraId="7326C528" w14:textId="77777777" w:rsidR="00EF3DFB" w:rsidRDefault="00D27C17">
            <w:pPr>
              <w:pStyle w:val="TableParagraph"/>
              <w:spacing w:before="15" w:line="230" w:lineRule="exact"/>
              <w:ind w:right="14"/>
              <w:jc w:val="right"/>
              <w:rPr>
                <w:sz w:val="20"/>
              </w:rPr>
            </w:pPr>
            <w:r>
              <w:rPr>
                <w:sz w:val="20"/>
              </w:rPr>
              <w:t>(7)</w:t>
            </w:r>
          </w:p>
        </w:tc>
      </w:tr>
      <w:tr w:rsidR="00EF3DFB" w14:paraId="7326C52F" w14:textId="77777777">
        <w:trPr>
          <w:trHeight w:val="275"/>
        </w:trPr>
        <w:tc>
          <w:tcPr>
            <w:tcW w:w="5222" w:type="dxa"/>
            <w:shd w:val="clear" w:color="auto" w:fill="CCEDFF"/>
          </w:tcPr>
          <w:p w14:paraId="7326C52A" w14:textId="77777777" w:rsidR="00EF3DFB" w:rsidRDefault="00D27C17">
            <w:pPr>
              <w:pStyle w:val="TableParagraph"/>
              <w:spacing w:line="224" w:lineRule="exact"/>
              <w:ind w:left="52"/>
              <w:rPr>
                <w:sz w:val="20"/>
              </w:rPr>
            </w:pPr>
            <w:r>
              <w:rPr>
                <w:sz w:val="20"/>
              </w:rPr>
              <w:t>Balance at December 31, 2019</w:t>
            </w:r>
          </w:p>
        </w:tc>
        <w:tc>
          <w:tcPr>
            <w:tcW w:w="1629" w:type="dxa"/>
            <w:tcBorders>
              <w:top w:val="single" w:sz="8" w:space="0" w:color="000000"/>
            </w:tcBorders>
            <w:shd w:val="clear" w:color="auto" w:fill="CCEDFF"/>
          </w:tcPr>
          <w:p w14:paraId="7326C52B" w14:textId="77777777" w:rsidR="00EF3DFB" w:rsidRDefault="00D27C17">
            <w:pPr>
              <w:pStyle w:val="TableParagraph"/>
              <w:tabs>
                <w:tab w:val="left" w:pos="699"/>
              </w:tabs>
              <w:spacing w:before="15"/>
              <w:ind w:right="70"/>
              <w:jc w:val="right"/>
              <w:rPr>
                <w:sz w:val="20"/>
              </w:rPr>
            </w:pPr>
            <w:r>
              <w:rPr>
                <w:sz w:val="20"/>
              </w:rPr>
              <w:t>$</w:t>
            </w:r>
            <w:r>
              <w:rPr>
                <w:sz w:val="20"/>
              </w:rPr>
              <w:tab/>
              <w:t>(479)</w:t>
            </w:r>
          </w:p>
        </w:tc>
        <w:tc>
          <w:tcPr>
            <w:tcW w:w="1275" w:type="dxa"/>
            <w:tcBorders>
              <w:top w:val="single" w:sz="8" w:space="0" w:color="000000"/>
            </w:tcBorders>
            <w:shd w:val="clear" w:color="auto" w:fill="CCEDFF"/>
          </w:tcPr>
          <w:p w14:paraId="7326C52C" w14:textId="77777777" w:rsidR="00EF3DFB" w:rsidRDefault="00D27C17">
            <w:pPr>
              <w:pStyle w:val="TableParagraph"/>
              <w:tabs>
                <w:tab w:val="left" w:pos="699"/>
              </w:tabs>
              <w:spacing w:before="15"/>
              <w:ind w:right="70"/>
              <w:jc w:val="right"/>
              <w:rPr>
                <w:sz w:val="20"/>
              </w:rPr>
            </w:pPr>
            <w:r>
              <w:rPr>
                <w:sz w:val="20"/>
              </w:rPr>
              <w:t>$</w:t>
            </w:r>
            <w:r>
              <w:rPr>
                <w:sz w:val="20"/>
              </w:rPr>
              <w:tab/>
              <w:t>(399)</w:t>
            </w:r>
          </w:p>
        </w:tc>
        <w:tc>
          <w:tcPr>
            <w:tcW w:w="1275" w:type="dxa"/>
            <w:tcBorders>
              <w:top w:val="single" w:sz="8" w:space="0" w:color="000000"/>
            </w:tcBorders>
            <w:shd w:val="clear" w:color="auto" w:fill="CCEDFF"/>
          </w:tcPr>
          <w:p w14:paraId="7326C52D" w14:textId="77777777" w:rsidR="00EF3DFB" w:rsidRDefault="00D27C17">
            <w:pPr>
              <w:pStyle w:val="TableParagraph"/>
              <w:tabs>
                <w:tab w:val="left" w:pos="799"/>
              </w:tabs>
              <w:spacing w:before="15"/>
              <w:ind w:right="70"/>
              <w:jc w:val="right"/>
              <w:rPr>
                <w:sz w:val="20"/>
              </w:rPr>
            </w:pPr>
            <w:r>
              <w:rPr>
                <w:sz w:val="20"/>
              </w:rPr>
              <w:t>$</w:t>
            </w:r>
            <w:r>
              <w:rPr>
                <w:sz w:val="20"/>
              </w:rPr>
              <w:tab/>
              <w:t>(42)</w:t>
            </w:r>
          </w:p>
        </w:tc>
        <w:tc>
          <w:tcPr>
            <w:tcW w:w="1219" w:type="dxa"/>
            <w:tcBorders>
              <w:top w:val="single" w:sz="8" w:space="0" w:color="000000"/>
            </w:tcBorders>
            <w:shd w:val="clear" w:color="auto" w:fill="CCEDFF"/>
          </w:tcPr>
          <w:p w14:paraId="7326C52E" w14:textId="77777777" w:rsidR="00EF3DFB" w:rsidRDefault="00D27C17">
            <w:pPr>
              <w:pStyle w:val="TableParagraph"/>
              <w:tabs>
                <w:tab w:val="left" w:pos="699"/>
              </w:tabs>
              <w:spacing w:before="15"/>
              <w:ind w:right="14"/>
              <w:jc w:val="right"/>
              <w:rPr>
                <w:sz w:val="20"/>
              </w:rPr>
            </w:pPr>
            <w:r>
              <w:rPr>
                <w:sz w:val="20"/>
              </w:rPr>
              <w:t>$</w:t>
            </w:r>
            <w:r>
              <w:rPr>
                <w:sz w:val="20"/>
              </w:rPr>
              <w:tab/>
              <w:t>(920)</w:t>
            </w:r>
          </w:p>
        </w:tc>
      </w:tr>
      <w:tr w:rsidR="00EF3DFB" w14:paraId="7326C535" w14:textId="77777777">
        <w:trPr>
          <w:trHeight w:val="285"/>
        </w:trPr>
        <w:tc>
          <w:tcPr>
            <w:tcW w:w="5222" w:type="dxa"/>
          </w:tcPr>
          <w:p w14:paraId="7326C530" w14:textId="77777777" w:rsidR="00EF3DFB" w:rsidRDefault="00D27C17">
            <w:pPr>
              <w:pStyle w:val="TableParagraph"/>
              <w:spacing w:before="4"/>
              <w:ind w:left="52"/>
              <w:rPr>
                <w:sz w:val="20"/>
              </w:rPr>
            </w:pPr>
            <w:r>
              <w:rPr>
                <w:sz w:val="20"/>
              </w:rPr>
              <w:t>Other comprehensive income (loss) before reclassifications</w:t>
            </w:r>
          </w:p>
        </w:tc>
        <w:tc>
          <w:tcPr>
            <w:tcW w:w="1629" w:type="dxa"/>
          </w:tcPr>
          <w:p w14:paraId="7326C531" w14:textId="77777777" w:rsidR="00EF3DFB" w:rsidRDefault="00D27C17">
            <w:pPr>
              <w:pStyle w:val="TableParagraph"/>
              <w:spacing w:before="25"/>
              <w:ind w:right="70"/>
              <w:jc w:val="right"/>
              <w:rPr>
                <w:sz w:val="20"/>
              </w:rPr>
            </w:pPr>
            <w:r>
              <w:rPr>
                <w:sz w:val="20"/>
              </w:rPr>
              <w:t>(2)</w:t>
            </w:r>
          </w:p>
        </w:tc>
        <w:tc>
          <w:tcPr>
            <w:tcW w:w="1275" w:type="dxa"/>
          </w:tcPr>
          <w:p w14:paraId="7326C532" w14:textId="77777777" w:rsidR="00EF3DFB" w:rsidRDefault="00D27C17">
            <w:pPr>
              <w:pStyle w:val="TableParagraph"/>
              <w:spacing w:before="25"/>
              <w:ind w:right="70"/>
              <w:jc w:val="right"/>
              <w:rPr>
                <w:sz w:val="20"/>
              </w:rPr>
            </w:pPr>
            <w:r>
              <w:rPr>
                <w:sz w:val="20"/>
              </w:rPr>
              <w:t>(4)</w:t>
            </w:r>
          </w:p>
        </w:tc>
        <w:tc>
          <w:tcPr>
            <w:tcW w:w="1275" w:type="dxa"/>
          </w:tcPr>
          <w:p w14:paraId="7326C533" w14:textId="77777777" w:rsidR="00EF3DFB" w:rsidRDefault="00D27C17">
            <w:pPr>
              <w:pStyle w:val="TableParagraph"/>
              <w:spacing w:before="25"/>
              <w:ind w:right="135"/>
              <w:jc w:val="right"/>
              <w:rPr>
                <w:sz w:val="20"/>
              </w:rPr>
            </w:pPr>
            <w:r>
              <w:rPr>
                <w:sz w:val="20"/>
              </w:rPr>
              <w:t>3</w:t>
            </w:r>
          </w:p>
        </w:tc>
        <w:tc>
          <w:tcPr>
            <w:tcW w:w="1219" w:type="dxa"/>
          </w:tcPr>
          <w:p w14:paraId="7326C534" w14:textId="77777777" w:rsidR="00EF3DFB" w:rsidRDefault="00D27C17">
            <w:pPr>
              <w:pStyle w:val="TableParagraph"/>
              <w:spacing w:before="25"/>
              <w:ind w:right="14"/>
              <w:jc w:val="right"/>
              <w:rPr>
                <w:sz w:val="20"/>
              </w:rPr>
            </w:pPr>
            <w:r>
              <w:rPr>
                <w:sz w:val="20"/>
              </w:rPr>
              <w:t>(3)</w:t>
            </w:r>
          </w:p>
        </w:tc>
      </w:tr>
      <w:tr w:rsidR="00EF3DFB" w14:paraId="7326C53B" w14:textId="77777777">
        <w:trPr>
          <w:trHeight w:val="275"/>
        </w:trPr>
        <w:tc>
          <w:tcPr>
            <w:tcW w:w="5222" w:type="dxa"/>
            <w:shd w:val="clear" w:color="auto" w:fill="CCEDFF"/>
          </w:tcPr>
          <w:p w14:paraId="7326C536" w14:textId="77777777" w:rsidR="00EF3DFB" w:rsidRDefault="00D27C17">
            <w:pPr>
              <w:pStyle w:val="TableParagraph"/>
              <w:spacing w:before="4"/>
              <w:ind w:left="52"/>
              <w:rPr>
                <w:sz w:val="20"/>
              </w:rPr>
            </w:pPr>
            <w:r>
              <w:rPr>
                <w:sz w:val="20"/>
              </w:rPr>
              <w:t>Amounts reclassified to earnings</w:t>
            </w:r>
          </w:p>
        </w:tc>
        <w:tc>
          <w:tcPr>
            <w:tcW w:w="1629" w:type="dxa"/>
            <w:tcBorders>
              <w:bottom w:val="single" w:sz="8" w:space="0" w:color="000000"/>
            </w:tcBorders>
            <w:shd w:val="clear" w:color="auto" w:fill="CCEDFF"/>
          </w:tcPr>
          <w:p w14:paraId="7326C537" w14:textId="77777777" w:rsidR="00EF3DFB" w:rsidRDefault="00D27C17">
            <w:pPr>
              <w:pStyle w:val="TableParagraph"/>
              <w:spacing w:before="25" w:line="230" w:lineRule="exact"/>
              <w:ind w:right="135"/>
              <w:jc w:val="right"/>
              <w:rPr>
                <w:sz w:val="20"/>
              </w:rPr>
            </w:pPr>
            <w:r>
              <w:rPr>
                <w:sz w:val="20"/>
              </w:rPr>
              <w:t>—</w:t>
            </w:r>
          </w:p>
        </w:tc>
        <w:tc>
          <w:tcPr>
            <w:tcW w:w="1275" w:type="dxa"/>
            <w:tcBorders>
              <w:bottom w:val="single" w:sz="8" w:space="0" w:color="000000"/>
            </w:tcBorders>
            <w:shd w:val="clear" w:color="auto" w:fill="CCEDFF"/>
          </w:tcPr>
          <w:p w14:paraId="7326C538" w14:textId="77777777" w:rsidR="00EF3DFB" w:rsidRDefault="00D27C17">
            <w:pPr>
              <w:pStyle w:val="TableParagraph"/>
              <w:spacing w:before="25" w:line="230" w:lineRule="exact"/>
              <w:ind w:right="135"/>
              <w:jc w:val="right"/>
              <w:rPr>
                <w:sz w:val="20"/>
              </w:rPr>
            </w:pPr>
            <w:r>
              <w:rPr>
                <w:sz w:val="20"/>
              </w:rPr>
              <w:t>47</w:t>
            </w:r>
          </w:p>
        </w:tc>
        <w:tc>
          <w:tcPr>
            <w:tcW w:w="1275" w:type="dxa"/>
            <w:tcBorders>
              <w:bottom w:val="single" w:sz="8" w:space="0" w:color="000000"/>
            </w:tcBorders>
            <w:shd w:val="clear" w:color="auto" w:fill="CCEDFF"/>
          </w:tcPr>
          <w:p w14:paraId="7326C539" w14:textId="77777777" w:rsidR="00EF3DFB" w:rsidRDefault="00D27C17">
            <w:pPr>
              <w:pStyle w:val="TableParagraph"/>
              <w:spacing w:before="25" w:line="230" w:lineRule="exact"/>
              <w:ind w:right="70"/>
              <w:jc w:val="right"/>
              <w:rPr>
                <w:sz w:val="20"/>
              </w:rPr>
            </w:pPr>
            <w:r>
              <w:rPr>
                <w:sz w:val="20"/>
              </w:rPr>
              <w:t>(4)</w:t>
            </w:r>
          </w:p>
        </w:tc>
        <w:tc>
          <w:tcPr>
            <w:tcW w:w="1219" w:type="dxa"/>
            <w:tcBorders>
              <w:bottom w:val="single" w:sz="8" w:space="0" w:color="000000"/>
            </w:tcBorders>
            <w:shd w:val="clear" w:color="auto" w:fill="CCEDFF"/>
          </w:tcPr>
          <w:p w14:paraId="7326C53A" w14:textId="77777777" w:rsidR="00EF3DFB" w:rsidRDefault="00D27C17">
            <w:pPr>
              <w:pStyle w:val="TableParagraph"/>
              <w:spacing w:before="25" w:line="230" w:lineRule="exact"/>
              <w:ind w:right="79"/>
              <w:jc w:val="right"/>
              <w:rPr>
                <w:sz w:val="20"/>
              </w:rPr>
            </w:pPr>
            <w:r>
              <w:rPr>
                <w:sz w:val="20"/>
              </w:rPr>
              <w:t>43</w:t>
            </w:r>
          </w:p>
        </w:tc>
      </w:tr>
      <w:tr w:rsidR="00EF3DFB" w14:paraId="7326C541" w14:textId="77777777">
        <w:trPr>
          <w:trHeight w:val="265"/>
        </w:trPr>
        <w:tc>
          <w:tcPr>
            <w:tcW w:w="5222" w:type="dxa"/>
          </w:tcPr>
          <w:p w14:paraId="7326C53C" w14:textId="77777777" w:rsidR="00EF3DFB" w:rsidRDefault="00D27C17">
            <w:pPr>
              <w:pStyle w:val="TableParagraph"/>
              <w:spacing w:line="224" w:lineRule="exact"/>
              <w:ind w:left="52"/>
              <w:rPr>
                <w:sz w:val="20"/>
              </w:rPr>
            </w:pPr>
            <w:r>
              <w:rPr>
                <w:sz w:val="20"/>
              </w:rPr>
              <w:t>Net current period other comprehensive income (loss)</w:t>
            </w:r>
          </w:p>
        </w:tc>
        <w:tc>
          <w:tcPr>
            <w:tcW w:w="1629" w:type="dxa"/>
            <w:tcBorders>
              <w:top w:val="single" w:sz="8" w:space="0" w:color="000000"/>
              <w:bottom w:val="single" w:sz="8" w:space="0" w:color="000000"/>
            </w:tcBorders>
          </w:tcPr>
          <w:p w14:paraId="7326C53D" w14:textId="77777777" w:rsidR="00EF3DFB" w:rsidRDefault="00D27C17">
            <w:pPr>
              <w:pStyle w:val="TableParagraph"/>
              <w:spacing w:before="15" w:line="230" w:lineRule="exact"/>
              <w:ind w:right="70"/>
              <w:jc w:val="right"/>
              <w:rPr>
                <w:sz w:val="20"/>
              </w:rPr>
            </w:pPr>
            <w:r>
              <w:rPr>
                <w:sz w:val="20"/>
              </w:rPr>
              <w:t>(2)</w:t>
            </w:r>
          </w:p>
        </w:tc>
        <w:tc>
          <w:tcPr>
            <w:tcW w:w="1275" w:type="dxa"/>
            <w:tcBorders>
              <w:top w:val="single" w:sz="8" w:space="0" w:color="000000"/>
              <w:bottom w:val="single" w:sz="8" w:space="0" w:color="000000"/>
            </w:tcBorders>
          </w:tcPr>
          <w:p w14:paraId="7326C53E" w14:textId="77777777" w:rsidR="00EF3DFB" w:rsidRDefault="00D27C17">
            <w:pPr>
              <w:pStyle w:val="TableParagraph"/>
              <w:spacing w:before="15" w:line="230" w:lineRule="exact"/>
              <w:ind w:right="135"/>
              <w:jc w:val="right"/>
              <w:rPr>
                <w:sz w:val="20"/>
              </w:rPr>
            </w:pPr>
            <w:r>
              <w:rPr>
                <w:sz w:val="20"/>
              </w:rPr>
              <w:t>43</w:t>
            </w:r>
          </w:p>
        </w:tc>
        <w:tc>
          <w:tcPr>
            <w:tcW w:w="1275" w:type="dxa"/>
            <w:tcBorders>
              <w:top w:val="single" w:sz="8" w:space="0" w:color="000000"/>
              <w:bottom w:val="single" w:sz="8" w:space="0" w:color="000000"/>
            </w:tcBorders>
          </w:tcPr>
          <w:p w14:paraId="7326C53F" w14:textId="77777777" w:rsidR="00EF3DFB" w:rsidRDefault="00D27C17">
            <w:pPr>
              <w:pStyle w:val="TableParagraph"/>
              <w:spacing w:before="15" w:line="230" w:lineRule="exact"/>
              <w:ind w:right="70"/>
              <w:jc w:val="right"/>
              <w:rPr>
                <w:sz w:val="20"/>
              </w:rPr>
            </w:pPr>
            <w:r>
              <w:rPr>
                <w:sz w:val="20"/>
              </w:rPr>
              <w:t>(1)</w:t>
            </w:r>
          </w:p>
        </w:tc>
        <w:tc>
          <w:tcPr>
            <w:tcW w:w="1219" w:type="dxa"/>
            <w:tcBorders>
              <w:top w:val="single" w:sz="8" w:space="0" w:color="000000"/>
              <w:bottom w:val="single" w:sz="8" w:space="0" w:color="000000"/>
            </w:tcBorders>
          </w:tcPr>
          <w:p w14:paraId="7326C540" w14:textId="77777777" w:rsidR="00EF3DFB" w:rsidRDefault="00D27C17">
            <w:pPr>
              <w:pStyle w:val="TableParagraph"/>
              <w:spacing w:before="15" w:line="230" w:lineRule="exact"/>
              <w:ind w:right="79"/>
              <w:jc w:val="right"/>
              <w:rPr>
                <w:sz w:val="20"/>
              </w:rPr>
            </w:pPr>
            <w:r>
              <w:rPr>
                <w:sz w:val="20"/>
              </w:rPr>
              <w:t>40</w:t>
            </w:r>
          </w:p>
        </w:tc>
      </w:tr>
      <w:tr w:rsidR="00EF3DFB" w14:paraId="7326C547" w14:textId="77777777">
        <w:trPr>
          <w:trHeight w:val="285"/>
        </w:trPr>
        <w:tc>
          <w:tcPr>
            <w:tcW w:w="5222" w:type="dxa"/>
            <w:shd w:val="clear" w:color="auto" w:fill="CCEDFF"/>
          </w:tcPr>
          <w:p w14:paraId="7326C542" w14:textId="77777777" w:rsidR="00EF3DFB" w:rsidRDefault="00D27C17">
            <w:pPr>
              <w:pStyle w:val="TableParagraph"/>
              <w:spacing w:line="224" w:lineRule="exact"/>
              <w:ind w:left="52"/>
              <w:rPr>
                <w:sz w:val="20"/>
              </w:rPr>
            </w:pPr>
            <w:r>
              <w:rPr>
                <w:sz w:val="20"/>
              </w:rPr>
              <w:t>Balance at December 31, 2020</w:t>
            </w:r>
          </w:p>
        </w:tc>
        <w:tc>
          <w:tcPr>
            <w:tcW w:w="1629" w:type="dxa"/>
            <w:tcBorders>
              <w:top w:val="single" w:sz="8" w:space="0" w:color="000000"/>
              <w:bottom w:val="single" w:sz="8" w:space="0" w:color="000000"/>
            </w:tcBorders>
            <w:shd w:val="clear" w:color="auto" w:fill="CCEDFF"/>
          </w:tcPr>
          <w:p w14:paraId="7326C543" w14:textId="77777777" w:rsidR="00EF3DFB" w:rsidRDefault="00D27C17">
            <w:pPr>
              <w:pStyle w:val="TableParagraph"/>
              <w:tabs>
                <w:tab w:val="left" w:pos="699"/>
              </w:tabs>
              <w:spacing w:before="15"/>
              <w:ind w:right="70"/>
              <w:jc w:val="right"/>
              <w:rPr>
                <w:sz w:val="20"/>
              </w:rPr>
            </w:pPr>
            <w:r>
              <w:rPr>
                <w:sz w:val="20"/>
                <w:u w:val="single"/>
              </w:rPr>
              <w:t>$</w:t>
            </w:r>
            <w:r>
              <w:rPr>
                <w:sz w:val="20"/>
                <w:u w:val="single"/>
              </w:rPr>
              <w:tab/>
              <w:t>(481)</w:t>
            </w:r>
          </w:p>
        </w:tc>
        <w:tc>
          <w:tcPr>
            <w:tcW w:w="1275" w:type="dxa"/>
            <w:tcBorders>
              <w:top w:val="single" w:sz="8" w:space="0" w:color="000000"/>
              <w:bottom w:val="single" w:sz="8" w:space="0" w:color="000000"/>
            </w:tcBorders>
            <w:shd w:val="clear" w:color="auto" w:fill="CCEDFF"/>
          </w:tcPr>
          <w:p w14:paraId="7326C544" w14:textId="77777777" w:rsidR="00EF3DFB" w:rsidRDefault="00D27C17">
            <w:pPr>
              <w:pStyle w:val="TableParagraph"/>
              <w:tabs>
                <w:tab w:val="left" w:pos="699"/>
              </w:tabs>
              <w:spacing w:before="15"/>
              <w:ind w:right="70"/>
              <w:jc w:val="right"/>
              <w:rPr>
                <w:sz w:val="20"/>
              </w:rPr>
            </w:pPr>
            <w:r>
              <w:rPr>
                <w:sz w:val="20"/>
                <w:u w:val="single"/>
              </w:rPr>
              <w:t>$</w:t>
            </w:r>
            <w:r>
              <w:rPr>
                <w:sz w:val="20"/>
                <w:u w:val="single"/>
              </w:rPr>
              <w:tab/>
              <w:t>(356)</w:t>
            </w:r>
          </w:p>
        </w:tc>
        <w:tc>
          <w:tcPr>
            <w:tcW w:w="1275" w:type="dxa"/>
            <w:tcBorders>
              <w:top w:val="single" w:sz="8" w:space="0" w:color="000000"/>
              <w:bottom w:val="single" w:sz="8" w:space="0" w:color="000000"/>
            </w:tcBorders>
            <w:shd w:val="clear" w:color="auto" w:fill="CCEDFF"/>
          </w:tcPr>
          <w:p w14:paraId="7326C545" w14:textId="77777777" w:rsidR="00EF3DFB" w:rsidRDefault="00D27C17">
            <w:pPr>
              <w:pStyle w:val="TableParagraph"/>
              <w:tabs>
                <w:tab w:val="left" w:pos="799"/>
              </w:tabs>
              <w:spacing w:before="15"/>
              <w:ind w:right="70"/>
              <w:jc w:val="right"/>
              <w:rPr>
                <w:sz w:val="20"/>
              </w:rPr>
            </w:pPr>
            <w:r>
              <w:rPr>
                <w:sz w:val="20"/>
                <w:u w:val="single"/>
              </w:rPr>
              <w:t>$</w:t>
            </w:r>
            <w:r>
              <w:rPr>
                <w:sz w:val="20"/>
                <w:u w:val="single"/>
              </w:rPr>
              <w:tab/>
              <w:t>(43)</w:t>
            </w:r>
          </w:p>
        </w:tc>
        <w:tc>
          <w:tcPr>
            <w:tcW w:w="1219" w:type="dxa"/>
            <w:tcBorders>
              <w:top w:val="single" w:sz="8" w:space="0" w:color="000000"/>
              <w:bottom w:val="single" w:sz="8" w:space="0" w:color="000000"/>
            </w:tcBorders>
            <w:shd w:val="clear" w:color="auto" w:fill="CCEDFF"/>
          </w:tcPr>
          <w:p w14:paraId="7326C546" w14:textId="77777777" w:rsidR="00EF3DFB" w:rsidRDefault="00D27C17">
            <w:pPr>
              <w:pStyle w:val="TableParagraph"/>
              <w:tabs>
                <w:tab w:val="left" w:pos="699"/>
              </w:tabs>
              <w:spacing w:before="15"/>
              <w:ind w:right="14"/>
              <w:jc w:val="right"/>
              <w:rPr>
                <w:sz w:val="20"/>
              </w:rPr>
            </w:pPr>
            <w:r>
              <w:rPr>
                <w:sz w:val="20"/>
                <w:u w:val="single"/>
              </w:rPr>
              <w:t>$</w:t>
            </w:r>
            <w:r>
              <w:rPr>
                <w:sz w:val="20"/>
                <w:u w:val="single"/>
              </w:rPr>
              <w:tab/>
              <w:t>(880)</w:t>
            </w:r>
          </w:p>
        </w:tc>
      </w:tr>
    </w:tbl>
    <w:p w14:paraId="7326C548" w14:textId="77777777" w:rsidR="00EF3DFB" w:rsidRDefault="00EF3DFB">
      <w:pPr>
        <w:pStyle w:val="BodyText"/>
        <w:spacing w:before="10"/>
        <w:rPr>
          <w:sz w:val="21"/>
        </w:rPr>
      </w:pPr>
    </w:p>
    <w:p w14:paraId="7326C549" w14:textId="77777777" w:rsidR="00EF3DFB" w:rsidRDefault="00D27C17">
      <w:pPr>
        <w:pStyle w:val="BodyText"/>
        <w:spacing w:line="249" w:lineRule="auto"/>
        <w:ind w:left="190" w:right="170"/>
        <w:jc w:val="both"/>
      </w:pPr>
      <w:r>
        <w:t>Reclassifications from AOCL to the results of operations for the years ended December 31, were pre-tax (income) expense of (in millions):</w:t>
      </w:r>
    </w:p>
    <w:p w14:paraId="7326C54A" w14:textId="77777777" w:rsidR="00EF3DFB" w:rsidRDefault="00D27C17">
      <w:pPr>
        <w:tabs>
          <w:tab w:val="left" w:pos="1274"/>
          <w:tab w:val="left" w:pos="2549"/>
        </w:tabs>
        <w:spacing w:before="76"/>
        <w:ind w:right="609"/>
        <w:jc w:val="right"/>
        <w:rPr>
          <w:b/>
          <w:sz w:val="16"/>
        </w:rPr>
      </w:pPr>
      <w:r>
        <w:rPr>
          <w:b/>
          <w:sz w:val="16"/>
        </w:rPr>
        <w:t>2020</w:t>
      </w:r>
      <w:r>
        <w:rPr>
          <w:b/>
          <w:sz w:val="16"/>
        </w:rPr>
        <w:tab/>
        <w:t>2019</w:t>
      </w:r>
      <w:r>
        <w:rPr>
          <w:b/>
          <w:sz w:val="16"/>
        </w:rPr>
        <w:tab/>
        <w:t>2018</w:t>
      </w:r>
    </w:p>
    <w:p w14:paraId="7326C54B" w14:textId="5B1BF644" w:rsidR="00EF3DFB" w:rsidRDefault="00D27C17">
      <w:pPr>
        <w:pStyle w:val="BodyText"/>
        <w:tabs>
          <w:tab w:val="left" w:pos="7112"/>
          <w:tab w:val="left" w:pos="7978"/>
          <w:tab w:val="left" w:pos="8387"/>
          <w:tab w:val="left" w:pos="9353"/>
          <w:tab w:val="left" w:pos="9662"/>
          <w:tab w:val="right" w:pos="10728"/>
        </w:tabs>
        <w:spacing w:before="34"/>
        <w:ind w:left="242"/>
      </w:pPr>
      <w:r>
        <w:rPr>
          <w:noProof/>
        </w:rPr>
        <mc:AlternateContent>
          <mc:Choice Requires="wpg">
            <w:drawing>
              <wp:anchor distT="0" distB="0" distL="114300" distR="114300" simplePos="0" relativeHeight="502906064" behindDoc="1" locked="0" layoutInCell="1" allowOverlap="1" wp14:anchorId="7326D712" wp14:editId="444D0DEC">
                <wp:simplePos x="0" y="0"/>
                <wp:positionH relativeFrom="page">
                  <wp:posOffset>514350</wp:posOffset>
                </wp:positionH>
                <wp:positionV relativeFrom="paragraph">
                  <wp:posOffset>12700</wp:posOffset>
                </wp:positionV>
                <wp:extent cx="6743700" cy="187325"/>
                <wp:effectExtent l="0" t="3175" r="9525" b="0"/>
                <wp:wrapNone/>
                <wp:docPr id="438"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20"/>
                          <a:chExt cx="10620" cy="295"/>
                        </a:xfrm>
                      </wpg:grpSpPr>
                      <wps:wsp>
                        <wps:cNvPr id="439" name="Rectangle 428"/>
                        <wps:cNvSpPr>
                          <a:spLocks noChangeArrowheads="1"/>
                        </wps:cNvSpPr>
                        <wps:spPr bwMode="auto">
                          <a:xfrm>
                            <a:off x="810" y="29"/>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27"/>
                        <wps:cNvCnPr>
                          <a:cxnSpLocks noChangeShapeType="1"/>
                        </wps:cNvCnPr>
                        <wps:spPr bwMode="auto">
                          <a:xfrm>
                            <a:off x="768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26"/>
                        <wps:cNvCnPr>
                          <a:cxnSpLocks noChangeShapeType="1"/>
                        </wps:cNvCnPr>
                        <wps:spPr bwMode="auto">
                          <a:xfrm>
                            <a:off x="768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25"/>
                        <wps:cNvCnPr>
                          <a:cxnSpLocks noChangeShapeType="1"/>
                        </wps:cNvCnPr>
                        <wps:spPr bwMode="auto">
                          <a:xfrm>
                            <a:off x="8955"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424"/>
                        <wps:cNvCnPr>
                          <a:cxnSpLocks noChangeShapeType="1"/>
                        </wps:cNvCnPr>
                        <wps:spPr bwMode="auto">
                          <a:xfrm>
                            <a:off x="8955"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23"/>
                        <wps:cNvCnPr>
                          <a:cxnSpLocks noChangeShapeType="1"/>
                        </wps:cNvCnPr>
                        <wps:spPr bwMode="auto">
                          <a:xfrm>
                            <a:off x="1023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22"/>
                        <wps:cNvCnPr>
                          <a:cxnSpLocks noChangeShapeType="1"/>
                        </wps:cNvCnPr>
                        <wps:spPr bwMode="auto">
                          <a:xfrm>
                            <a:off x="1023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45CF8" id="Group 421" o:spid="_x0000_s1026" style="position:absolute;margin-left:40.5pt;margin-top:1pt;width:531pt;height:14.75pt;z-index:-410416;mso-position-horizontal-relative:page" coordorigin="810,2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">
                <v:rect id="Rectangle 428" o:spid="_x0000_s1027" style="position:absolute;left:810;top:29;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" fillcolor="#ccedff" stroked="f"/>
                <v:line id="Line 427" o:spid="_x0000_s1028"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line id="Line 426" o:spid="_x0000_s1029"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" strokeweight="1pt"/>
                <v:line id="Line 425" o:spid="_x0000_s1030"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line id="Line 424" o:spid="_x0000_s1031"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" strokeweight="1pt"/>
                <v:line id="Line 423" o:spid="_x0000_s1032"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line id="Line 422" o:spid="_x0000_s1033"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" strokeweight="1pt"/>
                <w10:wrap anchorx="page"/>
              </v:group>
            </w:pict>
          </mc:Fallback>
        </mc:AlternateContent>
      </w:r>
      <w:r>
        <w:t>Pension and postretirement benefit</w:t>
      </w:r>
      <w:r>
        <w:rPr>
          <w:spacing w:val="-12"/>
        </w:rPr>
        <w:t xml:space="preserve"> </w:t>
      </w:r>
      <w:r>
        <w:t>plans</w:t>
      </w:r>
      <w:r>
        <w:rPr>
          <w:spacing w:val="-4"/>
        </w:rPr>
        <w:t xml:space="preserve"> </w:t>
      </w:r>
      <w:r>
        <w:t>(1)</w:t>
      </w:r>
      <w:r>
        <w:tab/>
      </w:r>
      <w:r>
        <w:rPr>
          <w:position w:val="-1"/>
        </w:rPr>
        <w:t>$</w:t>
      </w:r>
      <w:r>
        <w:rPr>
          <w:position w:val="-1"/>
        </w:rPr>
        <w:tab/>
        <w:t>72</w:t>
      </w:r>
      <w:r>
        <w:rPr>
          <w:position w:val="-1"/>
        </w:rPr>
        <w:tab/>
        <w:t>$</w:t>
      </w:r>
      <w:r>
        <w:rPr>
          <w:position w:val="-1"/>
        </w:rPr>
        <w:tab/>
        <w:t>9</w:t>
      </w:r>
      <w:r>
        <w:rPr>
          <w:position w:val="-1"/>
        </w:rPr>
        <w:tab/>
        <w:t>$</w:t>
      </w:r>
      <w:r>
        <w:rPr>
          <w:position w:val="-1"/>
        </w:rPr>
        <w:tab/>
        <w:t>16</w:t>
      </w:r>
    </w:p>
    <w:p w14:paraId="7326C54C" w14:textId="77777777" w:rsidR="00EF3DFB" w:rsidRDefault="00D27C17">
      <w:pPr>
        <w:pStyle w:val="BodyText"/>
        <w:tabs>
          <w:tab w:val="left" w:pos="8011"/>
          <w:tab w:val="left" w:pos="9286"/>
          <w:tab w:val="right" w:pos="10728"/>
        </w:tabs>
        <w:spacing w:before="35"/>
        <w:ind w:left="242"/>
      </w:pPr>
      <w:r>
        <w:t>Derivative financial instruments for</w:t>
      </w:r>
      <w:r>
        <w:t xml:space="preserve"> effective cash</w:t>
      </w:r>
      <w:r>
        <w:rPr>
          <w:spacing w:val="-22"/>
        </w:rPr>
        <w:t xml:space="preserve"> </w:t>
      </w:r>
      <w:r>
        <w:t>flow</w:t>
      </w:r>
      <w:r>
        <w:rPr>
          <w:spacing w:val="-4"/>
        </w:rPr>
        <w:t xml:space="preserve"> </w:t>
      </w:r>
      <w:r>
        <w:t>hedges</w:t>
      </w:r>
      <w:r>
        <w:tab/>
      </w:r>
      <w:r>
        <w:rPr>
          <w:position w:val="-1"/>
        </w:rPr>
        <w:t>(6)</w:t>
      </w:r>
      <w:r>
        <w:rPr>
          <w:position w:val="-1"/>
        </w:rPr>
        <w:tab/>
        <w:t>(7)</w:t>
      </w:r>
      <w:r>
        <w:rPr>
          <w:position w:val="-1"/>
        </w:rPr>
        <w:tab/>
        <w:t>43</w:t>
      </w:r>
    </w:p>
    <w:p w14:paraId="7326C54D" w14:textId="77777777" w:rsidR="00EF3DFB" w:rsidRDefault="00D27C17">
      <w:pPr>
        <w:pStyle w:val="ListParagraph"/>
        <w:numPr>
          <w:ilvl w:val="0"/>
          <w:numId w:val="23"/>
        </w:numPr>
        <w:tabs>
          <w:tab w:val="left" w:pos="550"/>
        </w:tabs>
        <w:spacing w:before="92" w:line="249" w:lineRule="auto"/>
        <w:ind w:right="163"/>
        <w:rPr>
          <w:sz w:val="16"/>
        </w:rPr>
      </w:pPr>
      <w:r>
        <w:rPr>
          <w:sz w:val="16"/>
        </w:rPr>
        <w:t>Primarily represents the amortization of net actuarial losses and plan settlements recorded in cost of products sold, selling, general and administrative expenses (“SG&amp;A”) and other (income) expense, net in the Consol</w:t>
      </w:r>
      <w:r>
        <w:rPr>
          <w:sz w:val="16"/>
        </w:rPr>
        <w:t xml:space="preserve">idated Statements of Operations. See </w:t>
      </w:r>
      <w:r>
        <w:rPr>
          <w:i/>
          <w:sz w:val="16"/>
        </w:rPr>
        <w:t xml:space="preserve">Footnote 11 </w:t>
      </w:r>
      <w:r>
        <w:rPr>
          <w:sz w:val="16"/>
        </w:rPr>
        <w:t>for further</w:t>
      </w:r>
      <w:r>
        <w:rPr>
          <w:spacing w:val="-9"/>
          <w:sz w:val="16"/>
        </w:rPr>
        <w:t xml:space="preserve"> </w:t>
      </w:r>
      <w:r>
        <w:rPr>
          <w:sz w:val="16"/>
        </w:rPr>
        <w:t>information.</w:t>
      </w:r>
    </w:p>
    <w:p w14:paraId="7326C54E" w14:textId="77777777" w:rsidR="00EF3DFB" w:rsidRDefault="00D27C17">
      <w:pPr>
        <w:pStyle w:val="BodyText"/>
        <w:spacing w:before="232" w:line="249" w:lineRule="auto"/>
        <w:ind w:left="190"/>
      </w:pPr>
      <w:r>
        <w:t>The income tax provision (benefit) allocated to the components of AOCL for the years ended December 31, are as follows (in millions):</w:t>
      </w:r>
    </w:p>
    <w:p w14:paraId="7326C54F" w14:textId="77777777" w:rsidR="00EF3DFB" w:rsidRDefault="00D27C17">
      <w:pPr>
        <w:tabs>
          <w:tab w:val="left" w:pos="1274"/>
          <w:tab w:val="left" w:pos="2549"/>
        </w:tabs>
        <w:spacing w:before="76"/>
        <w:ind w:right="609"/>
        <w:jc w:val="right"/>
        <w:rPr>
          <w:b/>
          <w:sz w:val="16"/>
        </w:rPr>
      </w:pPr>
      <w:r>
        <w:rPr>
          <w:b/>
          <w:sz w:val="16"/>
        </w:rPr>
        <w:t>2020</w:t>
      </w:r>
      <w:r>
        <w:rPr>
          <w:b/>
          <w:sz w:val="16"/>
        </w:rPr>
        <w:tab/>
        <w:t>2019</w:t>
      </w:r>
      <w:r>
        <w:rPr>
          <w:b/>
          <w:sz w:val="16"/>
        </w:rPr>
        <w:tab/>
        <w:t>2018</w:t>
      </w:r>
    </w:p>
    <w:p w14:paraId="7326C550" w14:textId="2CCCD3CD" w:rsidR="00EF3DFB" w:rsidRDefault="00D27C17">
      <w:pPr>
        <w:pStyle w:val="BodyText"/>
        <w:tabs>
          <w:tab w:val="left" w:pos="7112"/>
          <w:tab w:val="left" w:pos="7911"/>
          <w:tab w:val="left" w:pos="9253"/>
          <w:tab w:val="left" w:pos="9662"/>
          <w:tab w:val="left" w:pos="10628"/>
        </w:tabs>
        <w:spacing w:before="34"/>
        <w:ind w:left="242"/>
      </w:pPr>
      <w:r>
        <w:rPr>
          <w:noProof/>
        </w:rPr>
        <mc:AlternateContent>
          <mc:Choice Requires="wpg">
            <w:drawing>
              <wp:anchor distT="0" distB="0" distL="114300" distR="114300" simplePos="0" relativeHeight="502906088" behindDoc="1" locked="0" layoutInCell="1" allowOverlap="1" wp14:anchorId="7326D713" wp14:editId="7DFB4D2E">
                <wp:simplePos x="0" y="0"/>
                <wp:positionH relativeFrom="page">
                  <wp:posOffset>514350</wp:posOffset>
                </wp:positionH>
                <wp:positionV relativeFrom="paragraph">
                  <wp:posOffset>12700</wp:posOffset>
                </wp:positionV>
                <wp:extent cx="6743700" cy="187325"/>
                <wp:effectExtent l="0" t="1270" r="9525" b="1905"/>
                <wp:wrapNone/>
                <wp:docPr id="430"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20"/>
                          <a:chExt cx="10620" cy="295"/>
                        </a:xfrm>
                      </wpg:grpSpPr>
                      <wps:wsp>
                        <wps:cNvPr id="431" name="Rectangle 420"/>
                        <wps:cNvSpPr>
                          <a:spLocks noChangeArrowheads="1"/>
                        </wps:cNvSpPr>
                        <wps:spPr bwMode="auto">
                          <a:xfrm>
                            <a:off x="810" y="29"/>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19"/>
                        <wps:cNvCnPr>
                          <a:cxnSpLocks noChangeShapeType="1"/>
                        </wps:cNvCnPr>
                        <wps:spPr bwMode="auto">
                          <a:xfrm>
                            <a:off x="768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18"/>
                        <wps:cNvCnPr>
                          <a:cxnSpLocks noChangeShapeType="1"/>
                        </wps:cNvCnPr>
                        <wps:spPr bwMode="auto">
                          <a:xfrm>
                            <a:off x="768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17"/>
                        <wps:cNvCnPr>
                          <a:cxnSpLocks noChangeShapeType="1"/>
                        </wps:cNvCnPr>
                        <wps:spPr bwMode="auto">
                          <a:xfrm>
                            <a:off x="8955"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16"/>
                        <wps:cNvCnPr>
                          <a:cxnSpLocks noChangeShapeType="1"/>
                        </wps:cNvCnPr>
                        <wps:spPr bwMode="auto">
                          <a:xfrm>
                            <a:off x="8955"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15"/>
                        <wps:cNvCnPr>
                          <a:cxnSpLocks noChangeShapeType="1"/>
                        </wps:cNvCnPr>
                        <wps:spPr bwMode="auto">
                          <a:xfrm>
                            <a:off x="1023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14"/>
                        <wps:cNvCnPr>
                          <a:cxnSpLocks noChangeShapeType="1"/>
                        </wps:cNvCnPr>
                        <wps:spPr bwMode="auto">
                          <a:xfrm>
                            <a:off x="1023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23C5E" id="Group 413" o:spid="_x0000_s1026" style="position:absolute;margin-left:40.5pt;margin-top:1pt;width:531pt;height:14.75pt;z-index:-410392;mso-position-horizontal-relative:page" coordorigin="810,2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">
                <v:rect id="Rectangle 420" o:spid="_x0000_s1027" style="position:absolute;left:810;top:29;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" fillcolor="#ccedff" stroked="f"/>
                <v:line id="Line 419" o:spid="_x0000_s1028"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line id="Line 418" o:spid="_x0000_s1029"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" strokeweight="1pt"/>
                <v:line id="Line 417" o:spid="_x0000_s1030"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line id="Line 416" o:spid="_x0000_s1031"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" strokeweight="1pt"/>
                <v:line id="Line 415" o:spid="_x0000_s1032"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line id="Line 414" o:spid="_x0000_s1033"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" strokeweight="1pt"/>
                <w10:wrap anchorx="page"/>
              </v:group>
            </w:pict>
          </mc:Fallback>
        </mc:AlternateContent>
      </w:r>
      <w:r>
        <w:t>Foreign currency</w:t>
      </w:r>
      <w:r>
        <w:rPr>
          <w:spacing w:val="-8"/>
        </w:rPr>
        <w:t xml:space="preserve"> </w:t>
      </w:r>
      <w:r>
        <w:t>translation</w:t>
      </w:r>
      <w:r>
        <w:rPr>
          <w:spacing w:val="-4"/>
        </w:rPr>
        <w:t xml:space="preserve"> </w:t>
      </w:r>
      <w:r>
        <w:t>adjustments</w:t>
      </w:r>
      <w:r>
        <w:tab/>
      </w:r>
      <w:r>
        <w:rPr>
          <w:position w:val="-1"/>
        </w:rPr>
        <w:t>$</w:t>
      </w:r>
      <w:r>
        <w:rPr>
          <w:position w:val="-1"/>
        </w:rPr>
        <w:tab/>
        <w:t xml:space="preserve">(28) </w:t>
      </w:r>
      <w:r>
        <w:rPr>
          <w:spacing w:val="41"/>
          <w:position w:val="-1"/>
        </w:rPr>
        <w:t xml:space="preserve"> </w:t>
      </w:r>
      <w:r>
        <w:rPr>
          <w:position w:val="-1"/>
        </w:rPr>
        <w:t>$</w:t>
      </w:r>
      <w:r>
        <w:rPr>
          <w:position w:val="-1"/>
        </w:rPr>
        <w:tab/>
        <w:t>—</w:t>
      </w:r>
      <w:r>
        <w:rPr>
          <w:position w:val="-1"/>
        </w:rPr>
        <w:tab/>
        <w:t>$</w:t>
      </w:r>
      <w:r>
        <w:rPr>
          <w:position w:val="-1"/>
        </w:rPr>
        <w:tab/>
        <w:t>4</w:t>
      </w:r>
    </w:p>
    <w:p w14:paraId="7326C551" w14:textId="77777777" w:rsidR="00EF3DFB" w:rsidRDefault="00D27C17">
      <w:pPr>
        <w:pStyle w:val="BodyText"/>
        <w:tabs>
          <w:tab w:val="left" w:pos="7978"/>
          <w:tab w:val="left" w:pos="9253"/>
          <w:tab w:val="left" w:pos="10528"/>
        </w:tabs>
        <w:spacing w:before="35"/>
        <w:ind w:left="242"/>
      </w:pPr>
      <w:r>
        <w:t>Unrecognized pension and</w:t>
      </w:r>
      <w:r>
        <w:rPr>
          <w:spacing w:val="-10"/>
        </w:rPr>
        <w:t xml:space="preserve"> </w:t>
      </w:r>
      <w:r>
        <w:t>postretirement</w:t>
      </w:r>
      <w:r>
        <w:rPr>
          <w:spacing w:val="-5"/>
        </w:rPr>
        <w:t xml:space="preserve"> </w:t>
      </w:r>
      <w:r>
        <w:t>costs</w:t>
      </w:r>
      <w:r>
        <w:tab/>
      </w:r>
      <w:r>
        <w:rPr>
          <w:position w:val="-1"/>
        </w:rPr>
        <w:t>23</w:t>
      </w:r>
      <w:r>
        <w:rPr>
          <w:position w:val="-1"/>
        </w:rPr>
        <w:tab/>
        <w:t>—</w:t>
      </w:r>
      <w:r>
        <w:rPr>
          <w:position w:val="-1"/>
        </w:rPr>
        <w:tab/>
        <w:t>11</w:t>
      </w:r>
    </w:p>
    <w:p w14:paraId="7326C552" w14:textId="6C0944A9" w:rsidR="00EF3DFB" w:rsidRDefault="00D27C17">
      <w:pPr>
        <w:pStyle w:val="BodyText"/>
        <w:tabs>
          <w:tab w:val="left" w:pos="8011"/>
          <w:tab w:val="left" w:pos="9286"/>
          <w:tab w:val="left" w:pos="10528"/>
        </w:tabs>
        <w:spacing w:before="35"/>
        <w:ind w:left="242"/>
      </w:pPr>
      <w:r>
        <w:rPr>
          <w:noProof/>
        </w:rPr>
        <mc:AlternateContent>
          <mc:Choice Requires="wpg">
            <w:drawing>
              <wp:anchor distT="0" distB="0" distL="114300" distR="114300" simplePos="0" relativeHeight="502906112" behindDoc="1" locked="0" layoutInCell="1" allowOverlap="1" wp14:anchorId="7326D714" wp14:editId="1A37DC40">
                <wp:simplePos x="0" y="0"/>
                <wp:positionH relativeFrom="page">
                  <wp:posOffset>514350</wp:posOffset>
                </wp:positionH>
                <wp:positionV relativeFrom="paragraph">
                  <wp:posOffset>19685</wp:posOffset>
                </wp:positionV>
                <wp:extent cx="6743700" cy="187325"/>
                <wp:effectExtent l="0" t="4445" r="9525" b="8255"/>
                <wp:wrapNone/>
                <wp:docPr id="42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31"/>
                          <a:chExt cx="10620" cy="295"/>
                        </a:xfrm>
                      </wpg:grpSpPr>
                      <wps:wsp>
                        <wps:cNvPr id="423" name="Rectangle 412"/>
                        <wps:cNvSpPr>
                          <a:spLocks noChangeArrowheads="1"/>
                        </wps:cNvSpPr>
                        <wps:spPr bwMode="auto">
                          <a:xfrm>
                            <a:off x="810" y="30"/>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11"/>
                        <wps:cNvCnPr>
                          <a:cxnSpLocks noChangeShapeType="1"/>
                        </wps:cNvCnPr>
                        <wps:spPr bwMode="auto">
                          <a:xfrm>
                            <a:off x="7680" y="316"/>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10"/>
                        <wps:cNvCnPr>
                          <a:cxnSpLocks noChangeShapeType="1"/>
                        </wps:cNvCnPr>
                        <wps:spPr bwMode="auto">
                          <a:xfrm>
                            <a:off x="7680" y="316"/>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09"/>
                        <wps:cNvCnPr>
                          <a:cxnSpLocks noChangeShapeType="1"/>
                        </wps:cNvCnPr>
                        <wps:spPr bwMode="auto">
                          <a:xfrm>
                            <a:off x="8955" y="316"/>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08"/>
                        <wps:cNvCnPr>
                          <a:cxnSpLocks noChangeShapeType="1"/>
                        </wps:cNvCnPr>
                        <wps:spPr bwMode="auto">
                          <a:xfrm>
                            <a:off x="8955" y="316"/>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07"/>
                        <wps:cNvCnPr>
                          <a:cxnSpLocks noChangeShapeType="1"/>
                        </wps:cNvCnPr>
                        <wps:spPr bwMode="auto">
                          <a:xfrm>
                            <a:off x="10230" y="316"/>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06"/>
                        <wps:cNvCnPr>
                          <a:cxnSpLocks noChangeShapeType="1"/>
                        </wps:cNvCnPr>
                        <wps:spPr bwMode="auto">
                          <a:xfrm>
                            <a:off x="10230" y="316"/>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90FEE" id="Group 405" o:spid="_x0000_s1026" style="position:absolute;margin-left:40.5pt;margin-top:1.55pt;width:531pt;height:14.75pt;z-index:-410368;mso-position-horizontal-relative:page" coordorigin="810,31"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">
                <v:rect id="Rectangle 412" o:spid="_x0000_s1027" style="position:absolute;left:810;top:30;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" fillcolor="#ccedff" stroked="f"/>
                <v:line id="Line 411" o:spid="_x0000_s1028" style="position:absolute;visibility:visible;mso-wrap-style:square" from="7680,316" to="888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line id="Line 410" o:spid="_x0000_s1029" style="position:absolute;visibility:visible;mso-wrap-style:square" from="7680,316" to="888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" strokeweight="1pt"/>
                <v:line id="Line 409" o:spid="_x0000_s1030" style="position:absolute;visibility:visible;mso-wrap-style:square" from="8955,316" to="1015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line id="Line 408" o:spid="_x0000_s1031" style="position:absolute;visibility:visible;mso-wrap-style:square" from="8955,316" to="1015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" strokeweight="1pt"/>
                <v:line id="Line 407" o:spid="_x0000_s1032" style="position:absolute;visibility:visible;mso-wrap-style:square" from="10230,316" to="1143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line id="Line 406" o:spid="_x0000_s1033" style="position:absolute;visibility:visible;mso-wrap-style:square" from="10230,316" to="1143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" strokeweight="1pt"/>
                <w10:wrap anchorx="page"/>
              </v:group>
            </w:pict>
          </mc:Fallback>
        </mc:AlternateContent>
      </w:r>
      <w:r>
        <w:t>Derivative</w:t>
      </w:r>
      <w:r>
        <w:rPr>
          <w:spacing w:val="-5"/>
        </w:rPr>
        <w:t xml:space="preserve"> </w:t>
      </w:r>
      <w:r>
        <w:t>financial</w:t>
      </w:r>
      <w:r>
        <w:rPr>
          <w:spacing w:val="-5"/>
        </w:rPr>
        <w:t xml:space="preserve"> </w:t>
      </w:r>
      <w:r>
        <w:t>instruments</w:t>
      </w:r>
      <w:r>
        <w:tab/>
      </w:r>
      <w:r>
        <w:rPr>
          <w:position w:val="-1"/>
        </w:rPr>
        <w:t>(1)</w:t>
      </w:r>
      <w:r>
        <w:rPr>
          <w:position w:val="-1"/>
        </w:rPr>
        <w:tab/>
        <w:t>(3)</w:t>
      </w:r>
      <w:r>
        <w:rPr>
          <w:position w:val="-1"/>
        </w:rPr>
        <w:tab/>
        <w:t>19</w:t>
      </w:r>
    </w:p>
    <w:p w14:paraId="7326C553" w14:textId="47374B21" w:rsidR="00EF3DFB" w:rsidRDefault="00D27C17">
      <w:pPr>
        <w:pStyle w:val="BodyText"/>
        <w:tabs>
          <w:tab w:val="left" w:pos="7112"/>
          <w:tab w:val="left" w:pos="8011"/>
          <w:tab w:val="left" w:pos="9286"/>
          <w:tab w:val="left" w:pos="10528"/>
        </w:tabs>
        <w:spacing w:before="35"/>
        <w:ind w:left="242"/>
      </w:pPr>
      <w:r>
        <w:rPr>
          <w:noProof/>
        </w:rPr>
        <mc:AlternateContent>
          <mc:Choice Requires="wps">
            <w:drawing>
              <wp:anchor distT="0" distB="0" distL="0" distR="0" simplePos="0" relativeHeight="2416" behindDoc="0" locked="0" layoutInCell="1" allowOverlap="1" wp14:anchorId="7326D715" wp14:editId="61F3209E">
                <wp:simplePos x="0" y="0"/>
                <wp:positionH relativeFrom="page">
                  <wp:posOffset>4876800</wp:posOffset>
                </wp:positionH>
                <wp:positionV relativeFrom="paragraph">
                  <wp:posOffset>213360</wp:posOffset>
                </wp:positionV>
                <wp:extent cx="762000" cy="0"/>
                <wp:effectExtent l="9525" t="10795" r="9525" b="8255"/>
                <wp:wrapTopAndBottom/>
                <wp:docPr id="42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3D1A" id="Line 404" o:spid="_x0000_s1026"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pt,16.8pt" to="44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2440" behindDoc="0" locked="0" layoutInCell="1" allowOverlap="1" wp14:anchorId="7326D716" wp14:editId="29C16127">
                <wp:simplePos x="0" y="0"/>
                <wp:positionH relativeFrom="page">
                  <wp:posOffset>5686425</wp:posOffset>
                </wp:positionH>
                <wp:positionV relativeFrom="paragraph">
                  <wp:posOffset>213360</wp:posOffset>
                </wp:positionV>
                <wp:extent cx="762000" cy="0"/>
                <wp:effectExtent l="9525" t="10795" r="9525" b="8255"/>
                <wp:wrapTopAndBottom/>
                <wp:docPr id="420"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8474" id="Line 403"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75pt,16.8pt" to="50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" strokeweight="1pt">
                <w10:wrap type="topAndBottom" anchorx="page"/>
              </v:line>
            </w:pict>
          </mc:Fallback>
        </mc:AlternateContent>
      </w:r>
      <w:r>
        <w:rPr>
          <w:noProof/>
        </w:rPr>
        <mc:AlternateContent>
          <mc:Choice Requires="wps">
            <w:drawing>
              <wp:anchor distT="0" distB="0" distL="0" distR="0" simplePos="0" relativeHeight="2464" behindDoc="0" locked="0" layoutInCell="1" allowOverlap="1" wp14:anchorId="7326D717" wp14:editId="56FCB81A">
                <wp:simplePos x="0" y="0"/>
                <wp:positionH relativeFrom="page">
                  <wp:posOffset>6496050</wp:posOffset>
                </wp:positionH>
                <wp:positionV relativeFrom="paragraph">
                  <wp:posOffset>213360</wp:posOffset>
                </wp:positionV>
                <wp:extent cx="762000" cy="0"/>
                <wp:effectExtent l="9525" t="10795" r="9525" b="8255"/>
                <wp:wrapTopAndBottom/>
                <wp:docPr id="41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C58B" id="Line 402" o:spid="_x0000_s1026"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5pt,16.8pt" to="57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" strokeweight="1pt">
                <w10:wrap type="topAndBottom" anchorx="page"/>
              </v:line>
            </w:pict>
          </mc:Fallback>
        </mc:AlternateContent>
      </w:r>
      <w:r>
        <w:t>Income tax provision (benefit) related</w:t>
      </w:r>
      <w:r>
        <w:rPr>
          <w:spacing w:val="-13"/>
        </w:rPr>
        <w:t xml:space="preserve"> </w:t>
      </w:r>
      <w:r>
        <w:t>to</w:t>
      </w:r>
      <w:r>
        <w:rPr>
          <w:spacing w:val="-3"/>
        </w:rPr>
        <w:t xml:space="preserve"> </w:t>
      </w:r>
      <w:r>
        <w:t>AOCL</w:t>
      </w:r>
      <w:r>
        <w:tab/>
      </w:r>
      <w:r>
        <w:rPr>
          <w:position w:val="-1"/>
          <w:u w:val="single"/>
        </w:rPr>
        <w:t>$</w:t>
      </w:r>
      <w:r>
        <w:rPr>
          <w:position w:val="-1"/>
          <w:u w:val="single"/>
        </w:rPr>
        <w:tab/>
        <w:t>(6)</w:t>
      </w:r>
      <w:r>
        <w:rPr>
          <w:position w:val="-1"/>
        </w:rPr>
        <w:t xml:space="preserve"> </w:t>
      </w:r>
      <w:r>
        <w:rPr>
          <w:spacing w:val="41"/>
          <w:position w:val="-1"/>
        </w:rPr>
        <w:t xml:space="preserve"> </w:t>
      </w:r>
      <w:r>
        <w:rPr>
          <w:position w:val="-1"/>
          <w:u w:val="single"/>
        </w:rPr>
        <w:t>$</w:t>
      </w:r>
      <w:r>
        <w:rPr>
          <w:position w:val="-1"/>
          <w:u w:val="single"/>
        </w:rPr>
        <w:tab/>
        <w:t>(3)</w:t>
      </w:r>
      <w:r>
        <w:rPr>
          <w:position w:val="-1"/>
        </w:rPr>
        <w:t xml:space="preserve"> </w:t>
      </w:r>
      <w:r>
        <w:rPr>
          <w:spacing w:val="41"/>
          <w:position w:val="-1"/>
        </w:rPr>
        <w:t xml:space="preserve"> </w:t>
      </w:r>
      <w:r>
        <w:rPr>
          <w:position w:val="-1"/>
          <w:u w:val="single"/>
        </w:rPr>
        <w:t>$</w:t>
      </w:r>
      <w:r>
        <w:rPr>
          <w:position w:val="-1"/>
          <w:u w:val="single"/>
        </w:rPr>
        <w:tab/>
        <w:t>34</w:t>
      </w:r>
    </w:p>
    <w:p w14:paraId="7326C554" w14:textId="77777777" w:rsidR="00EF3DFB" w:rsidRDefault="00EF3DFB">
      <w:pPr>
        <w:sectPr w:rsidR="00EF3DFB">
          <w:pgSz w:w="12240" w:h="15840"/>
          <w:pgMar w:top="600" w:right="640" w:bottom="480" w:left="620" w:header="0" w:footer="291" w:gutter="0"/>
          <w:cols w:space="720"/>
        </w:sectPr>
      </w:pPr>
    </w:p>
    <w:p w14:paraId="7326C555" w14:textId="77777777" w:rsidR="00EF3DFB" w:rsidRDefault="00D27C17">
      <w:pPr>
        <w:pStyle w:val="Heading2"/>
        <w:spacing w:before="68"/>
        <w:jc w:val="left"/>
      </w:pPr>
      <w:bookmarkStart w:id="52" w:name="Footnote_4_—_Restructuring"/>
      <w:bookmarkEnd w:id="52"/>
      <w:r>
        <w:lastRenderedPageBreak/>
        <w:t>Footnote 4 — Restructuring</w:t>
      </w:r>
    </w:p>
    <w:p w14:paraId="7326C556" w14:textId="77777777" w:rsidR="00EF3DFB" w:rsidRDefault="00EF3DFB">
      <w:pPr>
        <w:pStyle w:val="BodyText"/>
        <w:rPr>
          <w:b/>
          <w:sz w:val="22"/>
        </w:rPr>
      </w:pPr>
    </w:p>
    <w:p w14:paraId="7326C557" w14:textId="77777777" w:rsidR="00EF3DFB" w:rsidRDefault="00D27C17">
      <w:pPr>
        <w:pStyle w:val="BodyText"/>
        <w:spacing w:before="1" w:line="249" w:lineRule="auto"/>
        <w:ind w:left="190" w:right="167"/>
        <w:jc w:val="both"/>
      </w:pPr>
      <w:r>
        <w:t xml:space="preserve">The Company has engaged and expects to </w:t>
      </w:r>
      <w:r>
        <w:t>continue to engage in restructuring activities, which requires management to utilize significant estimates related to the timing and amount of severance and other employee separation costs for workforce reductions and other separation programs and other ex</w:t>
      </w:r>
      <w:r>
        <w:t xml:space="preserve">it costs associated with restructuring activities. The Company's accrual for severance and other employee separation costs depends on whether the costs result from an ongoing severance plan or are one-time costs. The Company accounts for relevant expenses </w:t>
      </w:r>
      <w:r>
        <w:t>as severance costs when we have an established severance policy, statutory requirements dictate the severance amounts, or if our historical experience is to routinely provide certain benefits to impacted employees. The Company recognizes severance costs wh</w:t>
      </w:r>
      <w:r>
        <w:t>en it is probable that benefits will be paid and the amount can be reasonably estimated. The Company estimates one-time severance and other employee costs related to exit and disposal activities not resulting from an ongoing severance plan based on the ben</w:t>
      </w:r>
      <w:r>
        <w:t xml:space="preserve">efits available to the employees being terminated. The Company recognizes these costs when we identify the specific classification or functions of the employees being terminated, notify the employees who might be included in the termination, and expect to </w:t>
      </w:r>
      <w:r>
        <w:t>terminate employees within the legally required notification period. When employees are receiving incentives to stay beyond the legally required notification period, we record the cost of their severance over the remaining service</w:t>
      </w:r>
      <w:r>
        <w:rPr>
          <w:spacing w:val="-2"/>
        </w:rPr>
        <w:t xml:space="preserve"> </w:t>
      </w:r>
      <w:r>
        <w:t>period.</w:t>
      </w:r>
    </w:p>
    <w:p w14:paraId="7326C558" w14:textId="77777777" w:rsidR="00EF3DFB" w:rsidRDefault="00EF3DFB">
      <w:pPr>
        <w:pStyle w:val="BodyText"/>
        <w:spacing w:before="9"/>
        <w:rPr>
          <w:sz w:val="21"/>
        </w:rPr>
      </w:pPr>
    </w:p>
    <w:p w14:paraId="7326C559" w14:textId="77777777" w:rsidR="00EF3DFB" w:rsidRDefault="00D27C17">
      <w:pPr>
        <w:pStyle w:val="BodyText"/>
        <w:spacing w:line="249" w:lineRule="auto"/>
        <w:ind w:left="190" w:right="169"/>
        <w:jc w:val="both"/>
      </w:pPr>
      <w:r>
        <w:t>Restructuring co</w:t>
      </w:r>
      <w:r>
        <w:t>sts incurred by reportable business segment for all restructuring activities in continuing operations for the years ended December 31, are as follows (in millions):</w:t>
      </w:r>
    </w:p>
    <w:p w14:paraId="7326C55A" w14:textId="77777777" w:rsidR="00EF3DFB" w:rsidRDefault="00EF3DFB">
      <w:pPr>
        <w:pStyle w:val="BodyText"/>
        <w:spacing w:before="10"/>
        <w:rPr>
          <w:sz w:val="15"/>
        </w:rPr>
      </w:pPr>
    </w:p>
    <w:tbl>
      <w:tblPr>
        <w:tblW w:w="0" w:type="auto"/>
        <w:tblInd w:w="180" w:type="dxa"/>
        <w:tblLayout w:type="fixed"/>
        <w:tblCellMar>
          <w:left w:w="0" w:type="dxa"/>
          <w:right w:w="0" w:type="dxa"/>
        </w:tblCellMar>
        <w:tblLook w:val="01E0" w:firstRow="1" w:lastRow="1" w:firstColumn="1" w:lastColumn="1" w:noHBand="0" w:noVBand="0"/>
      </w:tblPr>
      <w:tblGrid>
        <w:gridCol w:w="4581"/>
        <w:gridCol w:w="3129"/>
        <w:gridCol w:w="384"/>
        <w:gridCol w:w="941"/>
        <w:gridCol w:w="334"/>
        <w:gridCol w:w="891"/>
        <w:gridCol w:w="361"/>
      </w:tblGrid>
      <w:tr w:rsidR="00EF3DFB" w14:paraId="7326C562" w14:textId="77777777">
        <w:trPr>
          <w:trHeight w:val="196"/>
        </w:trPr>
        <w:tc>
          <w:tcPr>
            <w:tcW w:w="4581" w:type="dxa"/>
          </w:tcPr>
          <w:p w14:paraId="7326C55B" w14:textId="77777777" w:rsidR="00EF3DFB" w:rsidRDefault="00EF3DFB">
            <w:pPr>
              <w:pStyle w:val="TableParagraph"/>
              <w:rPr>
                <w:sz w:val="12"/>
              </w:rPr>
            </w:pPr>
          </w:p>
        </w:tc>
        <w:tc>
          <w:tcPr>
            <w:tcW w:w="3129" w:type="dxa"/>
            <w:tcBorders>
              <w:bottom w:val="single" w:sz="8" w:space="0" w:color="000000"/>
            </w:tcBorders>
          </w:tcPr>
          <w:p w14:paraId="7326C55C" w14:textId="77777777" w:rsidR="00EF3DFB" w:rsidRDefault="00D27C17">
            <w:pPr>
              <w:pStyle w:val="TableParagraph"/>
              <w:spacing w:line="177" w:lineRule="exact"/>
              <w:ind w:right="69"/>
              <w:jc w:val="right"/>
              <w:rPr>
                <w:b/>
                <w:sz w:val="16"/>
              </w:rPr>
            </w:pPr>
            <w:r>
              <w:rPr>
                <w:b/>
                <w:sz w:val="16"/>
              </w:rPr>
              <w:t>2020</w:t>
            </w:r>
          </w:p>
        </w:tc>
        <w:tc>
          <w:tcPr>
            <w:tcW w:w="384" w:type="dxa"/>
            <w:tcBorders>
              <w:bottom w:val="single" w:sz="8" w:space="0" w:color="000000"/>
            </w:tcBorders>
          </w:tcPr>
          <w:p w14:paraId="7326C55D" w14:textId="77777777" w:rsidR="00EF3DFB" w:rsidRDefault="00EF3DFB">
            <w:pPr>
              <w:pStyle w:val="TableParagraph"/>
              <w:rPr>
                <w:sz w:val="12"/>
              </w:rPr>
            </w:pPr>
          </w:p>
        </w:tc>
        <w:tc>
          <w:tcPr>
            <w:tcW w:w="941" w:type="dxa"/>
            <w:tcBorders>
              <w:bottom w:val="single" w:sz="8" w:space="0" w:color="000000"/>
            </w:tcBorders>
          </w:tcPr>
          <w:p w14:paraId="7326C55E" w14:textId="77777777" w:rsidR="00EF3DFB" w:rsidRDefault="00D27C17">
            <w:pPr>
              <w:pStyle w:val="TableParagraph"/>
              <w:spacing w:line="177" w:lineRule="exact"/>
              <w:ind w:left="501"/>
              <w:rPr>
                <w:b/>
                <w:sz w:val="16"/>
              </w:rPr>
            </w:pPr>
            <w:r>
              <w:rPr>
                <w:b/>
                <w:sz w:val="16"/>
              </w:rPr>
              <w:t>2019</w:t>
            </w:r>
          </w:p>
        </w:tc>
        <w:tc>
          <w:tcPr>
            <w:tcW w:w="334" w:type="dxa"/>
            <w:tcBorders>
              <w:bottom w:val="single" w:sz="8" w:space="0" w:color="000000"/>
            </w:tcBorders>
          </w:tcPr>
          <w:p w14:paraId="7326C55F" w14:textId="77777777" w:rsidR="00EF3DFB" w:rsidRDefault="00EF3DFB">
            <w:pPr>
              <w:pStyle w:val="TableParagraph"/>
              <w:rPr>
                <w:sz w:val="12"/>
              </w:rPr>
            </w:pPr>
          </w:p>
        </w:tc>
        <w:tc>
          <w:tcPr>
            <w:tcW w:w="891" w:type="dxa"/>
            <w:tcBorders>
              <w:bottom w:val="single" w:sz="8" w:space="0" w:color="000000"/>
            </w:tcBorders>
          </w:tcPr>
          <w:p w14:paraId="7326C560" w14:textId="77777777" w:rsidR="00EF3DFB" w:rsidRDefault="00D27C17">
            <w:pPr>
              <w:pStyle w:val="TableParagraph"/>
              <w:spacing w:line="177" w:lineRule="exact"/>
              <w:ind w:left="501"/>
              <w:rPr>
                <w:b/>
                <w:sz w:val="16"/>
              </w:rPr>
            </w:pPr>
            <w:r>
              <w:rPr>
                <w:b/>
                <w:sz w:val="16"/>
              </w:rPr>
              <w:t>2018</w:t>
            </w:r>
          </w:p>
        </w:tc>
        <w:tc>
          <w:tcPr>
            <w:tcW w:w="361" w:type="dxa"/>
            <w:tcBorders>
              <w:bottom w:val="single" w:sz="8" w:space="0" w:color="000000"/>
            </w:tcBorders>
          </w:tcPr>
          <w:p w14:paraId="7326C561" w14:textId="77777777" w:rsidR="00EF3DFB" w:rsidRDefault="00EF3DFB">
            <w:pPr>
              <w:pStyle w:val="TableParagraph"/>
              <w:rPr>
                <w:sz w:val="12"/>
              </w:rPr>
            </w:pPr>
          </w:p>
        </w:tc>
      </w:tr>
      <w:tr w:rsidR="00EF3DFB" w14:paraId="7326C56A" w14:textId="77777777">
        <w:trPr>
          <w:trHeight w:val="275"/>
        </w:trPr>
        <w:tc>
          <w:tcPr>
            <w:tcW w:w="4581" w:type="dxa"/>
            <w:shd w:val="clear" w:color="auto" w:fill="CCEDFF"/>
          </w:tcPr>
          <w:p w14:paraId="7326C563" w14:textId="77777777" w:rsidR="00EF3DFB" w:rsidRDefault="00D27C17">
            <w:pPr>
              <w:pStyle w:val="TableParagraph"/>
              <w:spacing w:line="224" w:lineRule="exact"/>
              <w:ind w:left="62"/>
              <w:rPr>
                <w:sz w:val="20"/>
              </w:rPr>
            </w:pPr>
            <w:r>
              <w:rPr>
                <w:sz w:val="20"/>
              </w:rPr>
              <w:t>Appliances and Cookware</w:t>
            </w:r>
          </w:p>
        </w:tc>
        <w:tc>
          <w:tcPr>
            <w:tcW w:w="3129" w:type="dxa"/>
            <w:tcBorders>
              <w:top w:val="single" w:sz="8" w:space="0" w:color="000000"/>
            </w:tcBorders>
            <w:shd w:val="clear" w:color="auto" w:fill="CCEDFF"/>
          </w:tcPr>
          <w:p w14:paraId="7326C564" w14:textId="77777777" w:rsidR="00EF3DFB" w:rsidRDefault="00D27C17">
            <w:pPr>
              <w:pStyle w:val="TableParagraph"/>
              <w:spacing w:before="15"/>
              <w:ind w:right="675"/>
              <w:jc w:val="right"/>
              <w:rPr>
                <w:sz w:val="20"/>
              </w:rPr>
            </w:pPr>
            <w:r>
              <w:rPr>
                <w:sz w:val="20"/>
              </w:rPr>
              <w:t>$</w:t>
            </w:r>
          </w:p>
        </w:tc>
        <w:tc>
          <w:tcPr>
            <w:tcW w:w="384" w:type="dxa"/>
            <w:tcBorders>
              <w:top w:val="single" w:sz="8" w:space="0" w:color="000000"/>
            </w:tcBorders>
            <w:shd w:val="clear" w:color="auto" w:fill="CCEDFF"/>
          </w:tcPr>
          <w:p w14:paraId="7326C565" w14:textId="77777777" w:rsidR="00EF3DFB" w:rsidRDefault="00D27C17">
            <w:pPr>
              <w:pStyle w:val="TableParagraph"/>
              <w:spacing w:before="15"/>
              <w:ind w:left="92"/>
              <w:jc w:val="center"/>
              <w:rPr>
                <w:sz w:val="20"/>
              </w:rPr>
            </w:pPr>
            <w:r>
              <w:rPr>
                <w:sz w:val="20"/>
              </w:rPr>
              <w:t>1</w:t>
            </w:r>
          </w:p>
        </w:tc>
        <w:tc>
          <w:tcPr>
            <w:tcW w:w="941" w:type="dxa"/>
            <w:tcBorders>
              <w:top w:val="single" w:sz="8" w:space="0" w:color="000000"/>
            </w:tcBorders>
            <w:shd w:val="clear" w:color="auto" w:fill="CCEDFF"/>
          </w:tcPr>
          <w:p w14:paraId="7326C566" w14:textId="77777777" w:rsidR="00EF3DFB" w:rsidRDefault="00D27C17">
            <w:pPr>
              <w:pStyle w:val="TableParagraph"/>
              <w:spacing w:before="15"/>
              <w:ind w:left="113"/>
              <w:rPr>
                <w:sz w:val="20"/>
              </w:rPr>
            </w:pPr>
            <w:r>
              <w:rPr>
                <w:sz w:val="20"/>
              </w:rPr>
              <w:t>$</w:t>
            </w:r>
          </w:p>
        </w:tc>
        <w:tc>
          <w:tcPr>
            <w:tcW w:w="334" w:type="dxa"/>
            <w:tcBorders>
              <w:top w:val="single" w:sz="8" w:space="0" w:color="000000"/>
            </w:tcBorders>
            <w:shd w:val="clear" w:color="auto" w:fill="CCEDFF"/>
          </w:tcPr>
          <w:p w14:paraId="7326C567" w14:textId="77777777" w:rsidR="00EF3DFB" w:rsidRDefault="00D27C17">
            <w:pPr>
              <w:pStyle w:val="TableParagraph"/>
              <w:spacing w:before="15"/>
              <w:ind w:right="93"/>
              <w:jc w:val="right"/>
              <w:rPr>
                <w:sz w:val="20"/>
              </w:rPr>
            </w:pPr>
            <w:r>
              <w:rPr>
                <w:sz w:val="20"/>
              </w:rPr>
              <w:t>2</w:t>
            </w:r>
          </w:p>
        </w:tc>
        <w:tc>
          <w:tcPr>
            <w:tcW w:w="891" w:type="dxa"/>
            <w:tcBorders>
              <w:top w:val="single" w:sz="8" w:space="0" w:color="000000"/>
            </w:tcBorders>
            <w:shd w:val="clear" w:color="auto" w:fill="CCEDFF"/>
          </w:tcPr>
          <w:p w14:paraId="7326C568" w14:textId="77777777" w:rsidR="00EF3DFB" w:rsidRDefault="00D27C17">
            <w:pPr>
              <w:pStyle w:val="TableParagraph"/>
              <w:spacing w:before="15"/>
              <w:ind w:left="113"/>
              <w:rPr>
                <w:sz w:val="20"/>
              </w:rPr>
            </w:pPr>
            <w:r>
              <w:rPr>
                <w:sz w:val="20"/>
              </w:rPr>
              <w:t>$</w:t>
            </w:r>
          </w:p>
        </w:tc>
        <w:tc>
          <w:tcPr>
            <w:tcW w:w="361" w:type="dxa"/>
            <w:tcBorders>
              <w:top w:val="single" w:sz="8" w:space="0" w:color="000000"/>
            </w:tcBorders>
            <w:shd w:val="clear" w:color="auto" w:fill="CCEDFF"/>
          </w:tcPr>
          <w:p w14:paraId="7326C569" w14:textId="77777777" w:rsidR="00EF3DFB" w:rsidRDefault="00D27C17">
            <w:pPr>
              <w:pStyle w:val="TableParagraph"/>
              <w:spacing w:before="15"/>
              <w:ind w:left="115"/>
              <w:jc w:val="center"/>
              <w:rPr>
                <w:sz w:val="20"/>
              </w:rPr>
            </w:pPr>
            <w:r>
              <w:rPr>
                <w:sz w:val="20"/>
              </w:rPr>
              <w:t>3</w:t>
            </w:r>
          </w:p>
        </w:tc>
      </w:tr>
      <w:tr w:rsidR="00EF3DFB" w14:paraId="7326C572" w14:textId="77777777">
        <w:trPr>
          <w:trHeight w:val="285"/>
        </w:trPr>
        <w:tc>
          <w:tcPr>
            <w:tcW w:w="4581" w:type="dxa"/>
          </w:tcPr>
          <w:p w14:paraId="7326C56B" w14:textId="77777777" w:rsidR="00EF3DFB" w:rsidRDefault="00D27C17">
            <w:pPr>
              <w:pStyle w:val="TableParagraph"/>
              <w:spacing w:before="4"/>
              <w:ind w:left="62"/>
              <w:rPr>
                <w:sz w:val="20"/>
              </w:rPr>
            </w:pPr>
            <w:r>
              <w:rPr>
                <w:sz w:val="20"/>
              </w:rPr>
              <w:t>Commercial Solutions</w:t>
            </w:r>
          </w:p>
        </w:tc>
        <w:tc>
          <w:tcPr>
            <w:tcW w:w="3129" w:type="dxa"/>
          </w:tcPr>
          <w:p w14:paraId="7326C56C" w14:textId="77777777" w:rsidR="00EF3DFB" w:rsidRDefault="00EF3DFB">
            <w:pPr>
              <w:pStyle w:val="TableParagraph"/>
              <w:rPr>
                <w:sz w:val="18"/>
              </w:rPr>
            </w:pPr>
          </w:p>
        </w:tc>
        <w:tc>
          <w:tcPr>
            <w:tcW w:w="384" w:type="dxa"/>
          </w:tcPr>
          <w:p w14:paraId="7326C56D" w14:textId="77777777" w:rsidR="00EF3DFB" w:rsidRDefault="00D27C17">
            <w:pPr>
              <w:pStyle w:val="TableParagraph"/>
              <w:spacing w:before="25"/>
              <w:ind w:left="92"/>
              <w:jc w:val="center"/>
              <w:rPr>
                <w:sz w:val="20"/>
              </w:rPr>
            </w:pPr>
            <w:r>
              <w:rPr>
                <w:sz w:val="20"/>
              </w:rPr>
              <w:t>4</w:t>
            </w:r>
          </w:p>
        </w:tc>
        <w:tc>
          <w:tcPr>
            <w:tcW w:w="941" w:type="dxa"/>
          </w:tcPr>
          <w:p w14:paraId="7326C56E" w14:textId="77777777" w:rsidR="00EF3DFB" w:rsidRDefault="00EF3DFB">
            <w:pPr>
              <w:pStyle w:val="TableParagraph"/>
              <w:rPr>
                <w:sz w:val="18"/>
              </w:rPr>
            </w:pPr>
          </w:p>
        </w:tc>
        <w:tc>
          <w:tcPr>
            <w:tcW w:w="334" w:type="dxa"/>
          </w:tcPr>
          <w:p w14:paraId="7326C56F" w14:textId="77777777" w:rsidR="00EF3DFB" w:rsidRDefault="00D27C17">
            <w:pPr>
              <w:pStyle w:val="TableParagraph"/>
              <w:spacing w:before="25"/>
              <w:ind w:right="93"/>
              <w:jc w:val="right"/>
              <w:rPr>
                <w:sz w:val="20"/>
              </w:rPr>
            </w:pPr>
            <w:r>
              <w:rPr>
                <w:sz w:val="20"/>
              </w:rPr>
              <w:t>3</w:t>
            </w:r>
          </w:p>
        </w:tc>
        <w:tc>
          <w:tcPr>
            <w:tcW w:w="891" w:type="dxa"/>
          </w:tcPr>
          <w:p w14:paraId="7326C570" w14:textId="77777777" w:rsidR="00EF3DFB" w:rsidRDefault="00EF3DFB">
            <w:pPr>
              <w:pStyle w:val="TableParagraph"/>
              <w:rPr>
                <w:sz w:val="18"/>
              </w:rPr>
            </w:pPr>
          </w:p>
        </w:tc>
        <w:tc>
          <w:tcPr>
            <w:tcW w:w="361" w:type="dxa"/>
          </w:tcPr>
          <w:p w14:paraId="7326C571" w14:textId="77777777" w:rsidR="00EF3DFB" w:rsidRDefault="00D27C17">
            <w:pPr>
              <w:pStyle w:val="TableParagraph"/>
              <w:spacing w:before="25"/>
              <w:ind w:left="115"/>
              <w:jc w:val="center"/>
              <w:rPr>
                <w:sz w:val="20"/>
              </w:rPr>
            </w:pPr>
            <w:r>
              <w:rPr>
                <w:sz w:val="20"/>
              </w:rPr>
              <w:t>6</w:t>
            </w:r>
          </w:p>
        </w:tc>
      </w:tr>
      <w:tr w:rsidR="00EF3DFB" w14:paraId="7326C57A" w14:textId="77777777">
        <w:trPr>
          <w:trHeight w:val="285"/>
        </w:trPr>
        <w:tc>
          <w:tcPr>
            <w:tcW w:w="4581" w:type="dxa"/>
            <w:shd w:val="clear" w:color="auto" w:fill="CCEDFF"/>
          </w:tcPr>
          <w:p w14:paraId="7326C573" w14:textId="77777777" w:rsidR="00EF3DFB" w:rsidRDefault="00D27C17">
            <w:pPr>
              <w:pStyle w:val="TableParagraph"/>
              <w:spacing w:before="4"/>
              <w:ind w:left="62"/>
              <w:rPr>
                <w:sz w:val="20"/>
              </w:rPr>
            </w:pPr>
            <w:r>
              <w:rPr>
                <w:sz w:val="20"/>
              </w:rPr>
              <w:t>Home Solutions</w:t>
            </w:r>
          </w:p>
        </w:tc>
        <w:tc>
          <w:tcPr>
            <w:tcW w:w="3129" w:type="dxa"/>
            <w:shd w:val="clear" w:color="auto" w:fill="CCEDFF"/>
          </w:tcPr>
          <w:p w14:paraId="7326C574" w14:textId="77777777" w:rsidR="00EF3DFB" w:rsidRDefault="00EF3DFB">
            <w:pPr>
              <w:pStyle w:val="TableParagraph"/>
              <w:rPr>
                <w:sz w:val="18"/>
              </w:rPr>
            </w:pPr>
          </w:p>
        </w:tc>
        <w:tc>
          <w:tcPr>
            <w:tcW w:w="384" w:type="dxa"/>
            <w:shd w:val="clear" w:color="auto" w:fill="CCEDFF"/>
          </w:tcPr>
          <w:p w14:paraId="7326C575" w14:textId="77777777" w:rsidR="00EF3DFB" w:rsidRDefault="00D27C17">
            <w:pPr>
              <w:pStyle w:val="TableParagraph"/>
              <w:spacing w:before="25"/>
              <w:ind w:left="69" w:right="74"/>
              <w:jc w:val="center"/>
              <w:rPr>
                <w:sz w:val="20"/>
              </w:rPr>
            </w:pPr>
            <w:r>
              <w:rPr>
                <w:sz w:val="20"/>
              </w:rPr>
              <w:t>10</w:t>
            </w:r>
          </w:p>
        </w:tc>
        <w:tc>
          <w:tcPr>
            <w:tcW w:w="941" w:type="dxa"/>
            <w:shd w:val="clear" w:color="auto" w:fill="CCEDFF"/>
          </w:tcPr>
          <w:p w14:paraId="7326C576" w14:textId="77777777" w:rsidR="00EF3DFB" w:rsidRDefault="00EF3DFB">
            <w:pPr>
              <w:pStyle w:val="TableParagraph"/>
              <w:rPr>
                <w:sz w:val="18"/>
              </w:rPr>
            </w:pPr>
          </w:p>
        </w:tc>
        <w:tc>
          <w:tcPr>
            <w:tcW w:w="334" w:type="dxa"/>
            <w:shd w:val="clear" w:color="auto" w:fill="CCEDFF"/>
          </w:tcPr>
          <w:p w14:paraId="7326C577" w14:textId="77777777" w:rsidR="00EF3DFB" w:rsidRDefault="00D27C17">
            <w:pPr>
              <w:pStyle w:val="TableParagraph"/>
              <w:spacing w:before="25"/>
              <w:ind w:right="93"/>
              <w:jc w:val="right"/>
              <w:rPr>
                <w:sz w:val="20"/>
              </w:rPr>
            </w:pPr>
            <w:r>
              <w:rPr>
                <w:sz w:val="20"/>
              </w:rPr>
              <w:t>9</w:t>
            </w:r>
          </w:p>
        </w:tc>
        <w:tc>
          <w:tcPr>
            <w:tcW w:w="891" w:type="dxa"/>
            <w:shd w:val="clear" w:color="auto" w:fill="CCEDFF"/>
          </w:tcPr>
          <w:p w14:paraId="7326C578" w14:textId="77777777" w:rsidR="00EF3DFB" w:rsidRDefault="00EF3DFB">
            <w:pPr>
              <w:pStyle w:val="TableParagraph"/>
              <w:rPr>
                <w:sz w:val="18"/>
              </w:rPr>
            </w:pPr>
          </w:p>
        </w:tc>
        <w:tc>
          <w:tcPr>
            <w:tcW w:w="361" w:type="dxa"/>
            <w:shd w:val="clear" w:color="auto" w:fill="CCEDFF"/>
          </w:tcPr>
          <w:p w14:paraId="7326C579" w14:textId="77777777" w:rsidR="00EF3DFB" w:rsidRDefault="00D27C17">
            <w:pPr>
              <w:pStyle w:val="TableParagraph"/>
              <w:spacing w:before="25"/>
              <w:ind w:left="115"/>
              <w:jc w:val="center"/>
              <w:rPr>
                <w:sz w:val="20"/>
              </w:rPr>
            </w:pPr>
            <w:r>
              <w:rPr>
                <w:sz w:val="20"/>
              </w:rPr>
              <w:t>8</w:t>
            </w:r>
          </w:p>
        </w:tc>
      </w:tr>
      <w:tr w:rsidR="00EF3DFB" w14:paraId="7326C582" w14:textId="77777777">
        <w:trPr>
          <w:trHeight w:val="285"/>
        </w:trPr>
        <w:tc>
          <w:tcPr>
            <w:tcW w:w="4581" w:type="dxa"/>
          </w:tcPr>
          <w:p w14:paraId="7326C57B" w14:textId="77777777" w:rsidR="00EF3DFB" w:rsidRDefault="00D27C17">
            <w:pPr>
              <w:pStyle w:val="TableParagraph"/>
              <w:spacing w:before="4"/>
              <w:ind w:left="62"/>
              <w:rPr>
                <w:sz w:val="20"/>
              </w:rPr>
            </w:pPr>
            <w:r>
              <w:rPr>
                <w:sz w:val="20"/>
              </w:rPr>
              <w:t>Learning and Development</w:t>
            </w:r>
          </w:p>
        </w:tc>
        <w:tc>
          <w:tcPr>
            <w:tcW w:w="3129" w:type="dxa"/>
          </w:tcPr>
          <w:p w14:paraId="7326C57C" w14:textId="77777777" w:rsidR="00EF3DFB" w:rsidRDefault="00EF3DFB">
            <w:pPr>
              <w:pStyle w:val="TableParagraph"/>
              <w:rPr>
                <w:sz w:val="18"/>
              </w:rPr>
            </w:pPr>
          </w:p>
        </w:tc>
        <w:tc>
          <w:tcPr>
            <w:tcW w:w="384" w:type="dxa"/>
          </w:tcPr>
          <w:p w14:paraId="7326C57D" w14:textId="77777777" w:rsidR="00EF3DFB" w:rsidRDefault="00D27C17">
            <w:pPr>
              <w:pStyle w:val="TableParagraph"/>
              <w:spacing w:before="25"/>
              <w:ind w:left="92"/>
              <w:jc w:val="center"/>
              <w:rPr>
                <w:sz w:val="20"/>
              </w:rPr>
            </w:pPr>
            <w:r>
              <w:rPr>
                <w:sz w:val="20"/>
              </w:rPr>
              <w:t>3</w:t>
            </w:r>
          </w:p>
        </w:tc>
        <w:tc>
          <w:tcPr>
            <w:tcW w:w="941" w:type="dxa"/>
          </w:tcPr>
          <w:p w14:paraId="7326C57E" w14:textId="77777777" w:rsidR="00EF3DFB" w:rsidRDefault="00EF3DFB">
            <w:pPr>
              <w:pStyle w:val="TableParagraph"/>
              <w:rPr>
                <w:sz w:val="18"/>
              </w:rPr>
            </w:pPr>
          </w:p>
        </w:tc>
        <w:tc>
          <w:tcPr>
            <w:tcW w:w="334" w:type="dxa"/>
          </w:tcPr>
          <w:p w14:paraId="7326C57F" w14:textId="77777777" w:rsidR="00EF3DFB" w:rsidRDefault="00D27C17">
            <w:pPr>
              <w:pStyle w:val="TableParagraph"/>
              <w:spacing w:before="25"/>
              <w:ind w:right="93"/>
              <w:jc w:val="right"/>
              <w:rPr>
                <w:sz w:val="20"/>
              </w:rPr>
            </w:pPr>
            <w:r>
              <w:rPr>
                <w:sz w:val="20"/>
              </w:rPr>
              <w:t>6</w:t>
            </w:r>
          </w:p>
        </w:tc>
        <w:tc>
          <w:tcPr>
            <w:tcW w:w="891" w:type="dxa"/>
          </w:tcPr>
          <w:p w14:paraId="7326C580" w14:textId="77777777" w:rsidR="00EF3DFB" w:rsidRDefault="00EF3DFB">
            <w:pPr>
              <w:pStyle w:val="TableParagraph"/>
              <w:rPr>
                <w:sz w:val="18"/>
              </w:rPr>
            </w:pPr>
          </w:p>
        </w:tc>
        <w:tc>
          <w:tcPr>
            <w:tcW w:w="361" w:type="dxa"/>
          </w:tcPr>
          <w:p w14:paraId="7326C581" w14:textId="77777777" w:rsidR="00EF3DFB" w:rsidRDefault="00D27C17">
            <w:pPr>
              <w:pStyle w:val="TableParagraph"/>
              <w:spacing w:before="25"/>
              <w:ind w:left="115"/>
              <w:jc w:val="center"/>
              <w:rPr>
                <w:sz w:val="20"/>
              </w:rPr>
            </w:pPr>
            <w:r>
              <w:rPr>
                <w:sz w:val="20"/>
              </w:rPr>
              <w:t>8</w:t>
            </w:r>
          </w:p>
        </w:tc>
      </w:tr>
      <w:tr w:rsidR="00EF3DFB" w14:paraId="7326C58A" w14:textId="77777777">
        <w:trPr>
          <w:trHeight w:val="285"/>
        </w:trPr>
        <w:tc>
          <w:tcPr>
            <w:tcW w:w="4581" w:type="dxa"/>
            <w:shd w:val="clear" w:color="auto" w:fill="CCEDFF"/>
          </w:tcPr>
          <w:p w14:paraId="7326C583" w14:textId="77777777" w:rsidR="00EF3DFB" w:rsidRDefault="00D27C17">
            <w:pPr>
              <w:pStyle w:val="TableParagraph"/>
              <w:spacing w:before="4"/>
              <w:ind w:left="62"/>
              <w:rPr>
                <w:sz w:val="20"/>
              </w:rPr>
            </w:pPr>
            <w:r>
              <w:rPr>
                <w:sz w:val="20"/>
              </w:rPr>
              <w:t>Outdoor and Recreation</w:t>
            </w:r>
          </w:p>
        </w:tc>
        <w:tc>
          <w:tcPr>
            <w:tcW w:w="3129" w:type="dxa"/>
            <w:shd w:val="clear" w:color="auto" w:fill="CCEDFF"/>
          </w:tcPr>
          <w:p w14:paraId="7326C584" w14:textId="77777777" w:rsidR="00EF3DFB" w:rsidRDefault="00EF3DFB">
            <w:pPr>
              <w:pStyle w:val="TableParagraph"/>
              <w:rPr>
                <w:sz w:val="18"/>
              </w:rPr>
            </w:pPr>
          </w:p>
        </w:tc>
        <w:tc>
          <w:tcPr>
            <w:tcW w:w="384" w:type="dxa"/>
            <w:shd w:val="clear" w:color="auto" w:fill="CCEDFF"/>
          </w:tcPr>
          <w:p w14:paraId="7326C585" w14:textId="77777777" w:rsidR="00EF3DFB" w:rsidRDefault="00D27C17">
            <w:pPr>
              <w:pStyle w:val="TableParagraph"/>
              <w:spacing w:before="25"/>
              <w:ind w:left="92"/>
              <w:jc w:val="center"/>
              <w:rPr>
                <w:sz w:val="20"/>
              </w:rPr>
            </w:pPr>
            <w:r>
              <w:rPr>
                <w:sz w:val="20"/>
              </w:rPr>
              <w:t>2</w:t>
            </w:r>
          </w:p>
        </w:tc>
        <w:tc>
          <w:tcPr>
            <w:tcW w:w="941" w:type="dxa"/>
            <w:shd w:val="clear" w:color="auto" w:fill="CCEDFF"/>
          </w:tcPr>
          <w:p w14:paraId="7326C586" w14:textId="77777777" w:rsidR="00EF3DFB" w:rsidRDefault="00EF3DFB">
            <w:pPr>
              <w:pStyle w:val="TableParagraph"/>
              <w:rPr>
                <w:sz w:val="18"/>
              </w:rPr>
            </w:pPr>
          </w:p>
        </w:tc>
        <w:tc>
          <w:tcPr>
            <w:tcW w:w="334" w:type="dxa"/>
            <w:shd w:val="clear" w:color="auto" w:fill="CCEDFF"/>
          </w:tcPr>
          <w:p w14:paraId="7326C587" w14:textId="77777777" w:rsidR="00EF3DFB" w:rsidRDefault="00D27C17">
            <w:pPr>
              <w:pStyle w:val="TableParagraph"/>
              <w:spacing w:before="25"/>
              <w:ind w:right="93"/>
              <w:jc w:val="right"/>
              <w:rPr>
                <w:sz w:val="20"/>
              </w:rPr>
            </w:pPr>
            <w:r>
              <w:rPr>
                <w:sz w:val="20"/>
              </w:rPr>
              <w:t>2</w:t>
            </w:r>
          </w:p>
        </w:tc>
        <w:tc>
          <w:tcPr>
            <w:tcW w:w="891" w:type="dxa"/>
            <w:shd w:val="clear" w:color="auto" w:fill="CCEDFF"/>
          </w:tcPr>
          <w:p w14:paraId="7326C588" w14:textId="77777777" w:rsidR="00EF3DFB" w:rsidRDefault="00EF3DFB">
            <w:pPr>
              <w:pStyle w:val="TableParagraph"/>
              <w:rPr>
                <w:sz w:val="18"/>
              </w:rPr>
            </w:pPr>
          </w:p>
        </w:tc>
        <w:tc>
          <w:tcPr>
            <w:tcW w:w="361" w:type="dxa"/>
            <w:shd w:val="clear" w:color="auto" w:fill="CCEDFF"/>
          </w:tcPr>
          <w:p w14:paraId="7326C589" w14:textId="77777777" w:rsidR="00EF3DFB" w:rsidRDefault="00D27C17">
            <w:pPr>
              <w:pStyle w:val="TableParagraph"/>
              <w:spacing w:before="25"/>
              <w:ind w:left="68" w:right="53"/>
              <w:jc w:val="center"/>
              <w:rPr>
                <w:sz w:val="20"/>
              </w:rPr>
            </w:pPr>
            <w:r>
              <w:rPr>
                <w:sz w:val="20"/>
              </w:rPr>
              <w:t>27</w:t>
            </w:r>
          </w:p>
        </w:tc>
      </w:tr>
      <w:tr w:rsidR="00EF3DFB" w14:paraId="7326C592" w14:textId="77777777">
        <w:trPr>
          <w:trHeight w:val="255"/>
        </w:trPr>
        <w:tc>
          <w:tcPr>
            <w:tcW w:w="4581" w:type="dxa"/>
          </w:tcPr>
          <w:p w14:paraId="7326C58B" w14:textId="77777777" w:rsidR="00EF3DFB" w:rsidRDefault="00D27C17">
            <w:pPr>
              <w:pStyle w:val="TableParagraph"/>
              <w:spacing w:before="4"/>
              <w:ind w:left="62"/>
              <w:rPr>
                <w:sz w:val="20"/>
              </w:rPr>
            </w:pPr>
            <w:r>
              <w:rPr>
                <w:sz w:val="20"/>
              </w:rPr>
              <w:t>Corporate</w:t>
            </w:r>
          </w:p>
        </w:tc>
        <w:tc>
          <w:tcPr>
            <w:tcW w:w="3129" w:type="dxa"/>
          </w:tcPr>
          <w:p w14:paraId="7326C58C" w14:textId="77777777" w:rsidR="00EF3DFB" w:rsidRDefault="00EF3DFB">
            <w:pPr>
              <w:pStyle w:val="TableParagraph"/>
              <w:rPr>
                <w:sz w:val="18"/>
              </w:rPr>
            </w:pPr>
          </w:p>
        </w:tc>
        <w:tc>
          <w:tcPr>
            <w:tcW w:w="384" w:type="dxa"/>
          </w:tcPr>
          <w:p w14:paraId="7326C58D" w14:textId="77777777" w:rsidR="00EF3DFB" w:rsidRDefault="00D27C17">
            <w:pPr>
              <w:pStyle w:val="TableParagraph"/>
              <w:spacing w:before="25" w:line="210" w:lineRule="exact"/>
              <w:ind w:left="92"/>
              <w:jc w:val="center"/>
              <w:rPr>
                <w:sz w:val="20"/>
              </w:rPr>
            </w:pPr>
            <w:r>
              <w:rPr>
                <w:sz w:val="20"/>
              </w:rPr>
              <w:t>1</w:t>
            </w:r>
          </w:p>
        </w:tc>
        <w:tc>
          <w:tcPr>
            <w:tcW w:w="941" w:type="dxa"/>
          </w:tcPr>
          <w:p w14:paraId="7326C58E" w14:textId="77777777" w:rsidR="00EF3DFB" w:rsidRDefault="00EF3DFB">
            <w:pPr>
              <w:pStyle w:val="TableParagraph"/>
              <w:rPr>
                <w:sz w:val="18"/>
              </w:rPr>
            </w:pPr>
          </w:p>
        </w:tc>
        <w:tc>
          <w:tcPr>
            <w:tcW w:w="334" w:type="dxa"/>
          </w:tcPr>
          <w:p w14:paraId="7326C58F" w14:textId="77777777" w:rsidR="00EF3DFB" w:rsidRDefault="00D27C17">
            <w:pPr>
              <w:pStyle w:val="TableParagraph"/>
              <w:spacing w:before="25" w:line="210" w:lineRule="exact"/>
              <w:ind w:right="93"/>
              <w:jc w:val="right"/>
              <w:rPr>
                <w:sz w:val="20"/>
              </w:rPr>
            </w:pPr>
            <w:r>
              <w:rPr>
                <w:sz w:val="20"/>
              </w:rPr>
              <w:t>5</w:t>
            </w:r>
          </w:p>
        </w:tc>
        <w:tc>
          <w:tcPr>
            <w:tcW w:w="891" w:type="dxa"/>
          </w:tcPr>
          <w:p w14:paraId="7326C590" w14:textId="77777777" w:rsidR="00EF3DFB" w:rsidRDefault="00EF3DFB">
            <w:pPr>
              <w:pStyle w:val="TableParagraph"/>
              <w:rPr>
                <w:sz w:val="18"/>
              </w:rPr>
            </w:pPr>
          </w:p>
        </w:tc>
        <w:tc>
          <w:tcPr>
            <w:tcW w:w="361" w:type="dxa"/>
          </w:tcPr>
          <w:p w14:paraId="7326C591" w14:textId="77777777" w:rsidR="00EF3DFB" w:rsidRDefault="00D27C17">
            <w:pPr>
              <w:pStyle w:val="TableParagraph"/>
              <w:spacing w:before="25" w:line="210" w:lineRule="exact"/>
              <w:ind w:left="68" w:right="53"/>
              <w:jc w:val="center"/>
              <w:rPr>
                <w:sz w:val="20"/>
              </w:rPr>
            </w:pPr>
            <w:r>
              <w:rPr>
                <w:sz w:val="20"/>
              </w:rPr>
              <w:t>35</w:t>
            </w:r>
          </w:p>
        </w:tc>
      </w:tr>
      <w:tr w:rsidR="00EF3DFB" w14:paraId="7326C595" w14:textId="77777777">
        <w:trPr>
          <w:trHeight w:val="334"/>
        </w:trPr>
        <w:tc>
          <w:tcPr>
            <w:tcW w:w="10621" w:type="dxa"/>
            <w:gridSpan w:val="7"/>
            <w:shd w:val="clear" w:color="auto" w:fill="CCEDFF"/>
          </w:tcPr>
          <w:p w14:paraId="7326C593" w14:textId="1EB39B0B" w:rsidR="00EF3DFB" w:rsidRDefault="00D27C17">
            <w:pPr>
              <w:pStyle w:val="TableParagraph"/>
              <w:spacing w:line="20" w:lineRule="exact"/>
              <w:ind w:left="6870"/>
              <w:rPr>
                <w:sz w:val="2"/>
              </w:rPr>
            </w:pPr>
            <w:r>
              <w:rPr>
                <w:noProof/>
                <w:sz w:val="2"/>
              </w:rPr>
              <mc:AlternateContent>
                <mc:Choice Requires="wpg">
                  <w:drawing>
                    <wp:inline distT="0" distB="0" distL="0" distR="0" wp14:anchorId="7326D718" wp14:editId="7E15A04D">
                      <wp:extent cx="762000" cy="12700"/>
                      <wp:effectExtent l="12700" t="0" r="6350" b="6350"/>
                      <wp:docPr id="416"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17" name="Line 401"/>
                              <wps:cNvCnPr>
                                <a:cxnSpLocks noChangeShapeType="1"/>
                              </wps:cNvCnPr>
                              <wps:spPr bwMode="auto">
                                <a:xfrm>
                                  <a:off x="0" y="1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00"/>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A46791" id="Group 399"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">
                      <v:line id="Line 401"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OtxAAAANwAAAAPAAAAZHJzL2Rvd25yZXYueG1sRI9Pa8JA&#10;FMTvgt9heUJvuklp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FnY063EAAAA3AAAAA8A&#10;AAAAAAAAAAAAAAAABwIAAGRycy9kb3ducmV2LnhtbFBLBQYAAAAAAwADALcAAAD4AgAAAAA=&#10;" strokeweight="0"/>
                      <v:line id="Line 400" o:spid="_x0000_s1028"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1A" wp14:editId="4F09D597">
                      <wp:extent cx="762000" cy="12700"/>
                      <wp:effectExtent l="12700" t="0" r="6350" b="6350"/>
                      <wp:docPr id="413"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414" name="Line 398"/>
                              <wps:cNvCnPr>
                                <a:cxnSpLocks noChangeShapeType="1"/>
                              </wps:cNvCnPr>
                              <wps:spPr bwMode="auto">
                                <a:xfrm>
                                  <a:off x="0" y="1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397"/>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3FD38" id="Group 396"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">
                      <v:line id="Line 398"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line id="Line 397" o:spid="_x0000_s1028"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CmxQAAANwAAAAPAAAAZHJzL2Rvd25yZXYueG1sRI/dagIx&#10;FITvBd8hHMG7mt2i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AYADCmxQAAANwAAAAP&#10;AAAAAAAAAAAAAAAAAAcCAABkcnMvZG93bnJldi54bWxQSwUGAAAAAAMAAwC3AAAA+QIAAAAA&#10;" strokeweight="1pt"/>
                      <w10:anchorlock/>
                    </v:group>
                  </w:pict>
                </mc:Fallback>
              </mc:AlternateContent>
            </w:r>
          </w:p>
          <w:p w14:paraId="7326C594" w14:textId="77777777" w:rsidR="00EF3DFB" w:rsidRDefault="00D27C17">
            <w:pPr>
              <w:pStyle w:val="TableParagraph"/>
              <w:tabs>
                <w:tab w:val="left" w:pos="7798"/>
                <w:tab w:val="left" w:pos="8207"/>
                <w:tab w:val="left" w:pos="9073"/>
                <w:tab w:val="left" w:pos="9482"/>
                <w:tab w:val="left" w:pos="10348"/>
              </w:tabs>
              <w:spacing w:before="35"/>
              <w:ind w:left="6932"/>
              <w:rPr>
                <w:sz w:val="20"/>
              </w:rPr>
            </w:pPr>
            <w:r>
              <w:rPr>
                <w:sz w:val="20"/>
                <w:u w:val="single"/>
              </w:rPr>
              <w:t>$</w:t>
            </w:r>
            <w:r>
              <w:rPr>
                <w:sz w:val="20"/>
                <w:u w:val="single"/>
              </w:rPr>
              <w:tab/>
              <w:t>21</w:t>
            </w:r>
            <w:r>
              <w:rPr>
                <w:sz w:val="20"/>
              </w:rPr>
              <w:tab/>
            </w:r>
            <w:r>
              <w:rPr>
                <w:sz w:val="20"/>
                <w:u w:val="single"/>
              </w:rPr>
              <w:t>$</w:t>
            </w:r>
            <w:r>
              <w:rPr>
                <w:sz w:val="20"/>
                <w:u w:val="single"/>
              </w:rPr>
              <w:tab/>
              <w:t>27</w:t>
            </w:r>
            <w:r>
              <w:rPr>
                <w:sz w:val="20"/>
              </w:rPr>
              <w:tab/>
            </w:r>
            <w:r>
              <w:rPr>
                <w:sz w:val="20"/>
                <w:u w:val="single"/>
              </w:rPr>
              <w:t>$</w:t>
            </w:r>
            <w:r>
              <w:rPr>
                <w:sz w:val="20"/>
                <w:u w:val="single"/>
              </w:rPr>
              <w:tab/>
              <w:t>87</w:t>
            </w:r>
          </w:p>
        </w:tc>
      </w:tr>
    </w:tbl>
    <w:p w14:paraId="7326C596" w14:textId="77777777" w:rsidR="00EF3DFB" w:rsidRDefault="00EF3DFB">
      <w:pPr>
        <w:pStyle w:val="BodyText"/>
        <w:spacing w:before="10"/>
        <w:rPr>
          <w:sz w:val="21"/>
        </w:rPr>
      </w:pPr>
    </w:p>
    <w:p w14:paraId="7326C597" w14:textId="07112259" w:rsidR="00EF3DFB" w:rsidRDefault="00D27C17">
      <w:pPr>
        <w:pStyle w:val="BodyText"/>
        <w:ind w:left="190"/>
        <w:jc w:val="both"/>
      </w:pPr>
      <w:r>
        <w:rPr>
          <w:noProof/>
        </w:rPr>
        <mc:AlternateContent>
          <mc:Choice Requires="wpg">
            <w:drawing>
              <wp:anchor distT="0" distB="0" distL="114300" distR="114300" simplePos="0" relativeHeight="502906328" behindDoc="1" locked="0" layoutInCell="1" allowOverlap="1" wp14:anchorId="7326D71C" wp14:editId="3438EE0C">
                <wp:simplePos x="0" y="0"/>
                <wp:positionH relativeFrom="page">
                  <wp:posOffset>6496050</wp:posOffset>
                </wp:positionH>
                <wp:positionV relativeFrom="paragraph">
                  <wp:posOffset>-372745</wp:posOffset>
                </wp:positionV>
                <wp:extent cx="762000" cy="12700"/>
                <wp:effectExtent l="9525" t="8255" r="9525" b="7620"/>
                <wp:wrapNone/>
                <wp:docPr id="410"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10230" y="-587"/>
                          <a:chExt cx="1200" cy="20"/>
                        </a:xfrm>
                      </wpg:grpSpPr>
                      <wps:wsp>
                        <wps:cNvPr id="411" name="Line 395"/>
                        <wps:cNvCnPr>
                          <a:cxnSpLocks noChangeShapeType="1"/>
                        </wps:cNvCnPr>
                        <wps:spPr bwMode="auto">
                          <a:xfrm>
                            <a:off x="10230" y="-577"/>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394"/>
                        <wps:cNvCnPr>
                          <a:cxnSpLocks noChangeShapeType="1"/>
                        </wps:cNvCnPr>
                        <wps:spPr bwMode="auto">
                          <a:xfrm>
                            <a:off x="10230" y="-577"/>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69FFF" id="Group 393" o:spid="_x0000_s1026" style="position:absolute;margin-left:511.5pt;margin-top:-29.35pt;width:60pt;height:1pt;z-index:-410152;mso-position-horizontal-relative:page" coordorigin="10230,-587"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">
                <v:line id="Line 395" o:spid="_x0000_s1027" style="position:absolute;visibility:visible;mso-wrap-style:square" from="10230,-577" to="1143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line id="Line 394" o:spid="_x0000_s1028" style="position:absolute;visibility:visible;mso-wrap-style:square" from="10230,-577" to="1143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" strokeweight="1pt"/>
                <w10:wrap anchorx="page"/>
              </v:group>
            </w:pict>
          </mc:Fallback>
        </mc:AlternateContent>
      </w:r>
      <w:r>
        <w:t>Accrued restructuring costs activity for the year ended December 31, 2020 are as follows (in millions):</w:t>
      </w:r>
    </w:p>
    <w:p w14:paraId="7326C598" w14:textId="77777777" w:rsidR="00EF3DFB" w:rsidRDefault="00EF3DFB">
      <w:pPr>
        <w:jc w:val="both"/>
        <w:sectPr w:rsidR="00EF3DFB">
          <w:pgSz w:w="12240" w:h="15840"/>
          <w:pgMar w:top="600" w:right="640" w:bottom="480" w:left="620" w:header="0" w:footer="291" w:gutter="0"/>
          <w:cols w:space="720"/>
        </w:sectPr>
      </w:pPr>
    </w:p>
    <w:p w14:paraId="7326C599" w14:textId="77777777" w:rsidR="00EF3DFB" w:rsidRDefault="00EF3DFB">
      <w:pPr>
        <w:pStyle w:val="BodyText"/>
        <w:rPr>
          <w:sz w:val="15"/>
        </w:rPr>
      </w:pPr>
    </w:p>
    <w:p w14:paraId="7326C59A" w14:textId="77777777" w:rsidR="00EF3DFB" w:rsidRDefault="00D27C17">
      <w:pPr>
        <w:spacing w:line="249" w:lineRule="auto"/>
        <w:ind w:left="3316" w:right="-19" w:firstLine="288"/>
        <w:rPr>
          <w:b/>
          <w:sz w:val="16"/>
        </w:rPr>
      </w:pPr>
      <w:r>
        <w:rPr>
          <w:b/>
          <w:sz w:val="16"/>
        </w:rPr>
        <w:t>Balance at December 31, 2019</w:t>
      </w:r>
    </w:p>
    <w:p w14:paraId="7326C59B" w14:textId="77777777" w:rsidR="00EF3DFB" w:rsidRDefault="00D27C17">
      <w:pPr>
        <w:pStyle w:val="BodyText"/>
        <w:rPr>
          <w:b/>
          <w:sz w:val="15"/>
        </w:rPr>
      </w:pPr>
      <w:r>
        <w:br w:type="column"/>
      </w:r>
    </w:p>
    <w:p w14:paraId="7326C59C" w14:textId="77777777" w:rsidR="00EF3DFB" w:rsidRDefault="00D27C17">
      <w:pPr>
        <w:ind w:left="363"/>
        <w:rPr>
          <w:b/>
          <w:sz w:val="16"/>
        </w:rPr>
      </w:pPr>
      <w:r>
        <w:rPr>
          <w:b/>
          <w:sz w:val="16"/>
        </w:rPr>
        <w:t>Restructuring</w:t>
      </w:r>
    </w:p>
    <w:p w14:paraId="7326C59D" w14:textId="77777777" w:rsidR="00EF3DFB" w:rsidRDefault="00D27C17">
      <w:pPr>
        <w:tabs>
          <w:tab w:val="left" w:pos="2040"/>
        </w:tabs>
        <w:spacing w:before="8"/>
        <w:ind w:left="497"/>
        <w:rPr>
          <w:b/>
          <w:sz w:val="16"/>
        </w:rPr>
      </w:pPr>
      <w:r>
        <w:rPr>
          <w:b/>
          <w:sz w:val="16"/>
        </w:rPr>
        <w:t>Costs,</w:t>
      </w:r>
      <w:r>
        <w:rPr>
          <w:b/>
          <w:spacing w:val="-2"/>
          <w:sz w:val="16"/>
        </w:rPr>
        <w:t xml:space="preserve"> </w:t>
      </w:r>
      <w:r>
        <w:rPr>
          <w:b/>
          <w:sz w:val="16"/>
        </w:rPr>
        <w:t>Net</w:t>
      </w:r>
      <w:r>
        <w:rPr>
          <w:b/>
          <w:sz w:val="16"/>
        </w:rPr>
        <w:tab/>
      </w:r>
      <w:r>
        <w:rPr>
          <w:b/>
          <w:spacing w:val="-1"/>
          <w:sz w:val="16"/>
        </w:rPr>
        <w:t>Payments</w:t>
      </w:r>
    </w:p>
    <w:p w14:paraId="7326C59E" w14:textId="77777777" w:rsidR="00EF3DFB" w:rsidRDefault="00D27C17">
      <w:pPr>
        <w:pStyle w:val="BodyText"/>
        <w:rPr>
          <w:b/>
          <w:sz w:val="15"/>
        </w:rPr>
      </w:pPr>
      <w:r>
        <w:br w:type="column"/>
      </w:r>
    </w:p>
    <w:p w14:paraId="7326C59F" w14:textId="77777777" w:rsidR="00EF3DFB" w:rsidRDefault="00D27C17">
      <w:pPr>
        <w:spacing w:line="249" w:lineRule="auto"/>
        <w:ind w:left="803" w:right="-19" w:hanging="262"/>
        <w:rPr>
          <w:b/>
          <w:sz w:val="16"/>
        </w:rPr>
      </w:pPr>
      <w:r>
        <w:rPr>
          <w:b/>
          <w:sz w:val="16"/>
        </w:rPr>
        <w:t>Foreign Currency and Other</w:t>
      </w:r>
    </w:p>
    <w:p w14:paraId="7326C5A0" w14:textId="77777777" w:rsidR="00EF3DFB" w:rsidRDefault="00D27C17">
      <w:pPr>
        <w:pStyle w:val="BodyText"/>
        <w:rPr>
          <w:b/>
          <w:sz w:val="15"/>
        </w:rPr>
      </w:pPr>
      <w:r>
        <w:br w:type="column"/>
      </w:r>
    </w:p>
    <w:p w14:paraId="7326C5A1" w14:textId="77777777" w:rsidR="00EF3DFB" w:rsidRDefault="00D27C17">
      <w:pPr>
        <w:spacing w:line="249" w:lineRule="auto"/>
        <w:ind w:left="228" w:right="231" w:firstLine="288"/>
        <w:rPr>
          <w:b/>
          <w:sz w:val="16"/>
        </w:rPr>
      </w:pPr>
      <w:r>
        <w:rPr>
          <w:b/>
          <w:sz w:val="16"/>
        </w:rPr>
        <w:t>Balance at December 31, 2020</w:t>
      </w:r>
    </w:p>
    <w:p w14:paraId="7326C5A2" w14:textId="77777777" w:rsidR="00EF3DFB" w:rsidRDefault="00EF3DFB">
      <w:pPr>
        <w:spacing w:line="249" w:lineRule="auto"/>
        <w:rPr>
          <w:sz w:val="16"/>
        </w:rPr>
        <w:sectPr w:rsidR="00EF3DFB">
          <w:type w:val="continuous"/>
          <w:pgSz w:w="12240" w:h="15840"/>
          <w:pgMar w:top="760" w:right="640" w:bottom="280" w:left="620" w:header="720" w:footer="720" w:gutter="0"/>
          <w:cols w:num="4" w:space="720" w:equalWidth="0">
            <w:col w:w="4610" w:space="40"/>
            <w:col w:w="2707" w:space="39"/>
            <w:col w:w="1773" w:space="39"/>
            <w:col w:w="1772"/>
          </w:cols>
        </w:sectPr>
      </w:pPr>
    </w:p>
    <w:p w14:paraId="7326C5A3" w14:textId="063FE3E1" w:rsidR="00EF3DFB" w:rsidRDefault="00D27C17">
      <w:pPr>
        <w:pStyle w:val="BodyText"/>
        <w:tabs>
          <w:tab w:val="left" w:pos="3287"/>
          <w:tab w:val="left" w:pos="4408"/>
          <w:tab w:val="left" w:pos="4817"/>
          <w:tab w:val="left" w:pos="5938"/>
          <w:tab w:val="left" w:pos="6347"/>
          <w:tab w:val="left" w:pos="7401"/>
          <w:tab w:val="left" w:pos="8998"/>
          <w:tab w:val="left" w:pos="9407"/>
          <w:tab w:val="right" w:pos="10728"/>
        </w:tabs>
        <w:spacing w:before="28"/>
        <w:ind w:left="242"/>
      </w:pPr>
      <w:r>
        <w:rPr>
          <w:noProof/>
        </w:rPr>
        <mc:AlternateContent>
          <mc:Choice Requires="wpg">
            <w:drawing>
              <wp:anchor distT="0" distB="0" distL="114300" distR="114300" simplePos="0" relativeHeight="502906352" behindDoc="1" locked="0" layoutInCell="1" allowOverlap="1" wp14:anchorId="7326D71D" wp14:editId="76ADD7E2">
                <wp:simplePos x="0" y="0"/>
                <wp:positionH relativeFrom="page">
                  <wp:posOffset>514350</wp:posOffset>
                </wp:positionH>
                <wp:positionV relativeFrom="paragraph">
                  <wp:posOffset>8890</wp:posOffset>
                </wp:positionV>
                <wp:extent cx="6743700" cy="187325"/>
                <wp:effectExtent l="0" t="21590" r="9525" b="29210"/>
                <wp:wrapNone/>
                <wp:docPr id="393"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14"/>
                          <a:chExt cx="10620" cy="295"/>
                        </a:xfrm>
                      </wpg:grpSpPr>
                      <wps:wsp>
                        <wps:cNvPr id="394" name="AutoShape 392"/>
                        <wps:cNvSpPr>
                          <a:spLocks/>
                        </wps:cNvSpPr>
                        <wps:spPr bwMode="auto">
                          <a:xfrm>
                            <a:off x="810" y="23"/>
                            <a:ext cx="6030" cy="285"/>
                          </a:xfrm>
                          <a:custGeom>
                            <a:avLst/>
                            <a:gdLst>
                              <a:gd name="T0" fmla="+- 0 5310 810"/>
                              <a:gd name="T1" fmla="*/ T0 w 6030"/>
                              <a:gd name="T2" fmla="+- 0 24 24"/>
                              <a:gd name="T3" fmla="*/ 24 h 285"/>
                              <a:gd name="T4" fmla="+- 0 3855 810"/>
                              <a:gd name="T5" fmla="*/ T4 w 6030"/>
                              <a:gd name="T6" fmla="+- 0 24 24"/>
                              <a:gd name="T7" fmla="*/ 24 h 285"/>
                              <a:gd name="T8" fmla="+- 0 810 810"/>
                              <a:gd name="T9" fmla="*/ T8 w 6030"/>
                              <a:gd name="T10" fmla="+- 0 24 24"/>
                              <a:gd name="T11" fmla="*/ 24 h 285"/>
                              <a:gd name="T12" fmla="+- 0 810 810"/>
                              <a:gd name="T13" fmla="*/ T12 w 6030"/>
                              <a:gd name="T14" fmla="+- 0 309 24"/>
                              <a:gd name="T15" fmla="*/ 309 h 285"/>
                              <a:gd name="T16" fmla="+- 0 3855 810"/>
                              <a:gd name="T17" fmla="*/ T16 w 6030"/>
                              <a:gd name="T18" fmla="+- 0 309 24"/>
                              <a:gd name="T19" fmla="*/ 309 h 285"/>
                              <a:gd name="T20" fmla="+- 0 5310 810"/>
                              <a:gd name="T21" fmla="*/ T20 w 6030"/>
                              <a:gd name="T22" fmla="+- 0 309 24"/>
                              <a:gd name="T23" fmla="*/ 309 h 285"/>
                              <a:gd name="T24" fmla="+- 0 5310 810"/>
                              <a:gd name="T25" fmla="*/ T24 w 6030"/>
                              <a:gd name="T26" fmla="+- 0 24 24"/>
                              <a:gd name="T27" fmla="*/ 24 h 285"/>
                              <a:gd name="T28" fmla="+- 0 6840 810"/>
                              <a:gd name="T29" fmla="*/ T28 w 6030"/>
                              <a:gd name="T30" fmla="+- 0 24 24"/>
                              <a:gd name="T31" fmla="*/ 24 h 285"/>
                              <a:gd name="T32" fmla="+- 0 5385 810"/>
                              <a:gd name="T33" fmla="*/ T32 w 6030"/>
                              <a:gd name="T34" fmla="+- 0 24 24"/>
                              <a:gd name="T35" fmla="*/ 24 h 285"/>
                              <a:gd name="T36" fmla="+- 0 5385 810"/>
                              <a:gd name="T37" fmla="*/ T36 w 6030"/>
                              <a:gd name="T38" fmla="+- 0 309 24"/>
                              <a:gd name="T39" fmla="*/ 309 h 285"/>
                              <a:gd name="T40" fmla="+- 0 6840 810"/>
                              <a:gd name="T41" fmla="*/ T40 w 6030"/>
                              <a:gd name="T42" fmla="+- 0 309 24"/>
                              <a:gd name="T43" fmla="*/ 309 h 285"/>
                              <a:gd name="T44" fmla="+- 0 6840 810"/>
                              <a:gd name="T45" fmla="*/ T44 w 6030"/>
                              <a:gd name="T46" fmla="+- 0 24 24"/>
                              <a:gd name="T47" fmla="*/ 24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30" h="285">
                                <a:moveTo>
                                  <a:pt x="4500" y="0"/>
                                </a:moveTo>
                                <a:lnTo>
                                  <a:pt x="3045" y="0"/>
                                </a:lnTo>
                                <a:lnTo>
                                  <a:pt x="0" y="0"/>
                                </a:lnTo>
                                <a:lnTo>
                                  <a:pt x="0" y="285"/>
                                </a:lnTo>
                                <a:lnTo>
                                  <a:pt x="3045" y="285"/>
                                </a:lnTo>
                                <a:lnTo>
                                  <a:pt x="4500" y="285"/>
                                </a:lnTo>
                                <a:lnTo>
                                  <a:pt x="4500" y="0"/>
                                </a:lnTo>
                                <a:moveTo>
                                  <a:pt x="6030" y="0"/>
                                </a:moveTo>
                                <a:lnTo>
                                  <a:pt x="4575" y="0"/>
                                </a:lnTo>
                                <a:lnTo>
                                  <a:pt x="4575" y="285"/>
                                </a:lnTo>
                                <a:lnTo>
                                  <a:pt x="6030" y="285"/>
                                </a:lnTo>
                                <a:lnTo>
                                  <a:pt x="6030"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391"/>
                        <wps:cNvCnPr>
                          <a:cxnSpLocks noChangeShapeType="1"/>
                        </wps:cNvCnPr>
                        <wps:spPr bwMode="auto">
                          <a:xfrm>
                            <a:off x="5348" y="24"/>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396" name="Rectangle 390"/>
                        <wps:cNvSpPr>
                          <a:spLocks noChangeArrowheads="1"/>
                        </wps:cNvSpPr>
                        <wps:spPr bwMode="auto">
                          <a:xfrm>
                            <a:off x="6915" y="23"/>
                            <a:ext cx="1455"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AutoShape 389"/>
                        <wps:cNvSpPr>
                          <a:spLocks/>
                        </wps:cNvSpPr>
                        <wps:spPr bwMode="auto">
                          <a:xfrm>
                            <a:off x="6877" y="23"/>
                            <a:ext cx="1530" cy="285"/>
                          </a:xfrm>
                          <a:custGeom>
                            <a:avLst/>
                            <a:gdLst>
                              <a:gd name="T0" fmla="+- 0 6878 6878"/>
                              <a:gd name="T1" fmla="*/ T0 w 1530"/>
                              <a:gd name="T2" fmla="+- 0 24 24"/>
                              <a:gd name="T3" fmla="*/ 24 h 285"/>
                              <a:gd name="T4" fmla="+- 0 6878 6878"/>
                              <a:gd name="T5" fmla="*/ T4 w 1530"/>
                              <a:gd name="T6" fmla="+- 0 309 24"/>
                              <a:gd name="T7" fmla="*/ 309 h 285"/>
                              <a:gd name="T8" fmla="+- 0 8408 6878"/>
                              <a:gd name="T9" fmla="*/ T8 w 1530"/>
                              <a:gd name="T10" fmla="+- 0 24 24"/>
                              <a:gd name="T11" fmla="*/ 24 h 285"/>
                              <a:gd name="T12" fmla="+- 0 8408 6878"/>
                              <a:gd name="T13" fmla="*/ T12 w 1530"/>
                              <a:gd name="T14" fmla="+- 0 309 24"/>
                              <a:gd name="T15" fmla="*/ 309 h 285"/>
                            </a:gdLst>
                            <a:ahLst/>
                            <a:cxnLst>
                              <a:cxn ang="0">
                                <a:pos x="T1" y="T3"/>
                              </a:cxn>
                              <a:cxn ang="0">
                                <a:pos x="T5" y="T7"/>
                              </a:cxn>
                              <a:cxn ang="0">
                                <a:pos x="T9" y="T11"/>
                              </a:cxn>
                              <a:cxn ang="0">
                                <a:pos x="T13" y="T15"/>
                              </a:cxn>
                            </a:cxnLst>
                            <a:rect l="0" t="0" r="r" b="b"/>
                            <a:pathLst>
                              <a:path w="1530" h="285">
                                <a:moveTo>
                                  <a:pt x="0" y="0"/>
                                </a:moveTo>
                                <a:lnTo>
                                  <a:pt x="0" y="285"/>
                                </a:lnTo>
                                <a:moveTo>
                                  <a:pt x="1530" y="0"/>
                                </a:moveTo>
                                <a:lnTo>
                                  <a:pt x="1530" y="285"/>
                                </a:lnTo>
                              </a:path>
                            </a:pathLst>
                          </a:custGeom>
                          <a:noFill/>
                          <a:ln w="47625">
                            <a:solidFill>
                              <a:srgbClr val="CCED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AutoShape 388"/>
                        <wps:cNvSpPr>
                          <a:spLocks/>
                        </wps:cNvSpPr>
                        <wps:spPr bwMode="auto">
                          <a:xfrm>
                            <a:off x="8445" y="23"/>
                            <a:ext cx="2985" cy="285"/>
                          </a:xfrm>
                          <a:custGeom>
                            <a:avLst/>
                            <a:gdLst>
                              <a:gd name="T0" fmla="+- 0 9900 8445"/>
                              <a:gd name="T1" fmla="*/ T0 w 2985"/>
                              <a:gd name="T2" fmla="+- 0 24 24"/>
                              <a:gd name="T3" fmla="*/ 24 h 285"/>
                              <a:gd name="T4" fmla="+- 0 8445 8445"/>
                              <a:gd name="T5" fmla="*/ T4 w 2985"/>
                              <a:gd name="T6" fmla="+- 0 24 24"/>
                              <a:gd name="T7" fmla="*/ 24 h 285"/>
                              <a:gd name="T8" fmla="+- 0 8445 8445"/>
                              <a:gd name="T9" fmla="*/ T8 w 2985"/>
                              <a:gd name="T10" fmla="+- 0 309 24"/>
                              <a:gd name="T11" fmla="*/ 309 h 285"/>
                              <a:gd name="T12" fmla="+- 0 9900 8445"/>
                              <a:gd name="T13" fmla="*/ T12 w 2985"/>
                              <a:gd name="T14" fmla="+- 0 309 24"/>
                              <a:gd name="T15" fmla="*/ 309 h 285"/>
                              <a:gd name="T16" fmla="+- 0 9900 8445"/>
                              <a:gd name="T17" fmla="*/ T16 w 2985"/>
                              <a:gd name="T18" fmla="+- 0 24 24"/>
                              <a:gd name="T19" fmla="*/ 24 h 285"/>
                              <a:gd name="T20" fmla="+- 0 11430 8445"/>
                              <a:gd name="T21" fmla="*/ T20 w 2985"/>
                              <a:gd name="T22" fmla="+- 0 24 24"/>
                              <a:gd name="T23" fmla="*/ 24 h 285"/>
                              <a:gd name="T24" fmla="+- 0 9975 8445"/>
                              <a:gd name="T25" fmla="*/ T24 w 2985"/>
                              <a:gd name="T26" fmla="+- 0 24 24"/>
                              <a:gd name="T27" fmla="*/ 24 h 285"/>
                              <a:gd name="T28" fmla="+- 0 9975 8445"/>
                              <a:gd name="T29" fmla="*/ T28 w 2985"/>
                              <a:gd name="T30" fmla="+- 0 309 24"/>
                              <a:gd name="T31" fmla="*/ 309 h 285"/>
                              <a:gd name="T32" fmla="+- 0 11430 8445"/>
                              <a:gd name="T33" fmla="*/ T32 w 2985"/>
                              <a:gd name="T34" fmla="+- 0 309 24"/>
                              <a:gd name="T35" fmla="*/ 309 h 285"/>
                              <a:gd name="T36" fmla="+- 0 11430 8445"/>
                              <a:gd name="T37" fmla="*/ T36 w 2985"/>
                              <a:gd name="T38" fmla="+- 0 24 24"/>
                              <a:gd name="T39" fmla="*/ 24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85" h="285">
                                <a:moveTo>
                                  <a:pt x="1455" y="0"/>
                                </a:moveTo>
                                <a:lnTo>
                                  <a:pt x="0" y="0"/>
                                </a:lnTo>
                                <a:lnTo>
                                  <a:pt x="0" y="285"/>
                                </a:lnTo>
                                <a:lnTo>
                                  <a:pt x="1455" y="285"/>
                                </a:lnTo>
                                <a:lnTo>
                                  <a:pt x="1455" y="0"/>
                                </a:lnTo>
                                <a:moveTo>
                                  <a:pt x="2985" y="0"/>
                                </a:moveTo>
                                <a:lnTo>
                                  <a:pt x="1530" y="0"/>
                                </a:lnTo>
                                <a:lnTo>
                                  <a:pt x="1530" y="285"/>
                                </a:lnTo>
                                <a:lnTo>
                                  <a:pt x="2985" y="285"/>
                                </a:lnTo>
                                <a:lnTo>
                                  <a:pt x="2985"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Line 387"/>
                        <wps:cNvCnPr>
                          <a:cxnSpLocks noChangeShapeType="1"/>
                        </wps:cNvCnPr>
                        <wps:spPr bwMode="auto">
                          <a:xfrm>
                            <a:off x="9938" y="24"/>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400" name="Line 386"/>
                        <wps:cNvCnPr>
                          <a:cxnSpLocks noChangeShapeType="1"/>
                        </wps:cNvCnPr>
                        <wps:spPr bwMode="auto">
                          <a:xfrm>
                            <a:off x="3855" y="24"/>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Rectangle 385"/>
                        <wps:cNvSpPr>
                          <a:spLocks noChangeArrowheads="1"/>
                        </wps:cNvSpPr>
                        <wps:spPr bwMode="auto">
                          <a:xfrm>
                            <a:off x="3855" y="13"/>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84"/>
                        <wps:cNvCnPr>
                          <a:cxnSpLocks noChangeShapeType="1"/>
                        </wps:cNvCnPr>
                        <wps:spPr bwMode="auto">
                          <a:xfrm>
                            <a:off x="5385" y="24"/>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Rectangle 383"/>
                        <wps:cNvSpPr>
                          <a:spLocks noChangeArrowheads="1"/>
                        </wps:cNvSpPr>
                        <wps:spPr bwMode="auto">
                          <a:xfrm>
                            <a:off x="5385" y="13"/>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82"/>
                        <wps:cNvCnPr>
                          <a:cxnSpLocks noChangeShapeType="1"/>
                        </wps:cNvCnPr>
                        <wps:spPr bwMode="auto">
                          <a:xfrm>
                            <a:off x="6915" y="24"/>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Rectangle 381"/>
                        <wps:cNvSpPr>
                          <a:spLocks noChangeArrowheads="1"/>
                        </wps:cNvSpPr>
                        <wps:spPr bwMode="auto">
                          <a:xfrm>
                            <a:off x="6915" y="13"/>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80"/>
                        <wps:cNvCnPr>
                          <a:cxnSpLocks noChangeShapeType="1"/>
                        </wps:cNvCnPr>
                        <wps:spPr bwMode="auto">
                          <a:xfrm>
                            <a:off x="8445" y="24"/>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Rectangle 379"/>
                        <wps:cNvSpPr>
                          <a:spLocks noChangeArrowheads="1"/>
                        </wps:cNvSpPr>
                        <wps:spPr bwMode="auto">
                          <a:xfrm>
                            <a:off x="8445" y="13"/>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8"/>
                        <wps:cNvCnPr>
                          <a:cxnSpLocks noChangeShapeType="1"/>
                        </wps:cNvCnPr>
                        <wps:spPr bwMode="auto">
                          <a:xfrm>
                            <a:off x="9975" y="24"/>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Rectangle 377"/>
                        <wps:cNvSpPr>
                          <a:spLocks noChangeArrowheads="1"/>
                        </wps:cNvSpPr>
                        <wps:spPr bwMode="auto">
                          <a:xfrm>
                            <a:off x="9975" y="13"/>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08349" id="Group 376" o:spid="_x0000_s1026" style="position:absolute;margin-left:40.5pt;margin-top:.7pt;width:531pt;height:14.75pt;z-index:-410128;mso-position-horizontal-relative:page" coordorigin="810,14"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">
                <v:shape id="AutoShape 392" o:spid="_x0000_s1027" style="position:absolute;left:810;top:23;width:6030;height:285;visibility:visible;mso-wrap-style:square;v-text-anchor:top" coordsize="60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" path="m4500,l3045,,,,,285r3045,l4500,285,4500,m6030,l4575,r,285l6030,285,6030,e" fillcolor="#ccedff" stroked="f">
                  <v:path arrowok="t" o:connecttype="custom" o:connectlocs="4500,24;3045,24;0,24;0,309;3045,309;4500,309;4500,24;6030,24;4575,24;4575,309;6030,309;6030,24" o:connectangles="0,0,0,0,0,0,0,0,0,0,0,0"/>
                </v:shape>
                <v:line id="Line 391" o:spid="_x0000_s1028" style="position:absolute;visibility:visible;mso-wrap-style:square" from="5348,24" to="534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" strokecolor="#ccedff" strokeweight="3.75pt"/>
                <v:rect id="Rectangle 390" o:spid="_x0000_s1029" style="position:absolute;left:6915;top:23;width:14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" fillcolor="#ccedff" stroked="f"/>
                <v:shape id="AutoShape 389" o:spid="_x0000_s1030" style="position:absolute;left:6877;top:23;width:1530;height:285;visibility:visible;mso-wrap-style:square;v-text-anchor:top" coordsize="15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" path="m,l,285m1530,r,285e" filled="f" strokecolor="#ccedff" strokeweight="3.75pt">
                  <v:path arrowok="t" o:connecttype="custom" o:connectlocs="0,24;0,309;1530,24;1530,309" o:connectangles="0,0,0,0"/>
                </v:shape>
                <v:shape id="AutoShape 388" o:spid="_x0000_s1031" style="position:absolute;left:8445;top:23;width:2985;height:285;visibility:visible;mso-wrap-style:square;v-text-anchor:top" coordsize="29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" path="m1455,l,,,285r1455,l1455,m2985,l1530,r,285l2985,285,2985,e" fillcolor="#ccedff" stroked="f">
                  <v:path arrowok="t" o:connecttype="custom" o:connectlocs="1455,24;0,24;0,309;1455,309;1455,24;2985,24;1530,24;1530,309;2985,309;2985,24" o:connectangles="0,0,0,0,0,0,0,0,0,0"/>
                </v:shape>
                <v:line id="Line 387" o:spid="_x0000_s1032" style="position:absolute;visibility:visible;mso-wrap-style:square" from="9938,24" to="99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" strokecolor="#ccedff" strokeweight="3.75pt"/>
                <v:line id="Line 386" o:spid="_x0000_s1033" style="position:absolute;visibility:visible;mso-wrap-style:square" from="3855,24" to="53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" strokeweight="0"/>
                <v:rect id="Rectangle 385" o:spid="_x0000_s1034" style="position:absolute;left:3855;top:13;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" fillcolor="black" stroked="f">
                  <v:fill opacity="0"/>
                </v:rect>
                <v:line id="Line 384" o:spid="_x0000_s1035" style="position:absolute;visibility:visible;mso-wrap-style:square" from="5385,24" to="68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oxQAAANwAAAAPAAAAZHJzL2Rvd25yZXYueG1sRI9Ba8JA&#10;FITvhf6H5Qm91Y1S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DMduboxQAAANwAAAAP&#10;AAAAAAAAAAAAAAAAAAcCAABkcnMvZG93bnJldi54bWxQSwUGAAAAAAMAAwC3AAAA+QIAAAAA&#10;" strokeweight="0"/>
                <v:rect id="Rectangle 383" o:spid="_x0000_s1036" style="position:absolute;left:5385;top:13;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" fillcolor="black" stroked="f">
                  <v:fill opacity="0"/>
                </v:rect>
                <v:line id="Line 382" o:spid="_x0000_s1037" style="position:absolute;visibility:visible;mso-wrap-style:square" from="6915,24" to="83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sHxAAAANwAAAAPAAAAZHJzL2Rvd25yZXYueG1sRI9Pi8Iw&#10;FMTvgt8hvAVvmrq4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CzT2wfEAAAA3AAAAA8A&#10;AAAAAAAAAAAAAAAABwIAAGRycy9kb3ducmV2LnhtbFBLBQYAAAAAAwADALcAAAD4AgAAAAA=&#10;" strokeweight="0"/>
                <v:rect id="Rectangle 381" o:spid="_x0000_s1038" style="position:absolute;left:6915;top:13;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" fillcolor="black" stroked="f">
                  <v:fill opacity="0"/>
                </v:rect>
                <v:line id="Line 380" o:spid="_x0000_s1039" style="position:absolute;visibility:visible;mso-wrap-style:square" from="8445,24" to="99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rect id="Rectangle 379" o:spid="_x0000_s1040" style="position:absolute;left:8445;top:13;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" fillcolor="black" stroked="f">
                  <v:fill opacity="0"/>
                </v:rect>
                <v:line id="Line 378" o:spid="_x0000_s1041" style="position:absolute;visibility:visible;mso-wrap-style:square" from="9975,24" to="11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rect id="Rectangle 377" o:spid="_x0000_s1042" style="position:absolute;left:9975;top:13;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" fillcolor="black" stroked="f">
                  <v:fill opacity="0"/>
                </v:rect>
                <w10:wrap anchorx="page"/>
              </v:group>
            </w:pict>
          </mc:Fallback>
        </mc:AlternateContent>
      </w:r>
      <w:r>
        <w:t>Severance and</w:t>
      </w:r>
      <w:r>
        <w:rPr>
          <w:spacing w:val="-7"/>
        </w:rPr>
        <w:t xml:space="preserve"> </w:t>
      </w:r>
      <w:r>
        <w:t>termination</w:t>
      </w:r>
      <w:r>
        <w:rPr>
          <w:spacing w:val="-3"/>
        </w:rPr>
        <w:t xml:space="preserve"> </w:t>
      </w:r>
      <w:r>
        <w:t>costs</w:t>
      </w:r>
      <w:r>
        <w:tab/>
      </w:r>
      <w:r>
        <w:rPr>
          <w:position w:val="-1"/>
        </w:rPr>
        <w:t>$</w:t>
      </w:r>
      <w:r>
        <w:rPr>
          <w:position w:val="-1"/>
        </w:rPr>
        <w:tab/>
        <w:t>10</w:t>
      </w:r>
      <w:r>
        <w:rPr>
          <w:position w:val="-1"/>
        </w:rPr>
        <w:tab/>
        <w:t>$</w:t>
      </w:r>
      <w:r>
        <w:rPr>
          <w:position w:val="-1"/>
        </w:rPr>
        <w:tab/>
        <w:t>15</w:t>
      </w:r>
      <w:r>
        <w:rPr>
          <w:position w:val="-1"/>
        </w:rPr>
        <w:tab/>
        <w:t>$</w:t>
      </w:r>
      <w:r>
        <w:rPr>
          <w:position w:val="-1"/>
        </w:rPr>
        <w:tab/>
        <w:t xml:space="preserve">(18) </w:t>
      </w:r>
      <w:r>
        <w:rPr>
          <w:spacing w:val="41"/>
          <w:position w:val="-1"/>
        </w:rPr>
        <w:t xml:space="preserve"> </w:t>
      </w:r>
      <w:r>
        <w:rPr>
          <w:position w:val="-1"/>
        </w:rPr>
        <w:t>$</w:t>
      </w:r>
      <w:r>
        <w:rPr>
          <w:position w:val="-1"/>
        </w:rPr>
        <w:tab/>
        <w:t>—</w:t>
      </w:r>
      <w:r>
        <w:rPr>
          <w:position w:val="-1"/>
        </w:rPr>
        <w:tab/>
        <w:t>$</w:t>
      </w:r>
      <w:r>
        <w:rPr>
          <w:position w:val="-1"/>
        </w:rPr>
        <w:tab/>
        <w:t>7</w:t>
      </w:r>
    </w:p>
    <w:p w14:paraId="7326C5A4" w14:textId="27A12FC0" w:rsidR="00EF3DFB" w:rsidRDefault="00D27C17">
      <w:pPr>
        <w:pStyle w:val="BodyText"/>
        <w:tabs>
          <w:tab w:val="left" w:pos="4408"/>
          <w:tab w:val="left" w:pos="6038"/>
          <w:tab w:val="left" w:pos="7501"/>
          <w:tab w:val="left" w:pos="9031"/>
          <w:tab w:val="right" w:pos="10728"/>
        </w:tabs>
        <w:spacing w:before="35"/>
        <w:ind w:left="242"/>
      </w:pPr>
      <w:r>
        <w:rPr>
          <w:noProof/>
        </w:rPr>
        <mc:AlternateContent>
          <mc:Choice Requires="wpg">
            <w:drawing>
              <wp:anchor distT="0" distB="0" distL="114300" distR="114300" simplePos="0" relativeHeight="502906376" behindDoc="1" locked="0" layoutInCell="1" allowOverlap="1" wp14:anchorId="7326D71E" wp14:editId="7402B9DC">
                <wp:simplePos x="0" y="0"/>
                <wp:positionH relativeFrom="page">
                  <wp:posOffset>514350</wp:posOffset>
                </wp:positionH>
                <wp:positionV relativeFrom="paragraph">
                  <wp:posOffset>194310</wp:posOffset>
                </wp:positionV>
                <wp:extent cx="6743700" cy="206375"/>
                <wp:effectExtent l="0" t="24765" r="9525" b="6985"/>
                <wp:wrapNone/>
                <wp:docPr id="37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06375"/>
                          <a:chOff x="810" y="306"/>
                          <a:chExt cx="10620" cy="325"/>
                        </a:xfrm>
                      </wpg:grpSpPr>
                      <wps:wsp>
                        <wps:cNvPr id="373" name="Rectangle 375"/>
                        <wps:cNvSpPr>
                          <a:spLocks noChangeArrowheads="1"/>
                        </wps:cNvSpPr>
                        <wps:spPr bwMode="auto">
                          <a:xfrm>
                            <a:off x="5385" y="315"/>
                            <a:ext cx="1455"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4"/>
                        <wps:cNvCnPr>
                          <a:cxnSpLocks noChangeShapeType="1"/>
                        </wps:cNvCnPr>
                        <wps:spPr bwMode="auto">
                          <a:xfrm>
                            <a:off x="5348" y="316"/>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375" name="Freeform 373"/>
                        <wps:cNvSpPr>
                          <a:spLocks/>
                        </wps:cNvSpPr>
                        <wps:spPr bwMode="auto">
                          <a:xfrm>
                            <a:off x="810" y="315"/>
                            <a:ext cx="4500" cy="285"/>
                          </a:xfrm>
                          <a:custGeom>
                            <a:avLst/>
                            <a:gdLst>
                              <a:gd name="T0" fmla="+- 0 5310 810"/>
                              <a:gd name="T1" fmla="*/ T0 w 4500"/>
                              <a:gd name="T2" fmla="+- 0 316 316"/>
                              <a:gd name="T3" fmla="*/ 316 h 285"/>
                              <a:gd name="T4" fmla="+- 0 3855 810"/>
                              <a:gd name="T5" fmla="*/ T4 w 4500"/>
                              <a:gd name="T6" fmla="+- 0 316 316"/>
                              <a:gd name="T7" fmla="*/ 316 h 285"/>
                              <a:gd name="T8" fmla="+- 0 810 810"/>
                              <a:gd name="T9" fmla="*/ T8 w 4500"/>
                              <a:gd name="T10" fmla="+- 0 316 316"/>
                              <a:gd name="T11" fmla="*/ 316 h 285"/>
                              <a:gd name="T12" fmla="+- 0 810 810"/>
                              <a:gd name="T13" fmla="*/ T12 w 4500"/>
                              <a:gd name="T14" fmla="+- 0 601 316"/>
                              <a:gd name="T15" fmla="*/ 601 h 285"/>
                              <a:gd name="T16" fmla="+- 0 3855 810"/>
                              <a:gd name="T17" fmla="*/ T16 w 4500"/>
                              <a:gd name="T18" fmla="+- 0 601 316"/>
                              <a:gd name="T19" fmla="*/ 601 h 285"/>
                              <a:gd name="T20" fmla="+- 0 5310 810"/>
                              <a:gd name="T21" fmla="*/ T20 w 4500"/>
                              <a:gd name="T22" fmla="+- 0 601 316"/>
                              <a:gd name="T23" fmla="*/ 601 h 285"/>
                              <a:gd name="T24" fmla="+- 0 5310 810"/>
                              <a:gd name="T25" fmla="*/ T24 w 4500"/>
                              <a:gd name="T26" fmla="+- 0 316 316"/>
                              <a:gd name="T27" fmla="*/ 316 h 285"/>
                            </a:gdLst>
                            <a:ahLst/>
                            <a:cxnLst>
                              <a:cxn ang="0">
                                <a:pos x="T1" y="T3"/>
                              </a:cxn>
                              <a:cxn ang="0">
                                <a:pos x="T5" y="T7"/>
                              </a:cxn>
                              <a:cxn ang="0">
                                <a:pos x="T9" y="T11"/>
                              </a:cxn>
                              <a:cxn ang="0">
                                <a:pos x="T13" y="T15"/>
                              </a:cxn>
                              <a:cxn ang="0">
                                <a:pos x="T17" y="T19"/>
                              </a:cxn>
                              <a:cxn ang="0">
                                <a:pos x="T21" y="T23"/>
                              </a:cxn>
                              <a:cxn ang="0">
                                <a:pos x="T25" y="T27"/>
                              </a:cxn>
                            </a:cxnLst>
                            <a:rect l="0" t="0" r="r" b="b"/>
                            <a:pathLst>
                              <a:path w="4500" h="285">
                                <a:moveTo>
                                  <a:pt x="4500" y="0"/>
                                </a:moveTo>
                                <a:lnTo>
                                  <a:pt x="3045" y="0"/>
                                </a:lnTo>
                                <a:lnTo>
                                  <a:pt x="0" y="0"/>
                                </a:lnTo>
                                <a:lnTo>
                                  <a:pt x="0" y="285"/>
                                </a:lnTo>
                                <a:lnTo>
                                  <a:pt x="3045" y="285"/>
                                </a:lnTo>
                                <a:lnTo>
                                  <a:pt x="4500" y="285"/>
                                </a:lnTo>
                                <a:lnTo>
                                  <a:pt x="4500"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Line 372"/>
                        <wps:cNvCnPr>
                          <a:cxnSpLocks noChangeShapeType="1"/>
                        </wps:cNvCnPr>
                        <wps:spPr bwMode="auto">
                          <a:xfrm>
                            <a:off x="8408" y="316"/>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377" name="Rectangle 371"/>
                        <wps:cNvSpPr>
                          <a:spLocks noChangeArrowheads="1"/>
                        </wps:cNvSpPr>
                        <wps:spPr bwMode="auto">
                          <a:xfrm>
                            <a:off x="6915" y="315"/>
                            <a:ext cx="1455"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70"/>
                        <wps:cNvCnPr>
                          <a:cxnSpLocks noChangeShapeType="1"/>
                        </wps:cNvCnPr>
                        <wps:spPr bwMode="auto">
                          <a:xfrm>
                            <a:off x="6878" y="316"/>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379" name="Rectangle 369"/>
                        <wps:cNvSpPr>
                          <a:spLocks noChangeArrowheads="1"/>
                        </wps:cNvSpPr>
                        <wps:spPr bwMode="auto">
                          <a:xfrm>
                            <a:off x="8445" y="315"/>
                            <a:ext cx="1455"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68"/>
                        <wps:cNvCnPr>
                          <a:cxnSpLocks noChangeShapeType="1"/>
                        </wps:cNvCnPr>
                        <wps:spPr bwMode="auto">
                          <a:xfrm>
                            <a:off x="9938" y="316"/>
                            <a:ext cx="0" cy="285"/>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381" name="Rectangle 367"/>
                        <wps:cNvSpPr>
                          <a:spLocks noChangeArrowheads="1"/>
                        </wps:cNvSpPr>
                        <wps:spPr bwMode="auto">
                          <a:xfrm>
                            <a:off x="9975" y="315"/>
                            <a:ext cx="1455"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66"/>
                        <wps:cNvCnPr>
                          <a:cxnSpLocks noChangeShapeType="1"/>
                        </wps:cNvCnPr>
                        <wps:spPr bwMode="auto">
                          <a:xfrm>
                            <a:off x="3855" y="316"/>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Rectangle 365"/>
                        <wps:cNvSpPr>
                          <a:spLocks noChangeArrowheads="1"/>
                        </wps:cNvSpPr>
                        <wps:spPr bwMode="auto">
                          <a:xfrm>
                            <a:off x="3855" y="305"/>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64"/>
                        <wps:cNvCnPr>
                          <a:cxnSpLocks noChangeShapeType="1"/>
                        </wps:cNvCnPr>
                        <wps:spPr bwMode="auto">
                          <a:xfrm>
                            <a:off x="5385" y="316"/>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Rectangle 363"/>
                        <wps:cNvSpPr>
                          <a:spLocks noChangeArrowheads="1"/>
                        </wps:cNvSpPr>
                        <wps:spPr bwMode="auto">
                          <a:xfrm>
                            <a:off x="5385" y="305"/>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62"/>
                        <wps:cNvCnPr>
                          <a:cxnSpLocks noChangeShapeType="1"/>
                        </wps:cNvCnPr>
                        <wps:spPr bwMode="auto">
                          <a:xfrm>
                            <a:off x="6915" y="316"/>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Rectangle 361"/>
                        <wps:cNvSpPr>
                          <a:spLocks noChangeArrowheads="1"/>
                        </wps:cNvSpPr>
                        <wps:spPr bwMode="auto">
                          <a:xfrm>
                            <a:off x="6915" y="305"/>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60"/>
                        <wps:cNvCnPr>
                          <a:cxnSpLocks noChangeShapeType="1"/>
                        </wps:cNvCnPr>
                        <wps:spPr bwMode="auto">
                          <a:xfrm>
                            <a:off x="8445" y="316"/>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Rectangle 359"/>
                        <wps:cNvSpPr>
                          <a:spLocks noChangeArrowheads="1"/>
                        </wps:cNvSpPr>
                        <wps:spPr bwMode="auto">
                          <a:xfrm>
                            <a:off x="8445" y="305"/>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58"/>
                        <wps:cNvCnPr>
                          <a:cxnSpLocks noChangeShapeType="1"/>
                        </wps:cNvCnPr>
                        <wps:spPr bwMode="auto">
                          <a:xfrm>
                            <a:off x="9975" y="316"/>
                            <a:ext cx="14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Rectangle 357"/>
                        <wps:cNvSpPr>
                          <a:spLocks noChangeArrowheads="1"/>
                        </wps:cNvSpPr>
                        <wps:spPr bwMode="auto">
                          <a:xfrm>
                            <a:off x="9975" y="305"/>
                            <a:ext cx="145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AutoShape 356"/>
                        <wps:cNvSpPr>
                          <a:spLocks/>
                        </wps:cNvSpPr>
                        <wps:spPr bwMode="auto">
                          <a:xfrm>
                            <a:off x="3855" y="620"/>
                            <a:ext cx="7575" cy="2"/>
                          </a:xfrm>
                          <a:custGeom>
                            <a:avLst/>
                            <a:gdLst>
                              <a:gd name="T0" fmla="+- 0 3855 3855"/>
                              <a:gd name="T1" fmla="*/ T0 w 7575"/>
                              <a:gd name="T2" fmla="+- 0 5310 3855"/>
                              <a:gd name="T3" fmla="*/ T2 w 7575"/>
                              <a:gd name="T4" fmla="+- 0 5385 3855"/>
                              <a:gd name="T5" fmla="*/ T4 w 7575"/>
                              <a:gd name="T6" fmla="+- 0 6840 3855"/>
                              <a:gd name="T7" fmla="*/ T6 w 7575"/>
                              <a:gd name="T8" fmla="+- 0 6915 3855"/>
                              <a:gd name="T9" fmla="*/ T8 w 7575"/>
                              <a:gd name="T10" fmla="+- 0 8370 3855"/>
                              <a:gd name="T11" fmla="*/ T10 w 7575"/>
                              <a:gd name="T12" fmla="+- 0 8445 3855"/>
                              <a:gd name="T13" fmla="*/ T12 w 7575"/>
                              <a:gd name="T14" fmla="+- 0 9900 3855"/>
                              <a:gd name="T15" fmla="*/ T14 w 7575"/>
                              <a:gd name="T16" fmla="+- 0 9975 3855"/>
                              <a:gd name="T17" fmla="*/ T16 w 7575"/>
                              <a:gd name="T18" fmla="+- 0 11430 3855"/>
                              <a:gd name="T19" fmla="*/ T18 w 75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7575">
                                <a:moveTo>
                                  <a:pt x="0" y="0"/>
                                </a:moveTo>
                                <a:lnTo>
                                  <a:pt x="1455" y="0"/>
                                </a:lnTo>
                                <a:moveTo>
                                  <a:pt x="1530" y="0"/>
                                </a:moveTo>
                                <a:lnTo>
                                  <a:pt x="2985" y="0"/>
                                </a:lnTo>
                                <a:moveTo>
                                  <a:pt x="3060" y="0"/>
                                </a:moveTo>
                                <a:lnTo>
                                  <a:pt x="4515" y="0"/>
                                </a:lnTo>
                                <a:moveTo>
                                  <a:pt x="4590" y="0"/>
                                </a:moveTo>
                                <a:lnTo>
                                  <a:pt x="6045" y="0"/>
                                </a:lnTo>
                                <a:moveTo>
                                  <a:pt x="6120" y="0"/>
                                </a:moveTo>
                                <a:lnTo>
                                  <a:pt x="7575"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625B7" id="Group 355" o:spid="_x0000_s1026" style="position:absolute;margin-left:40.5pt;margin-top:15.3pt;width:531pt;height:16.25pt;z-index:-410104;mso-position-horizontal-relative:page" coordorigin="810,306" coordsize="1062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">
                <v:rect id="Rectangle 375" o:spid="_x0000_s1027" style="position:absolute;left:5385;top:315;width:14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" fillcolor="#ccedff" stroked="f"/>
                <v:line id="Line 374" o:spid="_x0000_s1028" style="position:absolute;visibility:visible;mso-wrap-style:square" from="5348,316" to="534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" strokecolor="#ccedff" strokeweight="3.75pt"/>
                <v:shape id="Freeform 373" o:spid="_x0000_s1029" style="position:absolute;left:810;top:315;width:4500;height:285;visibility:visible;mso-wrap-style:square;v-text-anchor:top" coordsize="45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" path="m4500,l3045,,,,,285r3045,l4500,285,4500,e" fillcolor="#ccedff" stroked="f">
                  <v:path arrowok="t" o:connecttype="custom" o:connectlocs="4500,316;3045,316;0,316;0,601;3045,601;4500,601;4500,316" o:connectangles="0,0,0,0,0,0,0"/>
                </v:shape>
                <v:line id="Line 372" o:spid="_x0000_s1030" style="position:absolute;visibility:visible;mso-wrap-style:square" from="8408,316" to="840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" strokecolor="#ccedff" strokeweight="3.75pt"/>
                <v:rect id="Rectangle 371" o:spid="_x0000_s1031" style="position:absolute;left:6915;top:315;width:14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" fillcolor="#ccedff" stroked="f"/>
                <v:line id="Line 370" o:spid="_x0000_s1032" style="position:absolute;visibility:visible;mso-wrap-style:square" from="6878,316" to="687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" strokecolor="#ccedff" strokeweight="3.75pt"/>
                <v:rect id="Rectangle 369" o:spid="_x0000_s1033" style="position:absolute;left:8445;top:315;width:14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" fillcolor="#ccedff" stroked="f"/>
                <v:line id="Line 368" o:spid="_x0000_s1034" style="position:absolute;visibility:visible;mso-wrap-style:square" from="9938,316" to="993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" strokecolor="#ccedff" strokeweight="3.75pt"/>
                <v:rect id="Rectangle 367" o:spid="_x0000_s1035" style="position:absolute;left:9975;top:315;width:14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" fillcolor="#ccedff" stroked="f"/>
                <v:line id="Line 366" o:spid="_x0000_s1036" style="position:absolute;visibility:visible;mso-wrap-style:square" from="3855,316" to="531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rect id="Rectangle 365" o:spid="_x0000_s1037" style="position:absolute;left:3855;top:305;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" fillcolor="black" stroked="f">
                  <v:fill opacity="0"/>
                </v:rect>
                <v:line id="Line 364" o:spid="_x0000_s1038" style="position:absolute;visibility:visible;mso-wrap-style:square" from="5385,316" to="684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" strokeweight="0"/>
                <v:rect id="Rectangle 363" o:spid="_x0000_s1039" style="position:absolute;left:5385;top:305;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" fillcolor="black" stroked="f">
                  <v:fill opacity="0"/>
                </v:rect>
                <v:line id="Line 362" o:spid="_x0000_s1040" style="position:absolute;visibility:visible;mso-wrap-style:square" from="6915,316" to="837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rect id="Rectangle 361" o:spid="_x0000_s1041" style="position:absolute;left:6915;top:305;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" fillcolor="black" stroked="f">
                  <v:fill opacity="0"/>
                </v:rect>
                <v:line id="Line 360" o:spid="_x0000_s1042" style="position:absolute;visibility:visible;mso-wrap-style:square" from="8445,316" to="990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" strokeweight="0"/>
                <v:rect id="Rectangle 359" o:spid="_x0000_s1043" style="position:absolute;left:8445;top:305;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" fillcolor="black" stroked="f">
                  <v:fill opacity="0"/>
                </v:rect>
                <v:line id="Line 358" o:spid="_x0000_s1044" style="position:absolute;visibility:visible;mso-wrap-style:square" from="9975,316" to="1143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mwgAAANwAAAAPAAAAZHJzL2Rvd25yZXYueG1sRE/Pa8Iw&#10;FL4L+x/CE3bTtA5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B7SIXmwgAAANwAAAAPAAAA&#10;AAAAAAAAAAAAAAcCAABkcnMvZG93bnJldi54bWxQSwUGAAAAAAMAAwC3AAAA9gIAAAAA&#10;" strokeweight="0"/>
                <v:rect id="Rectangle 357" o:spid="_x0000_s1045" style="position:absolute;left:9975;top:305;width:145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" fillcolor="black" stroked="f">
                  <v:fill opacity="0"/>
                </v:rect>
                <v:shape id="AutoShape 356" o:spid="_x0000_s1046" style="position:absolute;left:3855;top:620;width:7575;height:2;visibility:visible;mso-wrap-style:square;v-text-anchor:top" coordsize="7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" path="m,l1455,t75,l2985,t75,l4515,t75,l6045,t75,l7575,e" filled="f" strokeweight="1pt">
                  <v:path arrowok="t" o:connecttype="custom" o:connectlocs="0,0;1455,0;1530,0;2985,0;3060,0;4515,0;4590,0;6045,0;6120,0;7575,0" o:connectangles="0,0,0,0,0,0,0,0,0,0"/>
                </v:shape>
                <w10:wrap anchorx="page"/>
              </v:group>
            </w:pict>
          </mc:Fallback>
        </mc:AlternateContent>
      </w:r>
      <w:r>
        <w:t>Contract termination and</w:t>
      </w:r>
      <w:r>
        <w:rPr>
          <w:spacing w:val="-9"/>
        </w:rPr>
        <w:t xml:space="preserve"> </w:t>
      </w:r>
      <w:r>
        <w:t>other</w:t>
      </w:r>
      <w:r>
        <w:rPr>
          <w:spacing w:val="-3"/>
        </w:rPr>
        <w:t xml:space="preserve"> </w:t>
      </w:r>
      <w:r>
        <w:t>costs</w:t>
      </w:r>
      <w:r>
        <w:tab/>
      </w:r>
      <w:r>
        <w:rPr>
          <w:position w:val="-1"/>
        </w:rPr>
        <w:t>12</w:t>
      </w:r>
      <w:r>
        <w:rPr>
          <w:position w:val="-1"/>
        </w:rPr>
        <w:tab/>
        <w:t>6</w:t>
      </w:r>
      <w:r>
        <w:rPr>
          <w:position w:val="-1"/>
        </w:rPr>
        <w:tab/>
        <w:t>(9)</w:t>
      </w:r>
      <w:r>
        <w:rPr>
          <w:position w:val="-1"/>
        </w:rPr>
        <w:tab/>
        <w:t>(5)</w:t>
      </w:r>
      <w:r>
        <w:rPr>
          <w:position w:val="-1"/>
        </w:rPr>
        <w:tab/>
        <w:t>4</w:t>
      </w:r>
    </w:p>
    <w:p w14:paraId="7326C5A5" w14:textId="77777777" w:rsidR="00EF3DFB" w:rsidRDefault="00D27C17">
      <w:pPr>
        <w:pStyle w:val="BodyText"/>
        <w:tabs>
          <w:tab w:val="left" w:pos="4408"/>
          <w:tab w:val="left" w:pos="4817"/>
          <w:tab w:val="left" w:pos="5938"/>
          <w:tab w:val="left" w:pos="6347"/>
          <w:tab w:val="left" w:pos="7401"/>
          <w:tab w:val="left" w:pos="9031"/>
          <w:tab w:val="left" w:pos="10528"/>
        </w:tabs>
        <w:spacing w:before="55"/>
        <w:ind w:left="3287"/>
      </w:pPr>
      <w:r>
        <w:rPr>
          <w:u w:val="single"/>
        </w:rPr>
        <w:t>$</w:t>
      </w:r>
      <w:r>
        <w:rPr>
          <w:u w:val="single"/>
        </w:rPr>
        <w:tab/>
        <w:t>22</w:t>
      </w:r>
      <w:r>
        <w:tab/>
      </w:r>
      <w:r>
        <w:rPr>
          <w:u w:val="single"/>
        </w:rPr>
        <w:t>$</w:t>
      </w:r>
      <w:r>
        <w:rPr>
          <w:u w:val="single"/>
        </w:rPr>
        <w:tab/>
        <w:t>21</w:t>
      </w:r>
      <w:r>
        <w:tab/>
      </w:r>
      <w:r>
        <w:rPr>
          <w:u w:val="single"/>
        </w:rPr>
        <w:t>$</w:t>
      </w:r>
      <w:r>
        <w:rPr>
          <w:u w:val="single"/>
        </w:rPr>
        <w:tab/>
        <w:t>(27)</w:t>
      </w:r>
      <w:r>
        <w:t xml:space="preserve"> </w:t>
      </w:r>
      <w:r>
        <w:rPr>
          <w:spacing w:val="41"/>
        </w:rPr>
        <w:t xml:space="preserve"> </w:t>
      </w:r>
      <w:r>
        <w:rPr>
          <w:u w:val="single"/>
        </w:rPr>
        <w:t>$</w:t>
      </w:r>
      <w:r>
        <w:rPr>
          <w:u w:val="single"/>
        </w:rPr>
        <w:tab/>
        <w:t>(5)</w:t>
      </w:r>
      <w:r>
        <w:t xml:space="preserve"> </w:t>
      </w:r>
      <w:r>
        <w:rPr>
          <w:spacing w:val="41"/>
        </w:rPr>
        <w:t xml:space="preserve"> </w:t>
      </w:r>
      <w:r>
        <w:rPr>
          <w:u w:val="single"/>
        </w:rPr>
        <w:t>$</w:t>
      </w:r>
      <w:r>
        <w:rPr>
          <w:u w:val="single"/>
        </w:rPr>
        <w:tab/>
        <w:t>11</w:t>
      </w:r>
    </w:p>
    <w:p w14:paraId="7326C5A6" w14:textId="77777777" w:rsidR="00EF3DFB" w:rsidRDefault="00EF3DFB">
      <w:pPr>
        <w:pStyle w:val="BodyText"/>
        <w:rPr>
          <w:sz w:val="28"/>
        </w:rPr>
      </w:pPr>
    </w:p>
    <w:p w14:paraId="7326C5A7" w14:textId="77777777" w:rsidR="00EF3DFB" w:rsidRDefault="00D27C17">
      <w:pPr>
        <w:pStyle w:val="BodyText"/>
        <w:ind w:left="190"/>
      </w:pPr>
      <w:r>
        <w:t>Accrued restructuring costs activity for the year ended December 31, 2019 are as follows (in millions):</w:t>
      </w:r>
    </w:p>
    <w:p w14:paraId="7326C5A8" w14:textId="77777777" w:rsidR="00EF3DFB" w:rsidRDefault="00EF3DFB">
      <w:pPr>
        <w:pStyle w:val="BodyText"/>
      </w:pPr>
    </w:p>
    <w:p w14:paraId="7326C5A9" w14:textId="77777777" w:rsidR="00EF3DFB" w:rsidRDefault="00EF3DFB">
      <w:pPr>
        <w:pStyle w:val="BodyText"/>
        <w:spacing w:before="1"/>
        <w:rPr>
          <w:sz w:val="14"/>
        </w:rPr>
      </w:pPr>
    </w:p>
    <w:tbl>
      <w:tblPr>
        <w:tblW w:w="0" w:type="auto"/>
        <w:tblInd w:w="190" w:type="dxa"/>
        <w:tblLayout w:type="fixed"/>
        <w:tblCellMar>
          <w:left w:w="0" w:type="dxa"/>
          <w:right w:w="0" w:type="dxa"/>
        </w:tblCellMar>
        <w:tblLook w:val="01E0" w:firstRow="1" w:lastRow="1" w:firstColumn="1" w:lastColumn="1" w:noHBand="0" w:noVBand="0"/>
      </w:tblPr>
      <w:tblGrid>
        <w:gridCol w:w="3029"/>
        <w:gridCol w:w="1135"/>
        <w:gridCol w:w="1275"/>
        <w:gridCol w:w="1204"/>
        <w:gridCol w:w="1636"/>
        <w:gridCol w:w="1201"/>
        <w:gridCol w:w="1145"/>
      </w:tblGrid>
      <w:tr w:rsidR="00EF3DFB" w14:paraId="7326C5B9" w14:textId="77777777">
        <w:trPr>
          <w:trHeight w:val="580"/>
        </w:trPr>
        <w:tc>
          <w:tcPr>
            <w:tcW w:w="3029" w:type="dxa"/>
          </w:tcPr>
          <w:p w14:paraId="7326C5AA" w14:textId="77777777" w:rsidR="00EF3DFB" w:rsidRDefault="00EF3DFB">
            <w:pPr>
              <w:pStyle w:val="TableParagraph"/>
              <w:rPr>
                <w:sz w:val="18"/>
              </w:rPr>
            </w:pPr>
          </w:p>
        </w:tc>
        <w:tc>
          <w:tcPr>
            <w:tcW w:w="1135" w:type="dxa"/>
            <w:tcBorders>
              <w:bottom w:val="single" w:sz="8" w:space="0" w:color="000000"/>
            </w:tcBorders>
          </w:tcPr>
          <w:p w14:paraId="7326C5AB" w14:textId="77777777" w:rsidR="00EF3DFB" w:rsidRDefault="00D27C17">
            <w:pPr>
              <w:pStyle w:val="TableParagraph"/>
              <w:spacing w:line="249" w:lineRule="auto"/>
              <w:ind w:left="97" w:right="104"/>
              <w:jc w:val="center"/>
              <w:rPr>
                <w:b/>
                <w:sz w:val="16"/>
              </w:rPr>
            </w:pPr>
            <w:r>
              <w:rPr>
                <w:b/>
                <w:sz w:val="16"/>
              </w:rPr>
              <w:t>Balance at December 31,</w:t>
            </w:r>
          </w:p>
          <w:p w14:paraId="7326C5AC" w14:textId="77777777" w:rsidR="00EF3DFB" w:rsidRDefault="00D27C17">
            <w:pPr>
              <w:pStyle w:val="TableParagraph"/>
              <w:spacing w:line="184" w:lineRule="exact"/>
              <w:ind w:left="97" w:right="103"/>
              <w:jc w:val="center"/>
              <w:rPr>
                <w:b/>
                <w:sz w:val="16"/>
              </w:rPr>
            </w:pPr>
            <w:r>
              <w:rPr>
                <w:b/>
                <w:sz w:val="16"/>
              </w:rPr>
              <w:t>2018</w:t>
            </w:r>
          </w:p>
        </w:tc>
        <w:tc>
          <w:tcPr>
            <w:tcW w:w="1275" w:type="dxa"/>
            <w:tcBorders>
              <w:bottom w:val="single" w:sz="8" w:space="0" w:color="000000"/>
            </w:tcBorders>
          </w:tcPr>
          <w:p w14:paraId="7326C5AD" w14:textId="77777777" w:rsidR="00EF3DFB" w:rsidRDefault="00EF3DFB">
            <w:pPr>
              <w:pStyle w:val="TableParagraph"/>
              <w:spacing w:before="6"/>
              <w:rPr>
                <w:sz w:val="15"/>
              </w:rPr>
            </w:pPr>
          </w:p>
          <w:p w14:paraId="7326C5AE" w14:textId="77777777" w:rsidR="00EF3DFB" w:rsidRDefault="00D27C17">
            <w:pPr>
              <w:pStyle w:val="TableParagraph"/>
              <w:spacing w:line="190" w:lineRule="atLeast"/>
              <w:ind w:left="304" w:right="124" w:hanging="133"/>
              <w:rPr>
                <w:b/>
                <w:sz w:val="16"/>
              </w:rPr>
            </w:pPr>
            <w:r>
              <w:rPr>
                <w:b/>
                <w:sz w:val="16"/>
              </w:rPr>
              <w:t>Restructuring Costs, Net</w:t>
            </w:r>
          </w:p>
        </w:tc>
        <w:tc>
          <w:tcPr>
            <w:tcW w:w="1204" w:type="dxa"/>
            <w:tcBorders>
              <w:bottom w:val="single" w:sz="8" w:space="0" w:color="000000"/>
            </w:tcBorders>
          </w:tcPr>
          <w:p w14:paraId="7326C5AF" w14:textId="77777777" w:rsidR="00EF3DFB" w:rsidRDefault="00EF3DFB">
            <w:pPr>
              <w:pStyle w:val="TableParagraph"/>
              <w:rPr>
                <w:sz w:val="18"/>
              </w:rPr>
            </w:pPr>
          </w:p>
          <w:p w14:paraId="7326C5B0" w14:textId="77777777" w:rsidR="00EF3DFB" w:rsidRDefault="00EF3DFB">
            <w:pPr>
              <w:pStyle w:val="TableParagraph"/>
              <w:spacing w:before="9"/>
              <w:rPr>
                <w:sz w:val="14"/>
              </w:rPr>
            </w:pPr>
          </w:p>
          <w:p w14:paraId="7326C5B1" w14:textId="77777777" w:rsidR="00EF3DFB" w:rsidRDefault="00D27C17">
            <w:pPr>
              <w:pStyle w:val="TableParagraph"/>
              <w:spacing w:line="184" w:lineRule="exact"/>
              <w:ind w:left="265"/>
              <w:rPr>
                <w:b/>
                <w:sz w:val="16"/>
              </w:rPr>
            </w:pPr>
            <w:r>
              <w:rPr>
                <w:b/>
                <w:sz w:val="16"/>
              </w:rPr>
              <w:t>Payments</w:t>
            </w:r>
          </w:p>
        </w:tc>
        <w:tc>
          <w:tcPr>
            <w:tcW w:w="1636" w:type="dxa"/>
            <w:tcBorders>
              <w:bottom w:val="single" w:sz="8" w:space="0" w:color="000000"/>
            </w:tcBorders>
          </w:tcPr>
          <w:p w14:paraId="7326C5B2" w14:textId="77777777" w:rsidR="00EF3DFB" w:rsidRDefault="00EF3DFB">
            <w:pPr>
              <w:pStyle w:val="TableParagraph"/>
              <w:rPr>
                <w:sz w:val="18"/>
              </w:rPr>
            </w:pPr>
          </w:p>
          <w:p w14:paraId="7326C5B3" w14:textId="77777777" w:rsidR="00EF3DFB" w:rsidRDefault="00EF3DFB">
            <w:pPr>
              <w:pStyle w:val="TableParagraph"/>
              <w:spacing w:before="9"/>
              <w:rPr>
                <w:sz w:val="14"/>
              </w:rPr>
            </w:pPr>
          </w:p>
          <w:p w14:paraId="7326C5B4" w14:textId="77777777" w:rsidR="00EF3DFB" w:rsidRDefault="00D27C17">
            <w:pPr>
              <w:pStyle w:val="TableParagraph"/>
              <w:spacing w:line="184" w:lineRule="exact"/>
              <w:ind w:left="119"/>
              <w:rPr>
                <w:b/>
                <w:sz w:val="16"/>
              </w:rPr>
            </w:pPr>
            <w:r>
              <w:rPr>
                <w:b/>
                <w:sz w:val="16"/>
              </w:rPr>
              <w:t>Reclassifications (1)</w:t>
            </w:r>
          </w:p>
        </w:tc>
        <w:tc>
          <w:tcPr>
            <w:tcW w:w="1201" w:type="dxa"/>
            <w:tcBorders>
              <w:bottom w:val="single" w:sz="8" w:space="0" w:color="000000"/>
            </w:tcBorders>
          </w:tcPr>
          <w:p w14:paraId="7326C5B5" w14:textId="77777777" w:rsidR="00EF3DFB" w:rsidRDefault="00D27C17">
            <w:pPr>
              <w:pStyle w:val="TableParagraph"/>
              <w:spacing w:line="249" w:lineRule="auto"/>
              <w:ind w:left="101" w:right="124" w:firstLine="210"/>
              <w:rPr>
                <w:b/>
                <w:sz w:val="16"/>
              </w:rPr>
            </w:pPr>
            <w:r>
              <w:rPr>
                <w:b/>
                <w:sz w:val="16"/>
              </w:rPr>
              <w:t>Foreign Currency and</w:t>
            </w:r>
          </w:p>
          <w:p w14:paraId="7326C5B6" w14:textId="77777777" w:rsidR="00EF3DFB" w:rsidRDefault="00D27C17">
            <w:pPr>
              <w:pStyle w:val="TableParagraph"/>
              <w:spacing w:line="184" w:lineRule="exact"/>
              <w:ind w:left="261"/>
              <w:rPr>
                <w:b/>
                <w:sz w:val="16"/>
              </w:rPr>
            </w:pPr>
            <w:r>
              <w:rPr>
                <w:b/>
                <w:sz w:val="16"/>
              </w:rPr>
              <w:t>Other (2)</w:t>
            </w:r>
          </w:p>
        </w:tc>
        <w:tc>
          <w:tcPr>
            <w:tcW w:w="1145" w:type="dxa"/>
            <w:tcBorders>
              <w:bottom w:val="single" w:sz="8" w:space="0" w:color="000000"/>
            </w:tcBorders>
          </w:tcPr>
          <w:p w14:paraId="7326C5B7" w14:textId="77777777" w:rsidR="00EF3DFB" w:rsidRDefault="00D27C17">
            <w:pPr>
              <w:pStyle w:val="TableParagraph"/>
              <w:spacing w:line="249" w:lineRule="auto"/>
              <w:ind w:left="111" w:right="100"/>
              <w:jc w:val="center"/>
              <w:rPr>
                <w:b/>
                <w:sz w:val="16"/>
              </w:rPr>
            </w:pPr>
            <w:r>
              <w:rPr>
                <w:b/>
                <w:sz w:val="16"/>
              </w:rPr>
              <w:t>Balance at December 31,</w:t>
            </w:r>
          </w:p>
          <w:p w14:paraId="7326C5B8" w14:textId="77777777" w:rsidR="00EF3DFB" w:rsidRDefault="00D27C17">
            <w:pPr>
              <w:pStyle w:val="TableParagraph"/>
              <w:spacing w:line="184" w:lineRule="exact"/>
              <w:ind w:left="109" w:right="100"/>
              <w:jc w:val="center"/>
              <w:rPr>
                <w:b/>
                <w:sz w:val="16"/>
              </w:rPr>
            </w:pPr>
            <w:r>
              <w:rPr>
                <w:b/>
                <w:sz w:val="16"/>
              </w:rPr>
              <w:t>2019</w:t>
            </w:r>
          </w:p>
        </w:tc>
      </w:tr>
      <w:tr w:rsidR="00EF3DFB" w14:paraId="7326C5C1" w14:textId="77777777">
        <w:trPr>
          <w:trHeight w:val="275"/>
        </w:trPr>
        <w:tc>
          <w:tcPr>
            <w:tcW w:w="3029" w:type="dxa"/>
            <w:shd w:val="clear" w:color="auto" w:fill="CCEDFF"/>
          </w:tcPr>
          <w:p w14:paraId="7326C5BA" w14:textId="77777777" w:rsidR="00EF3DFB" w:rsidRDefault="00D27C17">
            <w:pPr>
              <w:pStyle w:val="TableParagraph"/>
              <w:spacing w:line="224" w:lineRule="exact"/>
              <w:ind w:left="52"/>
              <w:rPr>
                <w:sz w:val="20"/>
              </w:rPr>
            </w:pPr>
            <w:r>
              <w:rPr>
                <w:sz w:val="20"/>
              </w:rPr>
              <w:t>Severance and termination costs</w:t>
            </w:r>
          </w:p>
        </w:tc>
        <w:tc>
          <w:tcPr>
            <w:tcW w:w="1135" w:type="dxa"/>
            <w:tcBorders>
              <w:top w:val="single" w:sz="8" w:space="0" w:color="000000"/>
            </w:tcBorders>
            <w:shd w:val="clear" w:color="auto" w:fill="CCEDFF"/>
          </w:tcPr>
          <w:p w14:paraId="7326C5BB" w14:textId="77777777" w:rsidR="00EF3DFB" w:rsidRDefault="00D27C17">
            <w:pPr>
              <w:pStyle w:val="TableParagraph"/>
              <w:tabs>
                <w:tab w:val="left" w:pos="760"/>
              </w:tabs>
              <w:spacing w:before="15"/>
              <w:ind w:right="103"/>
              <w:jc w:val="right"/>
              <w:rPr>
                <w:sz w:val="20"/>
              </w:rPr>
            </w:pPr>
            <w:r>
              <w:rPr>
                <w:sz w:val="20"/>
              </w:rPr>
              <w:t>$</w:t>
            </w:r>
            <w:r>
              <w:rPr>
                <w:sz w:val="20"/>
              </w:rPr>
              <w:tab/>
              <w:t>24</w:t>
            </w:r>
          </w:p>
        </w:tc>
        <w:tc>
          <w:tcPr>
            <w:tcW w:w="1275" w:type="dxa"/>
            <w:tcBorders>
              <w:top w:val="single" w:sz="8" w:space="0" w:color="000000"/>
            </w:tcBorders>
            <w:shd w:val="clear" w:color="auto" w:fill="CCEDFF"/>
          </w:tcPr>
          <w:p w14:paraId="7326C5BC" w14:textId="77777777" w:rsidR="00EF3DFB" w:rsidRDefault="00D27C17">
            <w:pPr>
              <w:pStyle w:val="TableParagraph"/>
              <w:tabs>
                <w:tab w:val="left" w:pos="865"/>
              </w:tabs>
              <w:spacing w:before="15"/>
              <w:ind w:right="103"/>
              <w:jc w:val="right"/>
              <w:rPr>
                <w:sz w:val="20"/>
              </w:rPr>
            </w:pPr>
            <w:r>
              <w:rPr>
                <w:sz w:val="20"/>
              </w:rPr>
              <w:t>$</w:t>
            </w:r>
            <w:r>
              <w:rPr>
                <w:sz w:val="20"/>
              </w:rPr>
              <w:tab/>
              <w:t>20</w:t>
            </w:r>
          </w:p>
        </w:tc>
        <w:tc>
          <w:tcPr>
            <w:tcW w:w="1204" w:type="dxa"/>
            <w:tcBorders>
              <w:top w:val="single" w:sz="8" w:space="0" w:color="000000"/>
            </w:tcBorders>
            <w:shd w:val="clear" w:color="auto" w:fill="CCEDFF"/>
          </w:tcPr>
          <w:p w14:paraId="7326C5BD" w14:textId="77777777" w:rsidR="00EF3DFB" w:rsidRDefault="00D27C17">
            <w:pPr>
              <w:pStyle w:val="TableParagraph"/>
              <w:tabs>
                <w:tab w:val="left" w:pos="694"/>
              </w:tabs>
              <w:spacing w:before="15"/>
              <w:ind w:right="72"/>
              <w:jc w:val="right"/>
              <w:rPr>
                <w:sz w:val="20"/>
              </w:rPr>
            </w:pPr>
            <w:r>
              <w:rPr>
                <w:sz w:val="20"/>
              </w:rPr>
              <w:t>$</w:t>
            </w:r>
            <w:r>
              <w:rPr>
                <w:sz w:val="20"/>
              </w:rPr>
              <w:tab/>
              <w:t>(33)</w:t>
            </w:r>
          </w:p>
        </w:tc>
        <w:tc>
          <w:tcPr>
            <w:tcW w:w="1636" w:type="dxa"/>
            <w:tcBorders>
              <w:top w:val="single" w:sz="8" w:space="0" w:color="000000"/>
            </w:tcBorders>
            <w:shd w:val="clear" w:color="auto" w:fill="CCEDFF"/>
          </w:tcPr>
          <w:p w14:paraId="7326C5BE" w14:textId="77777777" w:rsidR="00EF3DFB" w:rsidRDefault="00D27C17">
            <w:pPr>
              <w:pStyle w:val="TableParagraph"/>
              <w:tabs>
                <w:tab w:val="left" w:pos="1295"/>
              </w:tabs>
              <w:spacing w:before="15"/>
              <w:ind w:left="69"/>
              <w:rPr>
                <w:sz w:val="20"/>
              </w:rPr>
            </w:pPr>
            <w:r>
              <w:rPr>
                <w:sz w:val="20"/>
              </w:rPr>
              <w:t>$</w:t>
            </w:r>
            <w:r>
              <w:rPr>
                <w:sz w:val="20"/>
              </w:rPr>
              <w:tab/>
              <w:t>—</w:t>
            </w:r>
          </w:p>
        </w:tc>
        <w:tc>
          <w:tcPr>
            <w:tcW w:w="1201" w:type="dxa"/>
            <w:tcBorders>
              <w:top w:val="single" w:sz="8" w:space="0" w:color="000000"/>
            </w:tcBorders>
            <w:shd w:val="clear" w:color="auto" w:fill="CCEDFF"/>
          </w:tcPr>
          <w:p w14:paraId="7326C5BF" w14:textId="77777777" w:rsidR="00EF3DFB" w:rsidRDefault="00D27C17">
            <w:pPr>
              <w:pStyle w:val="TableParagraph"/>
              <w:tabs>
                <w:tab w:val="left" w:pos="824"/>
              </w:tabs>
              <w:spacing w:before="15"/>
              <w:ind w:right="74"/>
              <w:jc w:val="right"/>
              <w:rPr>
                <w:sz w:val="20"/>
              </w:rPr>
            </w:pPr>
            <w:r>
              <w:rPr>
                <w:sz w:val="20"/>
              </w:rPr>
              <w:t>$</w:t>
            </w:r>
            <w:r>
              <w:rPr>
                <w:sz w:val="20"/>
              </w:rPr>
              <w:tab/>
              <w:t>(1)</w:t>
            </w:r>
          </w:p>
        </w:tc>
        <w:tc>
          <w:tcPr>
            <w:tcW w:w="1145" w:type="dxa"/>
            <w:tcBorders>
              <w:top w:val="single" w:sz="8" w:space="0" w:color="000000"/>
            </w:tcBorders>
            <w:shd w:val="clear" w:color="auto" w:fill="CCEDFF"/>
          </w:tcPr>
          <w:p w14:paraId="7326C5C0" w14:textId="77777777" w:rsidR="00EF3DFB" w:rsidRDefault="00D27C17">
            <w:pPr>
              <w:pStyle w:val="TableParagraph"/>
              <w:tabs>
                <w:tab w:val="left" w:pos="790"/>
              </w:tabs>
              <w:spacing w:before="15"/>
              <w:ind w:right="84"/>
              <w:jc w:val="right"/>
              <w:rPr>
                <w:sz w:val="20"/>
              </w:rPr>
            </w:pPr>
            <w:r>
              <w:rPr>
                <w:sz w:val="20"/>
              </w:rPr>
              <w:t>$</w:t>
            </w:r>
            <w:r>
              <w:rPr>
                <w:sz w:val="20"/>
              </w:rPr>
              <w:tab/>
              <w:t>10</w:t>
            </w:r>
          </w:p>
        </w:tc>
      </w:tr>
      <w:tr w:rsidR="00EF3DFB" w14:paraId="7326C5C9" w14:textId="77777777">
        <w:trPr>
          <w:trHeight w:val="275"/>
        </w:trPr>
        <w:tc>
          <w:tcPr>
            <w:tcW w:w="3029" w:type="dxa"/>
          </w:tcPr>
          <w:p w14:paraId="7326C5C2" w14:textId="77777777" w:rsidR="00EF3DFB" w:rsidRDefault="00D27C17">
            <w:pPr>
              <w:pStyle w:val="TableParagraph"/>
              <w:spacing w:before="4"/>
              <w:ind w:left="52"/>
              <w:rPr>
                <w:sz w:val="20"/>
              </w:rPr>
            </w:pPr>
            <w:r>
              <w:rPr>
                <w:sz w:val="20"/>
              </w:rPr>
              <w:t>Contract termination and other costs</w:t>
            </w:r>
          </w:p>
        </w:tc>
        <w:tc>
          <w:tcPr>
            <w:tcW w:w="1135" w:type="dxa"/>
            <w:tcBorders>
              <w:bottom w:val="single" w:sz="8" w:space="0" w:color="000000"/>
            </w:tcBorders>
          </w:tcPr>
          <w:p w14:paraId="7326C5C3" w14:textId="77777777" w:rsidR="00EF3DFB" w:rsidRDefault="00D27C17">
            <w:pPr>
              <w:pStyle w:val="TableParagraph"/>
              <w:spacing w:before="25" w:line="230" w:lineRule="exact"/>
              <w:ind w:right="103"/>
              <w:jc w:val="right"/>
              <w:rPr>
                <w:sz w:val="20"/>
              </w:rPr>
            </w:pPr>
            <w:r>
              <w:rPr>
                <w:sz w:val="20"/>
              </w:rPr>
              <w:t>47</w:t>
            </w:r>
          </w:p>
        </w:tc>
        <w:tc>
          <w:tcPr>
            <w:tcW w:w="1275" w:type="dxa"/>
            <w:tcBorders>
              <w:bottom w:val="single" w:sz="8" w:space="0" w:color="000000"/>
            </w:tcBorders>
          </w:tcPr>
          <w:p w14:paraId="7326C5C4" w14:textId="77777777" w:rsidR="00EF3DFB" w:rsidRDefault="00D27C17">
            <w:pPr>
              <w:pStyle w:val="TableParagraph"/>
              <w:spacing w:before="25" w:line="230" w:lineRule="exact"/>
              <w:ind w:right="103"/>
              <w:jc w:val="right"/>
              <w:rPr>
                <w:sz w:val="20"/>
              </w:rPr>
            </w:pPr>
            <w:r>
              <w:rPr>
                <w:sz w:val="20"/>
              </w:rPr>
              <w:t>7</w:t>
            </w:r>
          </w:p>
        </w:tc>
        <w:tc>
          <w:tcPr>
            <w:tcW w:w="1204" w:type="dxa"/>
            <w:tcBorders>
              <w:bottom w:val="single" w:sz="8" w:space="0" w:color="000000"/>
            </w:tcBorders>
          </w:tcPr>
          <w:p w14:paraId="7326C5C5" w14:textId="77777777" w:rsidR="00EF3DFB" w:rsidRDefault="00D27C17">
            <w:pPr>
              <w:pStyle w:val="TableParagraph"/>
              <w:spacing w:before="25" w:line="230" w:lineRule="exact"/>
              <w:ind w:right="72"/>
              <w:jc w:val="right"/>
              <w:rPr>
                <w:sz w:val="20"/>
              </w:rPr>
            </w:pPr>
            <w:r>
              <w:rPr>
                <w:sz w:val="20"/>
              </w:rPr>
              <w:t>(27)</w:t>
            </w:r>
          </w:p>
        </w:tc>
        <w:tc>
          <w:tcPr>
            <w:tcW w:w="1636" w:type="dxa"/>
            <w:tcBorders>
              <w:bottom w:val="single" w:sz="8" w:space="0" w:color="000000"/>
            </w:tcBorders>
          </w:tcPr>
          <w:p w14:paraId="7326C5C6" w14:textId="77777777" w:rsidR="00EF3DFB" w:rsidRDefault="00D27C17">
            <w:pPr>
              <w:pStyle w:val="TableParagraph"/>
              <w:spacing w:before="25" w:line="230" w:lineRule="exact"/>
              <w:ind w:right="73"/>
              <w:jc w:val="right"/>
              <w:rPr>
                <w:sz w:val="20"/>
              </w:rPr>
            </w:pPr>
            <w:r>
              <w:rPr>
                <w:sz w:val="20"/>
              </w:rPr>
              <w:t>(14)</w:t>
            </w:r>
          </w:p>
        </w:tc>
        <w:tc>
          <w:tcPr>
            <w:tcW w:w="1201" w:type="dxa"/>
            <w:tcBorders>
              <w:bottom w:val="single" w:sz="8" w:space="0" w:color="000000"/>
            </w:tcBorders>
          </w:tcPr>
          <w:p w14:paraId="7326C5C7" w14:textId="77777777" w:rsidR="00EF3DFB" w:rsidRDefault="00D27C17">
            <w:pPr>
              <w:pStyle w:val="TableParagraph"/>
              <w:spacing w:before="25" w:line="230" w:lineRule="exact"/>
              <w:ind w:right="74"/>
              <w:jc w:val="right"/>
              <w:rPr>
                <w:sz w:val="20"/>
              </w:rPr>
            </w:pPr>
            <w:r>
              <w:rPr>
                <w:sz w:val="20"/>
              </w:rPr>
              <w:t>(1)</w:t>
            </w:r>
          </w:p>
        </w:tc>
        <w:tc>
          <w:tcPr>
            <w:tcW w:w="1145" w:type="dxa"/>
            <w:tcBorders>
              <w:bottom w:val="single" w:sz="8" w:space="0" w:color="000000"/>
            </w:tcBorders>
          </w:tcPr>
          <w:p w14:paraId="7326C5C8" w14:textId="77777777" w:rsidR="00EF3DFB" w:rsidRDefault="00D27C17">
            <w:pPr>
              <w:pStyle w:val="TableParagraph"/>
              <w:spacing w:before="25" w:line="230" w:lineRule="exact"/>
              <w:ind w:right="84"/>
              <w:jc w:val="right"/>
              <w:rPr>
                <w:sz w:val="20"/>
              </w:rPr>
            </w:pPr>
            <w:r>
              <w:rPr>
                <w:sz w:val="20"/>
              </w:rPr>
              <w:t>12</w:t>
            </w:r>
          </w:p>
        </w:tc>
      </w:tr>
      <w:tr w:rsidR="00EF3DFB" w14:paraId="7326C5D1" w14:textId="77777777">
        <w:trPr>
          <w:trHeight w:val="275"/>
        </w:trPr>
        <w:tc>
          <w:tcPr>
            <w:tcW w:w="3029" w:type="dxa"/>
            <w:shd w:val="clear" w:color="auto" w:fill="CCEDFF"/>
          </w:tcPr>
          <w:p w14:paraId="7326C5CA" w14:textId="77777777" w:rsidR="00EF3DFB" w:rsidRDefault="00EF3DFB">
            <w:pPr>
              <w:pStyle w:val="TableParagraph"/>
              <w:rPr>
                <w:sz w:val="18"/>
              </w:rPr>
            </w:pPr>
          </w:p>
        </w:tc>
        <w:tc>
          <w:tcPr>
            <w:tcW w:w="1135" w:type="dxa"/>
            <w:tcBorders>
              <w:top w:val="single" w:sz="8" w:space="0" w:color="000000"/>
            </w:tcBorders>
            <w:shd w:val="clear" w:color="auto" w:fill="CCEDFF"/>
          </w:tcPr>
          <w:p w14:paraId="7326C5CB" w14:textId="77777777" w:rsidR="00EF3DFB" w:rsidRDefault="00D27C17">
            <w:pPr>
              <w:pStyle w:val="TableParagraph"/>
              <w:tabs>
                <w:tab w:val="left" w:pos="760"/>
              </w:tabs>
              <w:spacing w:before="15"/>
              <w:ind w:right="103"/>
              <w:jc w:val="right"/>
              <w:rPr>
                <w:sz w:val="20"/>
              </w:rPr>
            </w:pPr>
            <w:r>
              <w:rPr>
                <w:sz w:val="20"/>
                <w:u w:val="single"/>
              </w:rPr>
              <w:t>$</w:t>
            </w:r>
            <w:r>
              <w:rPr>
                <w:sz w:val="20"/>
                <w:u w:val="single"/>
              </w:rPr>
              <w:tab/>
              <w:t>71</w:t>
            </w:r>
          </w:p>
        </w:tc>
        <w:tc>
          <w:tcPr>
            <w:tcW w:w="1275" w:type="dxa"/>
            <w:tcBorders>
              <w:top w:val="single" w:sz="8" w:space="0" w:color="000000"/>
            </w:tcBorders>
            <w:shd w:val="clear" w:color="auto" w:fill="CCEDFF"/>
          </w:tcPr>
          <w:p w14:paraId="7326C5CC" w14:textId="77777777" w:rsidR="00EF3DFB" w:rsidRDefault="00D27C17">
            <w:pPr>
              <w:pStyle w:val="TableParagraph"/>
              <w:tabs>
                <w:tab w:val="left" w:pos="865"/>
              </w:tabs>
              <w:spacing w:before="15"/>
              <w:ind w:right="103"/>
              <w:jc w:val="right"/>
              <w:rPr>
                <w:sz w:val="20"/>
              </w:rPr>
            </w:pPr>
            <w:r>
              <w:rPr>
                <w:sz w:val="20"/>
                <w:u w:val="single"/>
              </w:rPr>
              <w:t>$</w:t>
            </w:r>
            <w:r>
              <w:rPr>
                <w:sz w:val="20"/>
                <w:u w:val="single"/>
              </w:rPr>
              <w:tab/>
              <w:t>27</w:t>
            </w:r>
          </w:p>
        </w:tc>
        <w:tc>
          <w:tcPr>
            <w:tcW w:w="1204" w:type="dxa"/>
            <w:tcBorders>
              <w:top w:val="single" w:sz="8" w:space="0" w:color="000000"/>
            </w:tcBorders>
            <w:shd w:val="clear" w:color="auto" w:fill="CCEDFF"/>
          </w:tcPr>
          <w:p w14:paraId="7326C5CD" w14:textId="77777777" w:rsidR="00EF3DFB" w:rsidRDefault="00D27C17">
            <w:pPr>
              <w:pStyle w:val="TableParagraph"/>
              <w:tabs>
                <w:tab w:val="left" w:pos="694"/>
              </w:tabs>
              <w:spacing w:before="15"/>
              <w:ind w:right="72"/>
              <w:jc w:val="right"/>
              <w:rPr>
                <w:sz w:val="20"/>
              </w:rPr>
            </w:pPr>
            <w:r>
              <w:rPr>
                <w:sz w:val="20"/>
                <w:u w:val="single"/>
              </w:rPr>
              <w:t>$</w:t>
            </w:r>
            <w:r>
              <w:rPr>
                <w:sz w:val="20"/>
                <w:u w:val="single"/>
              </w:rPr>
              <w:tab/>
              <w:t>(60)</w:t>
            </w:r>
          </w:p>
        </w:tc>
        <w:tc>
          <w:tcPr>
            <w:tcW w:w="1636" w:type="dxa"/>
            <w:tcBorders>
              <w:top w:val="single" w:sz="8" w:space="0" w:color="000000"/>
            </w:tcBorders>
            <w:shd w:val="clear" w:color="auto" w:fill="CCEDFF"/>
          </w:tcPr>
          <w:p w14:paraId="7326C5CE" w14:textId="77777777" w:rsidR="00EF3DFB" w:rsidRDefault="00D27C17">
            <w:pPr>
              <w:pStyle w:val="TableParagraph"/>
              <w:tabs>
                <w:tab w:val="left" w:pos="1228"/>
              </w:tabs>
              <w:spacing w:before="15"/>
              <w:ind w:left="69"/>
              <w:rPr>
                <w:sz w:val="20"/>
              </w:rPr>
            </w:pPr>
            <w:r>
              <w:rPr>
                <w:sz w:val="20"/>
                <w:u w:val="single"/>
              </w:rPr>
              <w:t>$</w:t>
            </w:r>
            <w:r>
              <w:rPr>
                <w:sz w:val="20"/>
                <w:u w:val="single"/>
              </w:rPr>
              <w:tab/>
              <w:t>(14)</w:t>
            </w:r>
          </w:p>
        </w:tc>
        <w:tc>
          <w:tcPr>
            <w:tcW w:w="1201" w:type="dxa"/>
            <w:tcBorders>
              <w:top w:val="single" w:sz="8" w:space="0" w:color="000000"/>
            </w:tcBorders>
            <w:shd w:val="clear" w:color="auto" w:fill="CCEDFF"/>
          </w:tcPr>
          <w:p w14:paraId="7326C5CF" w14:textId="77777777" w:rsidR="00EF3DFB" w:rsidRDefault="00D27C17">
            <w:pPr>
              <w:pStyle w:val="TableParagraph"/>
              <w:tabs>
                <w:tab w:val="left" w:pos="824"/>
              </w:tabs>
              <w:spacing w:before="15"/>
              <w:ind w:right="74"/>
              <w:jc w:val="right"/>
              <w:rPr>
                <w:sz w:val="20"/>
              </w:rPr>
            </w:pPr>
            <w:r>
              <w:rPr>
                <w:sz w:val="20"/>
                <w:u w:val="single"/>
              </w:rPr>
              <w:t>$</w:t>
            </w:r>
            <w:r>
              <w:rPr>
                <w:sz w:val="20"/>
                <w:u w:val="single"/>
              </w:rPr>
              <w:tab/>
              <w:t>(2)</w:t>
            </w:r>
          </w:p>
        </w:tc>
        <w:tc>
          <w:tcPr>
            <w:tcW w:w="1145" w:type="dxa"/>
            <w:tcBorders>
              <w:top w:val="single" w:sz="8" w:space="0" w:color="000000"/>
            </w:tcBorders>
            <w:shd w:val="clear" w:color="auto" w:fill="CCEDFF"/>
          </w:tcPr>
          <w:p w14:paraId="7326C5D0" w14:textId="77777777" w:rsidR="00EF3DFB" w:rsidRDefault="00D27C17">
            <w:pPr>
              <w:pStyle w:val="TableParagraph"/>
              <w:tabs>
                <w:tab w:val="left" w:pos="790"/>
              </w:tabs>
              <w:spacing w:before="15"/>
              <w:ind w:right="84"/>
              <w:jc w:val="right"/>
              <w:rPr>
                <w:sz w:val="20"/>
              </w:rPr>
            </w:pPr>
            <w:r>
              <w:rPr>
                <w:sz w:val="20"/>
                <w:u w:val="single"/>
              </w:rPr>
              <w:t>$</w:t>
            </w:r>
            <w:r>
              <w:rPr>
                <w:sz w:val="20"/>
                <w:u w:val="single"/>
              </w:rPr>
              <w:tab/>
              <w:t>22</w:t>
            </w:r>
          </w:p>
        </w:tc>
      </w:tr>
    </w:tbl>
    <w:p w14:paraId="7326C5D2" w14:textId="5E3839EC" w:rsidR="00EF3DFB" w:rsidRDefault="00D27C17">
      <w:pPr>
        <w:spacing w:line="20" w:lineRule="exact"/>
        <w:ind w:left="3225"/>
        <w:rPr>
          <w:sz w:val="2"/>
        </w:rPr>
      </w:pPr>
      <w:r>
        <w:rPr>
          <w:noProof/>
          <w:sz w:val="2"/>
        </w:rPr>
        <mc:AlternateContent>
          <mc:Choice Requires="wpg">
            <w:drawing>
              <wp:inline distT="0" distB="0" distL="0" distR="0" wp14:anchorId="7326D71F" wp14:editId="28624D32">
                <wp:extent cx="695325" cy="12700"/>
                <wp:effectExtent l="12700" t="8255" r="6350" b="7620"/>
                <wp:docPr id="370"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12700"/>
                          <a:chOff x="0" y="0"/>
                          <a:chExt cx="1095" cy="20"/>
                        </a:xfrm>
                      </wpg:grpSpPr>
                      <wps:wsp>
                        <wps:cNvPr id="371" name="Line 354"/>
                        <wps:cNvCnPr>
                          <a:cxnSpLocks noChangeShapeType="1"/>
                        </wps:cNvCnPr>
                        <wps:spPr bwMode="auto">
                          <a:xfrm>
                            <a:off x="0" y="10"/>
                            <a:ext cx="10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EA953" id="Group 353" o:spid="_x0000_s1026" style="width:54.75pt;height:1pt;mso-position-horizontal-relative:char;mso-position-vertical-relative:line" coordsize="1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">
                <v:line id="Line 354" o:spid="_x0000_s1027" style="position:absolute;visibility:visible;mso-wrap-style:square" from="0,10" to="10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1" wp14:editId="1770FBA1">
                <wp:extent cx="762000" cy="12700"/>
                <wp:effectExtent l="12700" t="8255" r="6350" b="7620"/>
                <wp:docPr id="368"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69" name="Line 352"/>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C46D33" id="Group 351"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">
                <v:line id="Line 352"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3" wp14:editId="54BFCE8B">
                <wp:extent cx="695325" cy="12700"/>
                <wp:effectExtent l="12700" t="8255" r="6350" b="7620"/>
                <wp:docPr id="366"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12700"/>
                          <a:chOff x="0" y="0"/>
                          <a:chExt cx="1095" cy="20"/>
                        </a:xfrm>
                      </wpg:grpSpPr>
                      <wps:wsp>
                        <wps:cNvPr id="367" name="Line 350"/>
                        <wps:cNvCnPr>
                          <a:cxnSpLocks noChangeShapeType="1"/>
                        </wps:cNvCnPr>
                        <wps:spPr bwMode="auto">
                          <a:xfrm>
                            <a:off x="0" y="10"/>
                            <a:ext cx="10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368635" id="Group 349" o:spid="_x0000_s1026" style="width:54.75pt;height:1pt;mso-position-horizontal-relative:char;mso-position-vertical-relative:line" coordsize="1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">
                <v:line id="Line 350" o:spid="_x0000_s1027" style="position:absolute;visibility:visible;mso-wrap-style:square" from="0,10" to="10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VSxQAAANwAAAAPAAAAZHJzL2Rvd25yZXYueG1sRI/RagIx&#10;FETfBf8hXKFvmrUF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AfMrVS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5" wp14:editId="1A9B2076">
                <wp:extent cx="990600" cy="12700"/>
                <wp:effectExtent l="12700" t="8255" r="6350" b="7620"/>
                <wp:docPr id="364"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0"/>
                          <a:chOff x="0" y="0"/>
                          <a:chExt cx="1560" cy="20"/>
                        </a:xfrm>
                      </wpg:grpSpPr>
                      <wps:wsp>
                        <wps:cNvPr id="365" name="Line 348"/>
                        <wps:cNvCnPr>
                          <a:cxnSpLocks noChangeShapeType="1"/>
                        </wps:cNvCnPr>
                        <wps:spPr bwMode="auto">
                          <a:xfrm>
                            <a:off x="0" y="10"/>
                            <a:ext cx="1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FE82BA" id="Group 347" o:spid="_x0000_s1026" style="width:78pt;height:1pt;mso-position-horizontal-relative:char;mso-position-vertical-relative:line" coordsize="1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">
                <v:line id="Line 348" o:spid="_x0000_s1027" style="position:absolute;visibility:visible;mso-wrap-style:square" from="0,10" to="1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6+xQAAANwAAAAPAAAAZHJzL2Rvd25yZXYueG1sRI/RagIx&#10;FETfC/5DuELfataWSl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CArI6+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7" wp14:editId="0982B312">
                <wp:extent cx="714375" cy="12700"/>
                <wp:effectExtent l="12700" t="8255" r="6350" b="7620"/>
                <wp:docPr id="362"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12700"/>
                          <a:chOff x="0" y="0"/>
                          <a:chExt cx="1125" cy="20"/>
                        </a:xfrm>
                      </wpg:grpSpPr>
                      <wps:wsp>
                        <wps:cNvPr id="363" name="Line 346"/>
                        <wps:cNvCnPr>
                          <a:cxnSpLocks noChangeShapeType="1"/>
                        </wps:cNvCnPr>
                        <wps:spPr bwMode="auto">
                          <a:xfrm>
                            <a:off x="0" y="10"/>
                            <a:ext cx="11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0902F" id="Group 345" o:spid="_x0000_s1026" style="width:56.25pt;height:1pt;mso-position-horizontal-relative:char;mso-position-vertical-relative:line" coordsize="1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">
                <v:line id="Line 346" o:spid="_x0000_s1027" style="position:absolute;visibility:visible;mso-wrap-style:square" from="0,10" to="1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9" wp14:editId="7DDFE897">
                <wp:extent cx="714375" cy="12700"/>
                <wp:effectExtent l="12700" t="8255" r="6350" b="7620"/>
                <wp:docPr id="36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12700"/>
                          <a:chOff x="0" y="0"/>
                          <a:chExt cx="1125" cy="20"/>
                        </a:xfrm>
                      </wpg:grpSpPr>
                      <wps:wsp>
                        <wps:cNvPr id="361" name="Line 344"/>
                        <wps:cNvCnPr>
                          <a:cxnSpLocks noChangeShapeType="1"/>
                        </wps:cNvCnPr>
                        <wps:spPr bwMode="auto">
                          <a:xfrm>
                            <a:off x="0" y="10"/>
                            <a:ext cx="11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40F896" id="Group 343" o:spid="_x0000_s1026" style="width:56.25pt;height:1pt;mso-position-horizontal-relative:char;mso-position-vertical-relative:line" coordsize="1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">
                <v:line id="Line 344" o:spid="_x0000_s1027" style="position:absolute;visibility:visible;mso-wrap-style:square" from="0,10" to="1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w10:anchorlock/>
              </v:group>
            </w:pict>
          </mc:Fallback>
        </mc:AlternateContent>
      </w:r>
    </w:p>
    <w:p w14:paraId="7326C5D3" w14:textId="77777777" w:rsidR="00EF3DFB" w:rsidRDefault="00D27C17">
      <w:pPr>
        <w:pStyle w:val="ListParagraph"/>
        <w:numPr>
          <w:ilvl w:val="1"/>
          <w:numId w:val="23"/>
        </w:numPr>
        <w:tabs>
          <w:tab w:val="left" w:pos="910"/>
        </w:tabs>
        <w:spacing w:before="41" w:line="249" w:lineRule="auto"/>
        <w:ind w:right="388"/>
        <w:rPr>
          <w:sz w:val="16"/>
        </w:rPr>
      </w:pPr>
      <w:r>
        <w:rPr>
          <w:sz w:val="16"/>
        </w:rPr>
        <w:t>Reclassification due to the adoption of ASU 2016-02 - “</w:t>
      </w:r>
      <w:r>
        <w:rPr>
          <w:i/>
          <w:sz w:val="16"/>
        </w:rPr>
        <w:t xml:space="preserve">Leases (Topic 842)”, </w:t>
      </w:r>
      <w:r>
        <w:rPr>
          <w:sz w:val="16"/>
        </w:rPr>
        <w:t>which requires lessees to recognize a right-of-use asset and lease</w:t>
      </w:r>
      <w:r>
        <w:rPr>
          <w:spacing w:val="-22"/>
          <w:sz w:val="16"/>
        </w:rPr>
        <w:t xml:space="preserve"> </w:t>
      </w:r>
      <w:r>
        <w:rPr>
          <w:sz w:val="16"/>
        </w:rPr>
        <w:t>liability for all leases with terms of more than 12</w:t>
      </w:r>
      <w:r>
        <w:rPr>
          <w:spacing w:val="-3"/>
          <w:sz w:val="16"/>
        </w:rPr>
        <w:t xml:space="preserve"> </w:t>
      </w:r>
      <w:r>
        <w:rPr>
          <w:sz w:val="16"/>
        </w:rPr>
        <w:t>months.</w:t>
      </w:r>
    </w:p>
    <w:p w14:paraId="7326C5D4" w14:textId="77777777" w:rsidR="00EF3DFB" w:rsidRDefault="00D27C17">
      <w:pPr>
        <w:pStyle w:val="ListParagraph"/>
        <w:numPr>
          <w:ilvl w:val="1"/>
          <w:numId w:val="23"/>
        </w:numPr>
        <w:tabs>
          <w:tab w:val="left" w:pos="910"/>
        </w:tabs>
        <w:spacing w:before="1"/>
        <w:rPr>
          <w:sz w:val="16"/>
        </w:rPr>
      </w:pPr>
      <w:r>
        <w:rPr>
          <w:sz w:val="16"/>
        </w:rPr>
        <w:t>Includes non-cash restructuring charges primarily related to stock-based awards of $1 million for</w:t>
      </w:r>
      <w:r>
        <w:rPr>
          <w:spacing w:val="-9"/>
          <w:sz w:val="16"/>
        </w:rPr>
        <w:t xml:space="preserve"> </w:t>
      </w:r>
      <w:r>
        <w:rPr>
          <w:sz w:val="16"/>
        </w:rPr>
        <w:t>2019.</w:t>
      </w:r>
    </w:p>
    <w:p w14:paraId="7326C5D5" w14:textId="77777777" w:rsidR="00EF3DFB" w:rsidRDefault="00EF3DFB">
      <w:pPr>
        <w:pStyle w:val="BodyText"/>
        <w:spacing w:before="9"/>
      </w:pPr>
    </w:p>
    <w:p w14:paraId="7326C5D6" w14:textId="77777777" w:rsidR="00EF3DFB" w:rsidRDefault="00D27C17">
      <w:pPr>
        <w:ind w:left="190"/>
        <w:rPr>
          <w:i/>
          <w:sz w:val="20"/>
        </w:rPr>
      </w:pPr>
      <w:r>
        <w:rPr>
          <w:i/>
          <w:sz w:val="20"/>
        </w:rPr>
        <w:t>2020 Restructuring Plan</w:t>
      </w:r>
    </w:p>
    <w:p w14:paraId="7326C5D7" w14:textId="77777777" w:rsidR="00EF3DFB" w:rsidRDefault="00EF3DFB">
      <w:pPr>
        <w:pStyle w:val="BodyText"/>
        <w:spacing w:before="9"/>
        <w:rPr>
          <w:i/>
          <w:sz w:val="23"/>
        </w:rPr>
      </w:pPr>
    </w:p>
    <w:p w14:paraId="7326C5D8" w14:textId="77777777" w:rsidR="00EF3DFB" w:rsidRDefault="00D27C17">
      <w:pPr>
        <w:pStyle w:val="BodyText"/>
        <w:spacing w:line="249" w:lineRule="auto"/>
        <w:ind w:left="190" w:right="168"/>
        <w:jc w:val="both"/>
      </w:pPr>
      <w:r>
        <w:t>The Company’s 2020 restructuring program, which was initiated during the second quarter of 2020 largely in response to the impact of the COVID-19 pandemic, was designed to reduce overhead costs, streamline certain underperforming operations and improve fut</w:t>
      </w:r>
      <w:r>
        <w:t>ure profitability. The restructuring costs, which impact all segments, include employee-related costs, including severance and other</w:t>
      </w:r>
      <w:r>
        <w:rPr>
          <w:spacing w:val="-3"/>
        </w:rPr>
        <w:t xml:space="preserve"> </w:t>
      </w:r>
      <w:r>
        <w:t>termination</w:t>
      </w:r>
      <w:r>
        <w:rPr>
          <w:spacing w:val="-3"/>
        </w:rPr>
        <w:t xml:space="preserve"> </w:t>
      </w:r>
      <w:r>
        <w:t>benefits.</w:t>
      </w:r>
      <w:r>
        <w:rPr>
          <w:spacing w:val="-3"/>
        </w:rPr>
        <w:t xml:space="preserve"> </w:t>
      </w:r>
      <w:r>
        <w:t>During</w:t>
      </w:r>
      <w:r>
        <w:rPr>
          <w:spacing w:val="-3"/>
        </w:rPr>
        <w:t xml:space="preserve"> </w:t>
      </w:r>
      <w:r>
        <w:t>the</w:t>
      </w:r>
      <w:r>
        <w:rPr>
          <w:spacing w:val="-3"/>
        </w:rPr>
        <w:t xml:space="preserve"> </w:t>
      </w:r>
      <w:r>
        <w:t>year</w:t>
      </w:r>
      <w:r>
        <w:rPr>
          <w:spacing w:val="-3"/>
        </w:rPr>
        <w:t xml:space="preserve"> </w:t>
      </w:r>
      <w:r>
        <w:t>ended</w:t>
      </w:r>
      <w:r>
        <w:rPr>
          <w:spacing w:val="-3"/>
        </w:rPr>
        <w:t xml:space="preserve"> </w:t>
      </w:r>
      <w:r>
        <w:t>December</w:t>
      </w:r>
      <w:r>
        <w:rPr>
          <w:spacing w:val="-3"/>
        </w:rPr>
        <w:t xml:space="preserve"> </w:t>
      </w:r>
      <w:r>
        <w:t>31,</w:t>
      </w:r>
      <w:r>
        <w:rPr>
          <w:spacing w:val="-3"/>
        </w:rPr>
        <w:t xml:space="preserve"> </w:t>
      </w:r>
      <w:r>
        <w:t>2020,</w:t>
      </w:r>
      <w:r>
        <w:rPr>
          <w:spacing w:val="-3"/>
        </w:rPr>
        <w:t xml:space="preserve"> </w:t>
      </w:r>
      <w:r>
        <w:t>the</w:t>
      </w:r>
      <w:r>
        <w:rPr>
          <w:spacing w:val="-3"/>
        </w:rPr>
        <w:t xml:space="preserve"> </w:t>
      </w:r>
      <w:r>
        <w:t>Company</w:t>
      </w:r>
      <w:r>
        <w:rPr>
          <w:spacing w:val="-3"/>
        </w:rPr>
        <w:t xml:space="preserve"> </w:t>
      </w:r>
      <w:r>
        <w:t>recorded</w:t>
      </w:r>
      <w:r>
        <w:rPr>
          <w:spacing w:val="-3"/>
        </w:rPr>
        <w:t xml:space="preserve"> </w:t>
      </w:r>
      <w:r>
        <w:t>restructuring</w:t>
      </w:r>
      <w:r>
        <w:rPr>
          <w:spacing w:val="-3"/>
        </w:rPr>
        <w:t xml:space="preserve"> </w:t>
      </w:r>
      <w:r>
        <w:t>charges</w:t>
      </w:r>
      <w:r>
        <w:rPr>
          <w:spacing w:val="-3"/>
        </w:rPr>
        <w:t xml:space="preserve"> </w:t>
      </w:r>
      <w:r>
        <w:t>of</w:t>
      </w:r>
      <w:r>
        <w:rPr>
          <w:spacing w:val="-3"/>
        </w:rPr>
        <w:t xml:space="preserve"> </w:t>
      </w:r>
      <w:r>
        <w:t>$19</w:t>
      </w:r>
      <w:r>
        <w:rPr>
          <w:spacing w:val="-3"/>
        </w:rPr>
        <w:t xml:space="preserve"> </w:t>
      </w:r>
      <w:r>
        <w:t>million</w:t>
      </w:r>
      <w:r>
        <w:rPr>
          <w:spacing w:val="-3"/>
        </w:rPr>
        <w:t xml:space="preserve"> </w:t>
      </w:r>
      <w:r>
        <w:t>in</w:t>
      </w:r>
      <w:r>
        <w:t xml:space="preserve"> connection</w:t>
      </w:r>
      <w:r>
        <w:rPr>
          <w:spacing w:val="-4"/>
        </w:rPr>
        <w:t xml:space="preserve"> </w:t>
      </w:r>
      <w:r>
        <w:t>with</w:t>
      </w:r>
      <w:r>
        <w:rPr>
          <w:spacing w:val="-4"/>
        </w:rPr>
        <w:t xml:space="preserve"> </w:t>
      </w:r>
      <w:r>
        <w:t>the</w:t>
      </w:r>
      <w:r>
        <w:rPr>
          <w:spacing w:val="-4"/>
        </w:rPr>
        <w:t xml:space="preserve"> </w:t>
      </w:r>
      <w:r>
        <w:t>program.</w:t>
      </w:r>
      <w:r>
        <w:rPr>
          <w:spacing w:val="-4"/>
        </w:rPr>
        <w:t xml:space="preserve"> </w:t>
      </w:r>
      <w:r>
        <w:t>The</w:t>
      </w:r>
      <w:r>
        <w:rPr>
          <w:spacing w:val="-4"/>
        </w:rPr>
        <w:t xml:space="preserve"> </w:t>
      </w:r>
      <w:r>
        <w:t>Company</w:t>
      </w:r>
      <w:r>
        <w:rPr>
          <w:spacing w:val="-4"/>
        </w:rPr>
        <w:t xml:space="preserve"> </w:t>
      </w:r>
      <w:r>
        <w:t>currently</w:t>
      </w:r>
      <w:r>
        <w:rPr>
          <w:spacing w:val="-4"/>
        </w:rPr>
        <w:t xml:space="preserve"> </w:t>
      </w:r>
      <w:r>
        <w:t>estimates</w:t>
      </w:r>
      <w:r>
        <w:rPr>
          <w:spacing w:val="-4"/>
        </w:rPr>
        <w:t xml:space="preserve"> </w:t>
      </w:r>
      <w:r>
        <w:t>aggregate</w:t>
      </w:r>
      <w:r>
        <w:rPr>
          <w:spacing w:val="-4"/>
        </w:rPr>
        <w:t xml:space="preserve"> </w:t>
      </w:r>
      <w:r>
        <w:t>restructuring</w:t>
      </w:r>
      <w:r>
        <w:rPr>
          <w:spacing w:val="-4"/>
        </w:rPr>
        <w:t xml:space="preserve"> </w:t>
      </w:r>
      <w:r>
        <w:t>charges</w:t>
      </w:r>
      <w:r>
        <w:rPr>
          <w:spacing w:val="-4"/>
        </w:rPr>
        <w:t xml:space="preserve"> </w:t>
      </w:r>
      <w:r>
        <w:t>of</w:t>
      </w:r>
      <w:r>
        <w:rPr>
          <w:spacing w:val="-4"/>
        </w:rPr>
        <w:t xml:space="preserve"> </w:t>
      </w:r>
      <w:r>
        <w:t>approximately</w:t>
      </w:r>
      <w:r>
        <w:rPr>
          <w:spacing w:val="-4"/>
        </w:rPr>
        <w:t xml:space="preserve"> </w:t>
      </w:r>
      <w:r>
        <w:t>$30</w:t>
      </w:r>
      <w:r>
        <w:rPr>
          <w:spacing w:val="-4"/>
        </w:rPr>
        <w:t xml:space="preserve"> </w:t>
      </w:r>
      <w:r>
        <w:t>million</w:t>
      </w:r>
      <w:r>
        <w:rPr>
          <w:spacing w:val="-4"/>
        </w:rPr>
        <w:t xml:space="preserve"> </w:t>
      </w:r>
      <w:r>
        <w:t>to</w:t>
      </w:r>
      <w:r>
        <w:rPr>
          <w:spacing w:val="-4"/>
        </w:rPr>
        <w:t xml:space="preserve"> </w:t>
      </w:r>
      <w:r>
        <w:t>$35 million to be incurred for projects launched in connection with the program. All cash payments are expected to be paid within one year of charges</w:t>
      </w:r>
      <w:r>
        <w:rPr>
          <w:spacing w:val="-2"/>
        </w:rPr>
        <w:t xml:space="preserve"> </w:t>
      </w:r>
      <w:r>
        <w:t>incurred.</w:t>
      </w:r>
    </w:p>
    <w:p w14:paraId="7326C5D9"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C5DA" w14:textId="77777777" w:rsidR="00EF3DFB" w:rsidRDefault="00D27C17">
      <w:pPr>
        <w:spacing w:before="72"/>
        <w:ind w:left="190"/>
        <w:jc w:val="both"/>
        <w:rPr>
          <w:i/>
          <w:sz w:val="20"/>
        </w:rPr>
      </w:pPr>
      <w:r>
        <w:rPr>
          <w:i/>
          <w:sz w:val="20"/>
        </w:rPr>
        <w:lastRenderedPageBreak/>
        <w:t>Accelerated Transformation Plan</w:t>
      </w:r>
    </w:p>
    <w:p w14:paraId="7326C5DB" w14:textId="77777777" w:rsidR="00EF3DFB" w:rsidRDefault="00EF3DFB">
      <w:pPr>
        <w:pStyle w:val="BodyText"/>
        <w:spacing w:before="8"/>
        <w:rPr>
          <w:i/>
          <w:sz w:val="21"/>
        </w:rPr>
      </w:pPr>
    </w:p>
    <w:p w14:paraId="7326C5DC" w14:textId="77777777" w:rsidR="00EF3DFB" w:rsidRDefault="00D27C17">
      <w:pPr>
        <w:pStyle w:val="BodyText"/>
        <w:spacing w:line="249" w:lineRule="auto"/>
        <w:ind w:left="190" w:right="168"/>
        <w:jc w:val="both"/>
      </w:pPr>
      <w:r>
        <w:t>The Company’s ATP, which was initiated during the f</w:t>
      </w:r>
      <w:r>
        <w:t>irst quarter of 2018 and completed at the end of 2019, was designed in part, to divest the Company’s non-core consumer businesses and focus on the realignment of the Company’s management structure and overall cost structure as a result of the completed div</w:t>
      </w:r>
      <w:r>
        <w:t>estitures. Restructuring costs associated with the ATP included employee- related costs, including severance, retirement and other termination benefits, as well as contract termination costs and other costs. Restructuring costs incurred during 2019 and 201</w:t>
      </w:r>
      <w:r>
        <w:t>8 are primarily related to the ATP.</w:t>
      </w:r>
    </w:p>
    <w:p w14:paraId="7326C5DD" w14:textId="77777777" w:rsidR="00EF3DFB" w:rsidRDefault="00EF3DFB">
      <w:pPr>
        <w:pStyle w:val="BodyText"/>
        <w:spacing w:before="3"/>
        <w:rPr>
          <w:sz w:val="21"/>
        </w:rPr>
      </w:pPr>
    </w:p>
    <w:p w14:paraId="7326C5DE" w14:textId="77777777" w:rsidR="00EF3DFB" w:rsidRDefault="00D27C17">
      <w:pPr>
        <w:ind w:left="190"/>
        <w:jc w:val="both"/>
        <w:rPr>
          <w:i/>
          <w:sz w:val="20"/>
        </w:rPr>
      </w:pPr>
      <w:r>
        <w:rPr>
          <w:i/>
          <w:sz w:val="20"/>
        </w:rPr>
        <w:t>Other Restructuring-Related Costs</w:t>
      </w:r>
    </w:p>
    <w:p w14:paraId="7326C5DF" w14:textId="77777777" w:rsidR="00EF3DFB" w:rsidRDefault="00EF3DFB">
      <w:pPr>
        <w:pStyle w:val="BodyText"/>
        <w:spacing w:before="8"/>
        <w:rPr>
          <w:i/>
          <w:sz w:val="21"/>
        </w:rPr>
      </w:pPr>
    </w:p>
    <w:p w14:paraId="7326C5E0" w14:textId="77777777" w:rsidR="00EF3DFB" w:rsidRDefault="00D27C17">
      <w:pPr>
        <w:pStyle w:val="BodyText"/>
        <w:spacing w:line="249" w:lineRule="auto"/>
        <w:ind w:left="190" w:right="170"/>
        <w:jc w:val="both"/>
      </w:pPr>
      <w:r>
        <w:t>The Company regularly incurs other restructuring-related costs in connection with various discrete initiatives which are recorded in</w:t>
      </w:r>
      <w:bookmarkStart w:id="53" w:name="Footnote_5_—_Inventories,_Net"/>
      <w:bookmarkEnd w:id="53"/>
      <w:r>
        <w:t xml:space="preserve"> cost of products sold and SG&amp;A in the Consolidated </w:t>
      </w:r>
      <w:r>
        <w:t>Statements of Operations based on the nature of the underlying costs incurred.</w:t>
      </w:r>
    </w:p>
    <w:p w14:paraId="7326C5E1" w14:textId="77777777" w:rsidR="00EF3DFB" w:rsidRDefault="00EF3DFB">
      <w:pPr>
        <w:pStyle w:val="BodyText"/>
        <w:spacing w:before="9"/>
      </w:pPr>
    </w:p>
    <w:p w14:paraId="7326C5E2" w14:textId="77777777" w:rsidR="00EF3DFB" w:rsidRDefault="00D27C17">
      <w:pPr>
        <w:pStyle w:val="Heading2"/>
      </w:pPr>
      <w:r>
        <w:t>Footnote 5 — Inventories</w:t>
      </w:r>
    </w:p>
    <w:p w14:paraId="7326C5E3" w14:textId="77777777" w:rsidR="00EF3DFB" w:rsidRDefault="00EF3DFB">
      <w:pPr>
        <w:pStyle w:val="BodyText"/>
        <w:spacing w:before="5"/>
        <w:rPr>
          <w:b/>
          <w:sz w:val="32"/>
        </w:rPr>
      </w:pPr>
    </w:p>
    <w:p w14:paraId="7326C5E4" w14:textId="77777777" w:rsidR="00EF3DFB" w:rsidRDefault="00D27C17">
      <w:pPr>
        <w:pStyle w:val="BodyText"/>
        <w:spacing w:line="249" w:lineRule="auto"/>
        <w:ind w:left="190" w:right="168"/>
        <w:jc w:val="both"/>
      </w:pPr>
      <w:r>
        <w:t>Inventories are stated at the lower of cost or net realizable value using the last-in, first-out (LIFO) or first-in, first-out (FIFO) methods. The Com</w:t>
      </w:r>
      <w:r>
        <w:t>pany reduces its inventory value for estimated obsolete and slow-moving inventory in an amount equal to the difference between the cost of inventory and the net realizable value based upon assumptions about future demand and market conditions. If actual ma</w:t>
      </w:r>
      <w:r>
        <w:t>rket conditions are less favorable than those projected by management, additional inventory write-downs may be required.</w:t>
      </w:r>
    </w:p>
    <w:p w14:paraId="7326C5E5" w14:textId="77777777" w:rsidR="00EF3DFB" w:rsidRDefault="00EF3DFB">
      <w:pPr>
        <w:pStyle w:val="BodyText"/>
        <w:spacing w:before="1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7223"/>
        <w:gridCol w:w="1711"/>
        <w:gridCol w:w="434"/>
        <w:gridCol w:w="841"/>
        <w:gridCol w:w="411"/>
      </w:tblGrid>
      <w:tr w:rsidR="00EF3DFB" w14:paraId="7326C5E8" w14:textId="77777777">
        <w:trPr>
          <w:trHeight w:val="267"/>
        </w:trPr>
        <w:tc>
          <w:tcPr>
            <w:tcW w:w="7223" w:type="dxa"/>
          </w:tcPr>
          <w:p w14:paraId="7326C5E6" w14:textId="77777777" w:rsidR="00EF3DFB" w:rsidRDefault="00D27C17">
            <w:pPr>
              <w:pStyle w:val="TableParagraph"/>
              <w:spacing w:line="221" w:lineRule="exact"/>
              <w:rPr>
                <w:sz w:val="20"/>
              </w:rPr>
            </w:pPr>
            <w:r>
              <w:rPr>
                <w:sz w:val="20"/>
              </w:rPr>
              <w:t>The components of inventories were as follows at December 31, (in millions):</w:t>
            </w:r>
          </w:p>
        </w:tc>
        <w:tc>
          <w:tcPr>
            <w:tcW w:w="3397" w:type="dxa"/>
            <w:gridSpan w:val="4"/>
          </w:tcPr>
          <w:p w14:paraId="7326C5E7" w14:textId="77777777" w:rsidR="00EF3DFB" w:rsidRDefault="00EF3DFB">
            <w:pPr>
              <w:pStyle w:val="TableParagraph"/>
              <w:rPr>
                <w:sz w:val="18"/>
              </w:rPr>
            </w:pPr>
          </w:p>
        </w:tc>
      </w:tr>
      <w:tr w:rsidR="00EF3DFB" w14:paraId="7326C5EE" w14:textId="77777777">
        <w:trPr>
          <w:trHeight w:val="242"/>
        </w:trPr>
        <w:tc>
          <w:tcPr>
            <w:tcW w:w="7223" w:type="dxa"/>
          </w:tcPr>
          <w:p w14:paraId="7326C5E9" w14:textId="77777777" w:rsidR="00EF3DFB" w:rsidRDefault="00EF3DFB">
            <w:pPr>
              <w:pStyle w:val="TableParagraph"/>
              <w:rPr>
                <w:sz w:val="16"/>
              </w:rPr>
            </w:pPr>
          </w:p>
        </w:tc>
        <w:tc>
          <w:tcPr>
            <w:tcW w:w="1711" w:type="dxa"/>
            <w:tcBorders>
              <w:bottom w:val="single" w:sz="8" w:space="0" w:color="000000"/>
            </w:tcBorders>
          </w:tcPr>
          <w:p w14:paraId="7326C5EA" w14:textId="77777777" w:rsidR="00EF3DFB" w:rsidRDefault="00D27C17">
            <w:pPr>
              <w:pStyle w:val="TableParagraph"/>
              <w:spacing w:before="38" w:line="184" w:lineRule="exact"/>
              <w:ind w:right="28"/>
              <w:jc w:val="right"/>
              <w:rPr>
                <w:b/>
                <w:sz w:val="16"/>
              </w:rPr>
            </w:pPr>
            <w:r>
              <w:rPr>
                <w:b/>
                <w:sz w:val="16"/>
              </w:rPr>
              <w:t>2020</w:t>
            </w:r>
          </w:p>
        </w:tc>
        <w:tc>
          <w:tcPr>
            <w:tcW w:w="434" w:type="dxa"/>
            <w:tcBorders>
              <w:bottom w:val="single" w:sz="8" w:space="0" w:color="000000"/>
            </w:tcBorders>
          </w:tcPr>
          <w:p w14:paraId="7326C5EB" w14:textId="77777777" w:rsidR="00EF3DFB" w:rsidRDefault="00EF3DFB">
            <w:pPr>
              <w:pStyle w:val="TableParagraph"/>
              <w:rPr>
                <w:sz w:val="16"/>
              </w:rPr>
            </w:pPr>
          </w:p>
        </w:tc>
        <w:tc>
          <w:tcPr>
            <w:tcW w:w="841" w:type="dxa"/>
            <w:tcBorders>
              <w:bottom w:val="single" w:sz="8" w:space="0" w:color="000000"/>
            </w:tcBorders>
          </w:tcPr>
          <w:p w14:paraId="7326C5EC" w14:textId="77777777" w:rsidR="00EF3DFB" w:rsidRDefault="00D27C17">
            <w:pPr>
              <w:pStyle w:val="TableParagraph"/>
              <w:spacing w:before="38" w:line="184" w:lineRule="exact"/>
              <w:ind w:left="492"/>
              <w:rPr>
                <w:b/>
                <w:sz w:val="16"/>
              </w:rPr>
            </w:pPr>
            <w:r>
              <w:rPr>
                <w:b/>
                <w:sz w:val="16"/>
              </w:rPr>
              <w:t>2019</w:t>
            </w:r>
          </w:p>
        </w:tc>
        <w:tc>
          <w:tcPr>
            <w:tcW w:w="411" w:type="dxa"/>
            <w:tcBorders>
              <w:bottom w:val="single" w:sz="8" w:space="0" w:color="000000"/>
            </w:tcBorders>
          </w:tcPr>
          <w:p w14:paraId="7326C5ED" w14:textId="77777777" w:rsidR="00EF3DFB" w:rsidRDefault="00EF3DFB">
            <w:pPr>
              <w:pStyle w:val="TableParagraph"/>
              <w:rPr>
                <w:sz w:val="16"/>
              </w:rPr>
            </w:pPr>
          </w:p>
        </w:tc>
      </w:tr>
      <w:tr w:rsidR="00EF3DFB" w14:paraId="7326C5F4" w14:textId="77777777">
        <w:trPr>
          <w:trHeight w:val="275"/>
        </w:trPr>
        <w:tc>
          <w:tcPr>
            <w:tcW w:w="7223" w:type="dxa"/>
            <w:shd w:val="clear" w:color="auto" w:fill="CCEDFF"/>
          </w:tcPr>
          <w:p w14:paraId="7326C5EF" w14:textId="77777777" w:rsidR="00EF3DFB" w:rsidRDefault="00D27C17">
            <w:pPr>
              <w:pStyle w:val="TableParagraph"/>
              <w:spacing w:line="224" w:lineRule="exact"/>
              <w:ind w:left="52"/>
              <w:rPr>
                <w:sz w:val="20"/>
              </w:rPr>
            </w:pPr>
            <w:r>
              <w:rPr>
                <w:sz w:val="20"/>
              </w:rPr>
              <w:t>Raw materials and supplies</w:t>
            </w:r>
          </w:p>
        </w:tc>
        <w:tc>
          <w:tcPr>
            <w:tcW w:w="1711" w:type="dxa"/>
            <w:tcBorders>
              <w:top w:val="single" w:sz="8" w:space="0" w:color="000000"/>
            </w:tcBorders>
            <w:shd w:val="clear" w:color="auto" w:fill="CCEDFF"/>
          </w:tcPr>
          <w:p w14:paraId="7326C5F0" w14:textId="77777777" w:rsidR="00EF3DFB" w:rsidRDefault="00D27C17">
            <w:pPr>
              <w:pStyle w:val="TableParagraph"/>
              <w:spacing w:before="15"/>
              <w:ind w:left="338"/>
              <w:jc w:val="center"/>
              <w:rPr>
                <w:sz w:val="20"/>
              </w:rPr>
            </w:pPr>
            <w:r>
              <w:rPr>
                <w:sz w:val="20"/>
              </w:rPr>
              <w:t>$</w:t>
            </w:r>
          </w:p>
        </w:tc>
        <w:tc>
          <w:tcPr>
            <w:tcW w:w="434" w:type="dxa"/>
            <w:tcBorders>
              <w:top w:val="single" w:sz="8" w:space="0" w:color="000000"/>
            </w:tcBorders>
            <w:shd w:val="clear" w:color="auto" w:fill="CCEDFF"/>
          </w:tcPr>
          <w:p w14:paraId="7326C5F1" w14:textId="77777777" w:rsidR="00EF3DFB" w:rsidRDefault="00D27C17">
            <w:pPr>
              <w:pStyle w:val="TableParagraph"/>
              <w:spacing w:before="15"/>
              <w:ind w:left="29"/>
              <w:rPr>
                <w:sz w:val="20"/>
              </w:rPr>
            </w:pPr>
            <w:r>
              <w:rPr>
                <w:sz w:val="20"/>
              </w:rPr>
              <w:t>252</w:t>
            </w:r>
          </w:p>
        </w:tc>
        <w:tc>
          <w:tcPr>
            <w:tcW w:w="841" w:type="dxa"/>
            <w:tcBorders>
              <w:top w:val="single" w:sz="8" w:space="0" w:color="000000"/>
            </w:tcBorders>
            <w:shd w:val="clear" w:color="auto" w:fill="CCEDFF"/>
          </w:tcPr>
          <w:p w14:paraId="7326C5F2" w14:textId="77777777" w:rsidR="00EF3DFB" w:rsidRDefault="00D27C17">
            <w:pPr>
              <w:pStyle w:val="TableParagraph"/>
              <w:spacing w:before="15"/>
              <w:ind w:left="104"/>
              <w:rPr>
                <w:sz w:val="20"/>
              </w:rPr>
            </w:pPr>
            <w:r>
              <w:rPr>
                <w:sz w:val="20"/>
              </w:rPr>
              <w:t>$</w:t>
            </w:r>
          </w:p>
        </w:tc>
        <w:tc>
          <w:tcPr>
            <w:tcW w:w="411" w:type="dxa"/>
            <w:tcBorders>
              <w:top w:val="single" w:sz="8" w:space="0" w:color="000000"/>
            </w:tcBorders>
            <w:shd w:val="clear" w:color="auto" w:fill="CCEDFF"/>
          </w:tcPr>
          <w:p w14:paraId="7326C5F3" w14:textId="77777777" w:rsidR="00EF3DFB" w:rsidRDefault="00D27C17">
            <w:pPr>
              <w:pStyle w:val="TableParagraph"/>
              <w:spacing w:before="15"/>
              <w:ind w:left="29"/>
              <w:rPr>
                <w:sz w:val="20"/>
              </w:rPr>
            </w:pPr>
            <w:r>
              <w:rPr>
                <w:sz w:val="20"/>
              </w:rPr>
              <w:t>231</w:t>
            </w:r>
          </w:p>
        </w:tc>
      </w:tr>
      <w:tr w:rsidR="00EF3DFB" w14:paraId="7326C5FA" w14:textId="77777777">
        <w:trPr>
          <w:trHeight w:val="297"/>
        </w:trPr>
        <w:tc>
          <w:tcPr>
            <w:tcW w:w="7223" w:type="dxa"/>
          </w:tcPr>
          <w:p w14:paraId="7326C5F5" w14:textId="77777777" w:rsidR="00EF3DFB" w:rsidRDefault="00D27C17">
            <w:pPr>
              <w:pStyle w:val="TableParagraph"/>
              <w:spacing w:before="4"/>
              <w:ind w:left="52"/>
              <w:rPr>
                <w:sz w:val="20"/>
              </w:rPr>
            </w:pPr>
            <w:r>
              <w:rPr>
                <w:sz w:val="20"/>
              </w:rPr>
              <w:t>Work-in-process</w:t>
            </w:r>
          </w:p>
        </w:tc>
        <w:tc>
          <w:tcPr>
            <w:tcW w:w="1711" w:type="dxa"/>
          </w:tcPr>
          <w:p w14:paraId="7326C5F6" w14:textId="77777777" w:rsidR="00EF3DFB" w:rsidRDefault="00EF3DFB">
            <w:pPr>
              <w:pStyle w:val="TableParagraph"/>
              <w:rPr>
                <w:sz w:val="18"/>
              </w:rPr>
            </w:pPr>
          </w:p>
        </w:tc>
        <w:tc>
          <w:tcPr>
            <w:tcW w:w="434" w:type="dxa"/>
          </w:tcPr>
          <w:p w14:paraId="7326C5F7" w14:textId="77777777" w:rsidR="00EF3DFB" w:rsidRDefault="00D27C17">
            <w:pPr>
              <w:pStyle w:val="TableParagraph"/>
              <w:spacing w:before="25"/>
              <w:ind w:left="29"/>
              <w:rPr>
                <w:sz w:val="20"/>
              </w:rPr>
            </w:pPr>
            <w:r>
              <w:rPr>
                <w:sz w:val="20"/>
              </w:rPr>
              <w:t>157</w:t>
            </w:r>
          </w:p>
        </w:tc>
        <w:tc>
          <w:tcPr>
            <w:tcW w:w="841" w:type="dxa"/>
          </w:tcPr>
          <w:p w14:paraId="7326C5F8" w14:textId="77777777" w:rsidR="00EF3DFB" w:rsidRDefault="00EF3DFB">
            <w:pPr>
              <w:pStyle w:val="TableParagraph"/>
              <w:rPr>
                <w:sz w:val="18"/>
              </w:rPr>
            </w:pPr>
          </w:p>
        </w:tc>
        <w:tc>
          <w:tcPr>
            <w:tcW w:w="411" w:type="dxa"/>
          </w:tcPr>
          <w:p w14:paraId="7326C5F9" w14:textId="77777777" w:rsidR="00EF3DFB" w:rsidRDefault="00D27C17">
            <w:pPr>
              <w:pStyle w:val="TableParagraph"/>
              <w:spacing w:before="25"/>
              <w:ind w:left="29"/>
              <w:rPr>
                <w:sz w:val="20"/>
              </w:rPr>
            </w:pPr>
            <w:r>
              <w:rPr>
                <w:sz w:val="20"/>
              </w:rPr>
              <w:t>135</w:t>
            </w:r>
          </w:p>
        </w:tc>
      </w:tr>
      <w:tr w:rsidR="00EF3DFB" w14:paraId="7326C5FE" w14:textId="77777777">
        <w:trPr>
          <w:trHeight w:val="262"/>
        </w:trPr>
        <w:tc>
          <w:tcPr>
            <w:tcW w:w="7223" w:type="dxa"/>
            <w:shd w:val="clear" w:color="auto" w:fill="CCEDFF"/>
          </w:tcPr>
          <w:p w14:paraId="7326C5FB" w14:textId="77777777" w:rsidR="00EF3DFB" w:rsidRDefault="00D27C17">
            <w:pPr>
              <w:pStyle w:val="TableParagraph"/>
              <w:spacing w:before="4"/>
              <w:ind w:left="52"/>
              <w:rPr>
                <w:sz w:val="20"/>
              </w:rPr>
            </w:pPr>
            <w:r>
              <w:rPr>
                <w:sz w:val="20"/>
              </w:rPr>
              <w:t>Finished products</w:t>
            </w:r>
          </w:p>
        </w:tc>
        <w:tc>
          <w:tcPr>
            <w:tcW w:w="2145" w:type="dxa"/>
            <w:gridSpan w:val="2"/>
            <w:shd w:val="clear" w:color="auto" w:fill="CCEDFF"/>
          </w:tcPr>
          <w:p w14:paraId="7326C5FC" w14:textId="77777777" w:rsidR="00EF3DFB" w:rsidRDefault="00D27C17">
            <w:pPr>
              <w:pStyle w:val="TableParagraph"/>
              <w:spacing w:before="25" w:line="230" w:lineRule="exact"/>
              <w:ind w:right="102"/>
              <w:jc w:val="right"/>
              <w:rPr>
                <w:sz w:val="20"/>
              </w:rPr>
            </w:pPr>
            <w:r>
              <w:rPr>
                <w:sz w:val="20"/>
              </w:rPr>
              <w:t>1,229</w:t>
            </w:r>
          </w:p>
        </w:tc>
        <w:tc>
          <w:tcPr>
            <w:tcW w:w="1252" w:type="dxa"/>
            <w:gridSpan w:val="2"/>
            <w:tcBorders>
              <w:bottom w:val="single" w:sz="8" w:space="0" w:color="000000"/>
            </w:tcBorders>
            <w:shd w:val="clear" w:color="auto" w:fill="CCEDFF"/>
          </w:tcPr>
          <w:p w14:paraId="7326C5FD" w14:textId="77777777" w:rsidR="00EF3DFB" w:rsidRDefault="00D27C17">
            <w:pPr>
              <w:pStyle w:val="TableParagraph"/>
              <w:spacing w:before="25" w:line="230" w:lineRule="exact"/>
              <w:ind w:left="720"/>
              <w:rPr>
                <w:sz w:val="20"/>
              </w:rPr>
            </w:pPr>
            <w:r>
              <w:rPr>
                <w:sz w:val="20"/>
              </w:rPr>
              <w:t>1,240</w:t>
            </w:r>
          </w:p>
        </w:tc>
      </w:tr>
      <w:tr w:rsidR="00EF3DFB" w14:paraId="7326C602" w14:textId="77777777">
        <w:trPr>
          <w:trHeight w:val="305"/>
        </w:trPr>
        <w:tc>
          <w:tcPr>
            <w:tcW w:w="7223" w:type="dxa"/>
          </w:tcPr>
          <w:p w14:paraId="7326C5FF" w14:textId="77777777" w:rsidR="00EF3DFB" w:rsidRDefault="00EF3DFB">
            <w:pPr>
              <w:pStyle w:val="TableParagraph"/>
              <w:rPr>
                <w:sz w:val="18"/>
              </w:rPr>
            </w:pPr>
          </w:p>
        </w:tc>
        <w:tc>
          <w:tcPr>
            <w:tcW w:w="2145" w:type="dxa"/>
            <w:gridSpan w:val="2"/>
          </w:tcPr>
          <w:p w14:paraId="7326C600" w14:textId="77777777" w:rsidR="00EF3DFB" w:rsidRDefault="00D27C17">
            <w:pPr>
              <w:pStyle w:val="TableParagraph"/>
              <w:tabs>
                <w:tab w:val="left" w:pos="1590"/>
              </w:tabs>
              <w:spacing w:before="15"/>
              <w:ind w:left="974"/>
              <w:rPr>
                <w:sz w:val="20"/>
              </w:rPr>
            </w:pPr>
            <w:r>
              <w:rPr>
                <w:sz w:val="20"/>
                <w:u w:val="single"/>
              </w:rPr>
              <w:t>$</w:t>
            </w:r>
            <w:r>
              <w:rPr>
                <w:sz w:val="20"/>
                <w:u w:val="single"/>
              </w:rPr>
              <w:tab/>
              <w:t>1,638</w:t>
            </w:r>
          </w:p>
        </w:tc>
        <w:tc>
          <w:tcPr>
            <w:tcW w:w="1252" w:type="dxa"/>
            <w:gridSpan w:val="2"/>
            <w:tcBorders>
              <w:top w:val="single" w:sz="8" w:space="0" w:color="000000"/>
            </w:tcBorders>
          </w:tcPr>
          <w:p w14:paraId="7326C601" w14:textId="77777777" w:rsidR="00EF3DFB" w:rsidRDefault="00D27C17">
            <w:pPr>
              <w:pStyle w:val="TableParagraph"/>
              <w:tabs>
                <w:tab w:val="left" w:pos="720"/>
              </w:tabs>
              <w:spacing w:before="15"/>
              <w:ind w:left="104"/>
              <w:rPr>
                <w:sz w:val="20"/>
              </w:rPr>
            </w:pPr>
            <w:r>
              <w:rPr>
                <w:sz w:val="20"/>
                <w:u w:val="single"/>
              </w:rPr>
              <w:t>$</w:t>
            </w:r>
            <w:r>
              <w:rPr>
                <w:sz w:val="20"/>
                <w:u w:val="single"/>
              </w:rPr>
              <w:tab/>
              <w:t>1,606</w:t>
            </w:r>
          </w:p>
        </w:tc>
      </w:tr>
    </w:tbl>
    <w:p w14:paraId="7326C603" w14:textId="5204A77D" w:rsidR="00EF3DFB" w:rsidRDefault="00D27C17">
      <w:pPr>
        <w:spacing w:line="20" w:lineRule="exact"/>
        <w:ind w:left="8325"/>
        <w:rPr>
          <w:sz w:val="2"/>
        </w:rPr>
      </w:pPr>
      <w:r>
        <w:rPr>
          <w:noProof/>
          <w:sz w:val="2"/>
        </w:rPr>
        <mc:AlternateContent>
          <mc:Choice Requires="wpg">
            <w:drawing>
              <wp:inline distT="0" distB="0" distL="0" distR="0" wp14:anchorId="7326D72B" wp14:editId="2F00F004">
                <wp:extent cx="762000" cy="12700"/>
                <wp:effectExtent l="12700" t="4445" r="6350" b="1905"/>
                <wp:docPr id="358"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59" name="Line 342"/>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EB0C68" id="Group 341"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">
                <v:line id="Line 342"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2D" wp14:editId="404053D2">
                <wp:extent cx="762000" cy="12700"/>
                <wp:effectExtent l="12700" t="4445" r="6350" b="1905"/>
                <wp:docPr id="356"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57" name="Line 340"/>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9F9566" id="Group 339"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DNg8ItJwIAANsEAAAOAAAAAAAAAAAAAAAAAC4CAABkcnMvZTJvRG9jLnht&#10;bFBLAQItABQABgAIAAAAIQDqJm4U2QAAAAMBAAAPAAAAAAAAAAAAAAAAAIEEAABkcnMvZG93bnJl&#10;di54bWxQSwUGAAAAAAQABADzAAAAhwUAAAAA&#10;">
                <v:line id="Line 340"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QAAANwAAAAPAAAAZHJzL2Rvd25yZXYueG1sRI/dagIx&#10;FITvhb5DOAXvataK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DRXn/vxQAAANwAAAAP&#10;AAAAAAAAAAAAAAAAAAcCAABkcnMvZG93bnJldi54bWxQSwUGAAAAAAMAAwC3AAAA+QIAAAAA&#10;" strokeweight="1pt"/>
                <w10:anchorlock/>
              </v:group>
            </w:pict>
          </mc:Fallback>
        </mc:AlternateContent>
      </w:r>
    </w:p>
    <w:p w14:paraId="7326C604" w14:textId="77777777" w:rsidR="00EF3DFB" w:rsidRDefault="00EF3DFB">
      <w:pPr>
        <w:pStyle w:val="BodyText"/>
        <w:rPr>
          <w:sz w:val="21"/>
        </w:rPr>
      </w:pPr>
    </w:p>
    <w:p w14:paraId="7326C605" w14:textId="77777777" w:rsidR="00EF3DFB" w:rsidRDefault="00D27C17">
      <w:pPr>
        <w:pStyle w:val="BodyText"/>
        <w:spacing w:line="249" w:lineRule="auto"/>
        <w:ind w:left="190" w:right="168"/>
        <w:jc w:val="both"/>
      </w:pPr>
      <w:r>
        <w:t>Inventory costs include direct materials, direct labor and manufacturing overhead, or when finished goods are sourced, the cost is the amount paid to the third party. Approximately 24.9% and 22.8% of gross inventory costs at December 31, 2020 and 2019, res</w:t>
      </w:r>
      <w:r>
        <w:t>pectively, were determined by the LIFO method; for the balance, cost was determined using the FIFO method. At December 31, 2020 and 2019, LIFO reserves were contra-assets of $8 million and $14 million, respectively. The pre-tax expense from continuing oper</w:t>
      </w:r>
      <w:r>
        <w:t>ations</w:t>
      </w:r>
      <w:r>
        <w:rPr>
          <w:spacing w:val="2"/>
        </w:rPr>
        <w:t xml:space="preserve"> </w:t>
      </w:r>
      <w:r>
        <w:t>recognized</w:t>
      </w:r>
      <w:r>
        <w:rPr>
          <w:spacing w:val="3"/>
        </w:rPr>
        <w:t xml:space="preserve"> </w:t>
      </w:r>
      <w:r>
        <w:t>by</w:t>
      </w:r>
      <w:r>
        <w:rPr>
          <w:spacing w:val="3"/>
        </w:rPr>
        <w:t xml:space="preserve"> </w:t>
      </w:r>
      <w:r>
        <w:t>the</w:t>
      </w:r>
      <w:r>
        <w:rPr>
          <w:spacing w:val="2"/>
        </w:rPr>
        <w:t xml:space="preserve"> </w:t>
      </w:r>
      <w:r>
        <w:t>Company</w:t>
      </w:r>
      <w:r>
        <w:rPr>
          <w:spacing w:val="3"/>
        </w:rPr>
        <w:t xml:space="preserve"> </w:t>
      </w:r>
      <w:r>
        <w:t>related</w:t>
      </w:r>
      <w:r>
        <w:rPr>
          <w:spacing w:val="3"/>
        </w:rPr>
        <w:t xml:space="preserve"> </w:t>
      </w:r>
      <w:r>
        <w:t>to</w:t>
      </w:r>
      <w:r>
        <w:rPr>
          <w:spacing w:val="3"/>
        </w:rPr>
        <w:t xml:space="preserve"> </w:t>
      </w:r>
      <w:r>
        <w:t>the</w:t>
      </w:r>
      <w:r>
        <w:rPr>
          <w:spacing w:val="2"/>
        </w:rPr>
        <w:t xml:space="preserve"> </w:t>
      </w:r>
      <w:r>
        <w:t>liquidation</w:t>
      </w:r>
      <w:r>
        <w:rPr>
          <w:spacing w:val="3"/>
        </w:rPr>
        <w:t xml:space="preserve"> </w:t>
      </w:r>
      <w:r>
        <w:t>of</w:t>
      </w:r>
      <w:r>
        <w:rPr>
          <w:spacing w:val="3"/>
        </w:rPr>
        <w:t xml:space="preserve"> </w:t>
      </w:r>
      <w:r>
        <w:t>LIFO-based</w:t>
      </w:r>
      <w:r>
        <w:rPr>
          <w:spacing w:val="3"/>
        </w:rPr>
        <w:t xml:space="preserve"> </w:t>
      </w:r>
      <w:r>
        <w:t>inventories</w:t>
      </w:r>
      <w:r>
        <w:rPr>
          <w:spacing w:val="2"/>
        </w:rPr>
        <w:t xml:space="preserve"> </w:t>
      </w:r>
      <w:r>
        <w:t>were</w:t>
      </w:r>
      <w:r>
        <w:rPr>
          <w:spacing w:val="2"/>
        </w:rPr>
        <w:t xml:space="preserve"> </w:t>
      </w:r>
      <w:r>
        <w:t>immaterial</w:t>
      </w:r>
      <w:r>
        <w:rPr>
          <w:spacing w:val="2"/>
        </w:rPr>
        <w:t xml:space="preserve"> </w:t>
      </w:r>
      <w:r>
        <w:t>in</w:t>
      </w:r>
      <w:r>
        <w:rPr>
          <w:spacing w:val="3"/>
        </w:rPr>
        <w:t xml:space="preserve"> </w:t>
      </w:r>
      <w:r>
        <w:t>2020</w:t>
      </w:r>
      <w:r>
        <w:rPr>
          <w:spacing w:val="3"/>
        </w:rPr>
        <w:t xml:space="preserve"> </w:t>
      </w:r>
      <w:r>
        <w:t>and</w:t>
      </w:r>
      <w:r>
        <w:rPr>
          <w:spacing w:val="3"/>
        </w:rPr>
        <w:t xml:space="preserve"> </w:t>
      </w:r>
      <w:r>
        <w:t>2018,</w:t>
      </w:r>
      <w:r>
        <w:rPr>
          <w:spacing w:val="3"/>
        </w:rPr>
        <w:t xml:space="preserve"> </w:t>
      </w:r>
      <w:r>
        <w:t>and</w:t>
      </w:r>
    </w:p>
    <w:p w14:paraId="7326C606" w14:textId="77777777" w:rsidR="00EF3DFB" w:rsidRDefault="00D27C17">
      <w:pPr>
        <w:pStyle w:val="BodyText"/>
        <w:spacing w:before="4"/>
        <w:ind w:left="190"/>
        <w:jc w:val="both"/>
      </w:pPr>
      <w:bookmarkStart w:id="54" w:name="Footnote_6_—_Property,_Plant_&amp;_Equipment"/>
      <w:bookmarkEnd w:id="54"/>
      <w:r>
        <w:t>$3 million in 2019.</w:t>
      </w:r>
    </w:p>
    <w:p w14:paraId="7326C607" w14:textId="77777777" w:rsidR="00EF3DFB" w:rsidRDefault="00EF3DFB">
      <w:pPr>
        <w:pStyle w:val="BodyText"/>
        <w:spacing w:before="5"/>
        <w:rPr>
          <w:sz w:val="21"/>
        </w:rPr>
      </w:pPr>
    </w:p>
    <w:p w14:paraId="7326C608" w14:textId="77777777" w:rsidR="00EF3DFB" w:rsidRDefault="00D27C17">
      <w:pPr>
        <w:pStyle w:val="Heading2"/>
        <w:spacing w:before="1"/>
      </w:pPr>
      <w:r>
        <w:t>Footnote 6 — Property, Plant and Equipment, Net</w:t>
      </w:r>
    </w:p>
    <w:p w14:paraId="7326C609" w14:textId="77777777" w:rsidR="00EF3DFB" w:rsidRDefault="00EF3DFB">
      <w:pPr>
        <w:pStyle w:val="BodyText"/>
        <w:spacing w:before="5"/>
        <w:rPr>
          <w:b/>
          <w:sz w:val="32"/>
        </w:rPr>
      </w:pPr>
    </w:p>
    <w:p w14:paraId="7326C60A" w14:textId="77777777" w:rsidR="00EF3DFB" w:rsidRDefault="00D27C17">
      <w:pPr>
        <w:pStyle w:val="BodyText"/>
        <w:spacing w:line="249" w:lineRule="auto"/>
        <w:ind w:left="190" w:right="169"/>
        <w:jc w:val="both"/>
      </w:pPr>
      <w:r>
        <w:t>Property, plant and equipment are stated at cost. Expenditures</w:t>
      </w:r>
      <w:r>
        <w:t xml:space="preserve"> for maintenance and repairs are expensed as incurred. Depreciation expense is calculated principally on the straight-line basis. Useful lives determined by the Company are as follows: buildings and improvements (20 - 40 years) and machinery and equipment </w:t>
      </w:r>
      <w:r>
        <w:t>(3 - 15 years).</w:t>
      </w:r>
    </w:p>
    <w:p w14:paraId="7326C60B" w14:textId="77777777" w:rsidR="00EF3DFB" w:rsidRDefault="00EF3DFB">
      <w:pPr>
        <w:pStyle w:val="BodyText"/>
        <w:spacing w:before="9"/>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7803"/>
        <w:gridCol w:w="1598"/>
        <w:gridCol w:w="1219"/>
      </w:tblGrid>
      <w:tr w:rsidR="00EF3DFB" w14:paraId="7326C60E" w14:textId="77777777">
        <w:trPr>
          <w:trHeight w:val="317"/>
        </w:trPr>
        <w:tc>
          <w:tcPr>
            <w:tcW w:w="7803" w:type="dxa"/>
          </w:tcPr>
          <w:p w14:paraId="7326C60C" w14:textId="77777777" w:rsidR="00EF3DFB" w:rsidRDefault="00D27C17">
            <w:pPr>
              <w:pStyle w:val="TableParagraph"/>
              <w:spacing w:line="221" w:lineRule="exact"/>
              <w:rPr>
                <w:sz w:val="20"/>
              </w:rPr>
            </w:pPr>
            <w:r>
              <w:rPr>
                <w:sz w:val="20"/>
              </w:rPr>
              <w:t>Property, plant and equipment, net, consisted of the following at December 31, (in millions):</w:t>
            </w:r>
          </w:p>
        </w:tc>
        <w:tc>
          <w:tcPr>
            <w:tcW w:w="2817" w:type="dxa"/>
            <w:gridSpan w:val="2"/>
          </w:tcPr>
          <w:p w14:paraId="7326C60D" w14:textId="77777777" w:rsidR="00EF3DFB" w:rsidRDefault="00EF3DFB">
            <w:pPr>
              <w:pStyle w:val="TableParagraph"/>
              <w:rPr>
                <w:sz w:val="18"/>
              </w:rPr>
            </w:pPr>
          </w:p>
        </w:tc>
      </w:tr>
      <w:tr w:rsidR="00EF3DFB" w14:paraId="7326C612" w14:textId="77777777">
        <w:trPr>
          <w:trHeight w:val="292"/>
        </w:trPr>
        <w:tc>
          <w:tcPr>
            <w:tcW w:w="7803" w:type="dxa"/>
          </w:tcPr>
          <w:p w14:paraId="7326C60F" w14:textId="77777777" w:rsidR="00EF3DFB" w:rsidRDefault="00EF3DFB">
            <w:pPr>
              <w:pStyle w:val="TableParagraph"/>
              <w:rPr>
                <w:sz w:val="18"/>
              </w:rPr>
            </w:pPr>
          </w:p>
        </w:tc>
        <w:tc>
          <w:tcPr>
            <w:tcW w:w="1598" w:type="dxa"/>
            <w:tcBorders>
              <w:bottom w:val="single" w:sz="8" w:space="0" w:color="000000"/>
            </w:tcBorders>
          </w:tcPr>
          <w:p w14:paraId="7326C610" w14:textId="77777777" w:rsidR="00EF3DFB" w:rsidRDefault="00D27C17">
            <w:pPr>
              <w:pStyle w:val="TableParagraph"/>
              <w:spacing w:before="88" w:line="184" w:lineRule="exact"/>
              <w:ind w:left="782"/>
              <w:rPr>
                <w:b/>
                <w:sz w:val="16"/>
              </w:rPr>
            </w:pPr>
            <w:r>
              <w:rPr>
                <w:b/>
                <w:sz w:val="16"/>
              </w:rPr>
              <w:t>2020</w:t>
            </w:r>
          </w:p>
        </w:tc>
        <w:tc>
          <w:tcPr>
            <w:tcW w:w="1219" w:type="dxa"/>
            <w:tcBorders>
              <w:bottom w:val="single" w:sz="8" w:space="0" w:color="000000"/>
            </w:tcBorders>
          </w:tcPr>
          <w:p w14:paraId="7326C611" w14:textId="77777777" w:rsidR="00EF3DFB" w:rsidRDefault="00D27C17">
            <w:pPr>
              <w:pStyle w:val="TableParagraph"/>
              <w:spacing w:before="88" w:line="184" w:lineRule="exact"/>
              <w:ind w:left="438" w:right="419"/>
              <w:jc w:val="center"/>
              <w:rPr>
                <w:b/>
                <w:sz w:val="16"/>
              </w:rPr>
            </w:pPr>
            <w:r>
              <w:rPr>
                <w:b/>
                <w:sz w:val="16"/>
              </w:rPr>
              <w:t>2019</w:t>
            </w:r>
          </w:p>
        </w:tc>
      </w:tr>
      <w:tr w:rsidR="00EF3DFB" w14:paraId="7326C616" w14:textId="77777777">
        <w:trPr>
          <w:trHeight w:val="275"/>
        </w:trPr>
        <w:tc>
          <w:tcPr>
            <w:tcW w:w="7803" w:type="dxa"/>
            <w:shd w:val="clear" w:color="auto" w:fill="CCEDFF"/>
          </w:tcPr>
          <w:p w14:paraId="7326C613" w14:textId="77777777" w:rsidR="00EF3DFB" w:rsidRDefault="00D27C17">
            <w:pPr>
              <w:pStyle w:val="TableParagraph"/>
              <w:spacing w:line="224" w:lineRule="exact"/>
              <w:ind w:left="52"/>
              <w:rPr>
                <w:sz w:val="20"/>
              </w:rPr>
            </w:pPr>
            <w:r>
              <w:rPr>
                <w:sz w:val="20"/>
              </w:rPr>
              <w:t>Land</w:t>
            </w:r>
          </w:p>
        </w:tc>
        <w:tc>
          <w:tcPr>
            <w:tcW w:w="1598" w:type="dxa"/>
            <w:tcBorders>
              <w:top w:val="single" w:sz="8" w:space="0" w:color="000000"/>
            </w:tcBorders>
            <w:shd w:val="clear" w:color="auto" w:fill="CCEDFF"/>
          </w:tcPr>
          <w:p w14:paraId="7326C614" w14:textId="77777777" w:rsidR="00EF3DFB" w:rsidRDefault="00D27C17">
            <w:pPr>
              <w:pStyle w:val="TableParagraph"/>
              <w:tabs>
                <w:tab w:val="left" w:pos="1260"/>
              </w:tabs>
              <w:spacing w:before="15"/>
              <w:ind w:left="394"/>
              <w:rPr>
                <w:sz w:val="20"/>
              </w:rPr>
            </w:pPr>
            <w:r>
              <w:rPr>
                <w:sz w:val="20"/>
              </w:rPr>
              <w:t>$</w:t>
            </w:r>
            <w:r>
              <w:rPr>
                <w:sz w:val="20"/>
              </w:rPr>
              <w:tab/>
              <w:t>86</w:t>
            </w:r>
          </w:p>
        </w:tc>
        <w:tc>
          <w:tcPr>
            <w:tcW w:w="1219" w:type="dxa"/>
            <w:tcBorders>
              <w:top w:val="single" w:sz="8" w:space="0" w:color="000000"/>
            </w:tcBorders>
            <w:shd w:val="clear" w:color="auto" w:fill="CCEDFF"/>
          </w:tcPr>
          <w:p w14:paraId="7326C615" w14:textId="77777777" w:rsidR="00EF3DFB" w:rsidRDefault="00D27C17">
            <w:pPr>
              <w:pStyle w:val="TableParagraph"/>
              <w:tabs>
                <w:tab w:val="left" w:pos="937"/>
              </w:tabs>
              <w:spacing w:before="15"/>
              <w:ind w:left="71"/>
              <w:rPr>
                <w:sz w:val="20"/>
              </w:rPr>
            </w:pPr>
            <w:r>
              <w:rPr>
                <w:sz w:val="20"/>
              </w:rPr>
              <w:t>$</w:t>
            </w:r>
            <w:r>
              <w:rPr>
                <w:sz w:val="20"/>
              </w:rPr>
              <w:tab/>
              <w:t>86</w:t>
            </w:r>
          </w:p>
        </w:tc>
      </w:tr>
      <w:tr w:rsidR="00EF3DFB" w14:paraId="7326C61A" w14:textId="77777777">
        <w:trPr>
          <w:trHeight w:val="285"/>
        </w:trPr>
        <w:tc>
          <w:tcPr>
            <w:tcW w:w="7803" w:type="dxa"/>
          </w:tcPr>
          <w:p w14:paraId="7326C617" w14:textId="77777777" w:rsidR="00EF3DFB" w:rsidRDefault="00D27C17">
            <w:pPr>
              <w:pStyle w:val="TableParagraph"/>
              <w:spacing w:before="4"/>
              <w:ind w:left="52"/>
              <w:rPr>
                <w:sz w:val="20"/>
              </w:rPr>
            </w:pPr>
            <w:r>
              <w:rPr>
                <w:sz w:val="20"/>
              </w:rPr>
              <w:t>Buildings and improvements</w:t>
            </w:r>
          </w:p>
        </w:tc>
        <w:tc>
          <w:tcPr>
            <w:tcW w:w="1598" w:type="dxa"/>
          </w:tcPr>
          <w:p w14:paraId="7326C618" w14:textId="77777777" w:rsidR="00EF3DFB" w:rsidRDefault="00D27C17">
            <w:pPr>
              <w:pStyle w:val="TableParagraph"/>
              <w:spacing w:before="25"/>
              <w:ind w:right="135"/>
              <w:jc w:val="right"/>
              <w:rPr>
                <w:sz w:val="20"/>
              </w:rPr>
            </w:pPr>
            <w:r>
              <w:rPr>
                <w:sz w:val="20"/>
              </w:rPr>
              <w:t>664</w:t>
            </w:r>
          </w:p>
        </w:tc>
        <w:tc>
          <w:tcPr>
            <w:tcW w:w="1219" w:type="dxa"/>
          </w:tcPr>
          <w:p w14:paraId="7326C619" w14:textId="77777777" w:rsidR="00EF3DFB" w:rsidRDefault="00D27C17">
            <w:pPr>
              <w:pStyle w:val="TableParagraph"/>
              <w:spacing w:before="25"/>
              <w:ind w:right="79"/>
              <w:jc w:val="right"/>
              <w:rPr>
                <w:sz w:val="20"/>
              </w:rPr>
            </w:pPr>
            <w:r>
              <w:rPr>
                <w:sz w:val="20"/>
              </w:rPr>
              <w:t>641</w:t>
            </w:r>
          </w:p>
        </w:tc>
      </w:tr>
      <w:tr w:rsidR="00EF3DFB" w14:paraId="7326C61E" w14:textId="77777777">
        <w:trPr>
          <w:trHeight w:val="275"/>
        </w:trPr>
        <w:tc>
          <w:tcPr>
            <w:tcW w:w="7803" w:type="dxa"/>
            <w:shd w:val="clear" w:color="auto" w:fill="CCEDFF"/>
          </w:tcPr>
          <w:p w14:paraId="7326C61B" w14:textId="77777777" w:rsidR="00EF3DFB" w:rsidRDefault="00D27C17">
            <w:pPr>
              <w:pStyle w:val="TableParagraph"/>
              <w:spacing w:before="4"/>
              <w:ind w:left="52"/>
              <w:rPr>
                <w:sz w:val="20"/>
              </w:rPr>
            </w:pPr>
            <w:r>
              <w:rPr>
                <w:sz w:val="20"/>
              </w:rPr>
              <w:t>Machinery and equipment</w:t>
            </w:r>
          </w:p>
        </w:tc>
        <w:tc>
          <w:tcPr>
            <w:tcW w:w="1598" w:type="dxa"/>
            <w:tcBorders>
              <w:bottom w:val="single" w:sz="8" w:space="0" w:color="000000"/>
            </w:tcBorders>
            <w:shd w:val="clear" w:color="auto" w:fill="CCEDFF"/>
          </w:tcPr>
          <w:p w14:paraId="7326C61C" w14:textId="77777777" w:rsidR="00EF3DFB" w:rsidRDefault="00D27C17">
            <w:pPr>
              <w:pStyle w:val="TableParagraph"/>
              <w:spacing w:before="25" w:line="230" w:lineRule="exact"/>
              <w:ind w:right="135"/>
              <w:jc w:val="right"/>
              <w:rPr>
                <w:sz w:val="20"/>
              </w:rPr>
            </w:pPr>
            <w:r>
              <w:rPr>
                <w:sz w:val="20"/>
              </w:rPr>
              <w:t>2,314</w:t>
            </w:r>
          </w:p>
        </w:tc>
        <w:tc>
          <w:tcPr>
            <w:tcW w:w="1219" w:type="dxa"/>
            <w:tcBorders>
              <w:bottom w:val="single" w:sz="8" w:space="0" w:color="000000"/>
            </w:tcBorders>
            <w:shd w:val="clear" w:color="auto" w:fill="CCEDFF"/>
          </w:tcPr>
          <w:p w14:paraId="7326C61D" w14:textId="77777777" w:rsidR="00EF3DFB" w:rsidRDefault="00D27C17">
            <w:pPr>
              <w:pStyle w:val="TableParagraph"/>
              <w:spacing w:before="25" w:line="230" w:lineRule="exact"/>
              <w:ind w:right="79"/>
              <w:jc w:val="right"/>
              <w:rPr>
                <w:sz w:val="20"/>
              </w:rPr>
            </w:pPr>
            <w:r>
              <w:rPr>
                <w:sz w:val="20"/>
              </w:rPr>
              <w:t>2,151</w:t>
            </w:r>
          </w:p>
        </w:tc>
      </w:tr>
      <w:tr w:rsidR="00EF3DFB" w14:paraId="7326C622" w14:textId="77777777">
        <w:trPr>
          <w:trHeight w:val="275"/>
        </w:trPr>
        <w:tc>
          <w:tcPr>
            <w:tcW w:w="7803" w:type="dxa"/>
          </w:tcPr>
          <w:p w14:paraId="7326C61F" w14:textId="77777777" w:rsidR="00EF3DFB" w:rsidRDefault="00EF3DFB">
            <w:pPr>
              <w:pStyle w:val="TableParagraph"/>
              <w:rPr>
                <w:sz w:val="18"/>
              </w:rPr>
            </w:pPr>
          </w:p>
        </w:tc>
        <w:tc>
          <w:tcPr>
            <w:tcW w:w="1598" w:type="dxa"/>
            <w:tcBorders>
              <w:top w:val="single" w:sz="8" w:space="0" w:color="000000"/>
            </w:tcBorders>
          </w:tcPr>
          <w:p w14:paraId="7326C620" w14:textId="77777777" w:rsidR="00EF3DFB" w:rsidRDefault="00D27C17">
            <w:pPr>
              <w:pStyle w:val="TableParagraph"/>
              <w:spacing w:before="15"/>
              <w:ind w:right="135"/>
              <w:jc w:val="right"/>
              <w:rPr>
                <w:sz w:val="20"/>
              </w:rPr>
            </w:pPr>
            <w:r>
              <w:rPr>
                <w:sz w:val="20"/>
              </w:rPr>
              <w:t>3,064</w:t>
            </w:r>
          </w:p>
        </w:tc>
        <w:tc>
          <w:tcPr>
            <w:tcW w:w="1219" w:type="dxa"/>
            <w:tcBorders>
              <w:top w:val="single" w:sz="8" w:space="0" w:color="000000"/>
            </w:tcBorders>
          </w:tcPr>
          <w:p w14:paraId="7326C621" w14:textId="77777777" w:rsidR="00EF3DFB" w:rsidRDefault="00D27C17">
            <w:pPr>
              <w:pStyle w:val="TableParagraph"/>
              <w:spacing w:before="15"/>
              <w:ind w:right="79"/>
              <w:jc w:val="right"/>
              <w:rPr>
                <w:sz w:val="20"/>
              </w:rPr>
            </w:pPr>
            <w:r>
              <w:rPr>
                <w:sz w:val="20"/>
              </w:rPr>
              <w:t>2,878</w:t>
            </w:r>
          </w:p>
        </w:tc>
      </w:tr>
      <w:tr w:rsidR="00EF3DFB" w14:paraId="7326C626" w14:textId="77777777">
        <w:trPr>
          <w:trHeight w:val="275"/>
        </w:trPr>
        <w:tc>
          <w:tcPr>
            <w:tcW w:w="7803" w:type="dxa"/>
            <w:shd w:val="clear" w:color="auto" w:fill="CCEDFF"/>
          </w:tcPr>
          <w:p w14:paraId="7326C623" w14:textId="77777777" w:rsidR="00EF3DFB" w:rsidRDefault="00D27C17">
            <w:pPr>
              <w:pStyle w:val="TableParagraph"/>
              <w:spacing w:before="4"/>
              <w:ind w:left="52"/>
              <w:rPr>
                <w:sz w:val="20"/>
              </w:rPr>
            </w:pPr>
            <w:r>
              <w:rPr>
                <w:sz w:val="20"/>
              </w:rPr>
              <w:t>Less: Accumulated depreciation</w:t>
            </w:r>
          </w:p>
        </w:tc>
        <w:tc>
          <w:tcPr>
            <w:tcW w:w="1598" w:type="dxa"/>
            <w:tcBorders>
              <w:bottom w:val="single" w:sz="8" w:space="0" w:color="000000"/>
            </w:tcBorders>
            <w:shd w:val="clear" w:color="auto" w:fill="CCEDFF"/>
          </w:tcPr>
          <w:p w14:paraId="7326C624" w14:textId="77777777" w:rsidR="00EF3DFB" w:rsidRDefault="00D27C17">
            <w:pPr>
              <w:pStyle w:val="TableParagraph"/>
              <w:spacing w:before="25" w:line="230" w:lineRule="exact"/>
              <w:ind w:right="70"/>
              <w:jc w:val="right"/>
              <w:rPr>
                <w:sz w:val="20"/>
              </w:rPr>
            </w:pPr>
            <w:r>
              <w:rPr>
                <w:sz w:val="20"/>
              </w:rPr>
              <w:t>(1,888)</w:t>
            </w:r>
          </w:p>
        </w:tc>
        <w:tc>
          <w:tcPr>
            <w:tcW w:w="1219" w:type="dxa"/>
            <w:tcBorders>
              <w:bottom w:val="single" w:sz="8" w:space="0" w:color="000000"/>
            </w:tcBorders>
            <w:shd w:val="clear" w:color="auto" w:fill="CCEDFF"/>
          </w:tcPr>
          <w:p w14:paraId="7326C625" w14:textId="77777777" w:rsidR="00EF3DFB" w:rsidRDefault="00D27C17">
            <w:pPr>
              <w:pStyle w:val="TableParagraph"/>
              <w:spacing w:before="25" w:line="230" w:lineRule="exact"/>
              <w:ind w:right="14"/>
              <w:jc w:val="right"/>
              <w:rPr>
                <w:sz w:val="20"/>
              </w:rPr>
            </w:pPr>
            <w:r>
              <w:rPr>
                <w:sz w:val="20"/>
              </w:rPr>
              <w:t>(1,723)</w:t>
            </w:r>
          </w:p>
        </w:tc>
      </w:tr>
      <w:tr w:rsidR="00EF3DFB" w14:paraId="7326C62A" w14:textId="77777777">
        <w:trPr>
          <w:trHeight w:val="305"/>
        </w:trPr>
        <w:tc>
          <w:tcPr>
            <w:tcW w:w="7803" w:type="dxa"/>
          </w:tcPr>
          <w:p w14:paraId="7326C627" w14:textId="77777777" w:rsidR="00EF3DFB" w:rsidRDefault="00EF3DFB">
            <w:pPr>
              <w:pStyle w:val="TableParagraph"/>
              <w:rPr>
                <w:sz w:val="18"/>
              </w:rPr>
            </w:pPr>
          </w:p>
        </w:tc>
        <w:tc>
          <w:tcPr>
            <w:tcW w:w="1598" w:type="dxa"/>
            <w:tcBorders>
              <w:top w:val="single" w:sz="8" w:space="0" w:color="000000"/>
            </w:tcBorders>
          </w:tcPr>
          <w:p w14:paraId="7326C628" w14:textId="77777777" w:rsidR="00EF3DFB" w:rsidRDefault="00D27C17">
            <w:pPr>
              <w:pStyle w:val="TableParagraph"/>
              <w:tabs>
                <w:tab w:val="left" w:pos="1010"/>
              </w:tabs>
              <w:spacing w:before="15"/>
              <w:ind w:left="394"/>
              <w:rPr>
                <w:sz w:val="20"/>
              </w:rPr>
            </w:pPr>
            <w:r>
              <w:rPr>
                <w:sz w:val="20"/>
                <w:u w:val="single"/>
              </w:rPr>
              <w:t>$</w:t>
            </w:r>
            <w:r>
              <w:rPr>
                <w:sz w:val="20"/>
                <w:u w:val="single"/>
              </w:rPr>
              <w:tab/>
              <w:t>1,176</w:t>
            </w:r>
          </w:p>
        </w:tc>
        <w:tc>
          <w:tcPr>
            <w:tcW w:w="1219" w:type="dxa"/>
            <w:tcBorders>
              <w:top w:val="single" w:sz="8" w:space="0" w:color="000000"/>
            </w:tcBorders>
          </w:tcPr>
          <w:p w14:paraId="7326C629" w14:textId="77777777" w:rsidR="00EF3DFB" w:rsidRDefault="00D27C17">
            <w:pPr>
              <w:pStyle w:val="TableParagraph"/>
              <w:tabs>
                <w:tab w:val="left" w:pos="687"/>
              </w:tabs>
              <w:spacing w:before="15"/>
              <w:ind w:left="71"/>
              <w:rPr>
                <w:sz w:val="20"/>
              </w:rPr>
            </w:pPr>
            <w:r>
              <w:rPr>
                <w:sz w:val="20"/>
                <w:u w:val="single"/>
              </w:rPr>
              <w:t>$</w:t>
            </w:r>
            <w:r>
              <w:rPr>
                <w:sz w:val="20"/>
                <w:u w:val="single"/>
              </w:rPr>
              <w:tab/>
              <w:t>1,155</w:t>
            </w:r>
          </w:p>
        </w:tc>
      </w:tr>
    </w:tbl>
    <w:p w14:paraId="7326C62B" w14:textId="6B86957F" w:rsidR="00EF3DFB" w:rsidRDefault="00D27C17">
      <w:pPr>
        <w:spacing w:line="20" w:lineRule="exact"/>
        <w:ind w:left="8325"/>
        <w:rPr>
          <w:sz w:val="2"/>
        </w:rPr>
      </w:pPr>
      <w:r>
        <w:rPr>
          <w:noProof/>
          <w:sz w:val="2"/>
        </w:rPr>
        <mc:AlternateContent>
          <mc:Choice Requires="wpg">
            <w:drawing>
              <wp:inline distT="0" distB="0" distL="0" distR="0" wp14:anchorId="7326D72F" wp14:editId="1F5A6FFA">
                <wp:extent cx="762000" cy="12700"/>
                <wp:effectExtent l="12700" t="3810" r="6350" b="2540"/>
                <wp:docPr id="354"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55" name="Line 338"/>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D14970" id="Group 337"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">
                <v:line id="Line 338"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DxQAAANwAAAAPAAAAZHJzL2Rvd25yZXYueG1sRI/RagIx&#10;FETfBf8hXKFvmrXF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BOwEQD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31" wp14:editId="26CBE681">
                <wp:extent cx="762000" cy="12700"/>
                <wp:effectExtent l="12700" t="3810" r="6350" b="2540"/>
                <wp:docPr id="35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53" name="Line 336"/>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458923" id="Group 335"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C055nlJwIAANsEAAAOAAAAAAAAAAAAAAAAAC4CAABkcnMvZTJvRG9jLnht&#10;bFBLAQItABQABgAIAAAAIQDqJm4U2QAAAAMBAAAPAAAAAAAAAAAAAAAAAIEEAABkcnMvZG93bnJl&#10;di54bWxQSwUGAAAAAAQABADzAAAAhwUAAAAA&#10;">
                <v:line id="Line 336"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" strokeweight="1pt"/>
                <w10:anchorlock/>
              </v:group>
            </w:pict>
          </mc:Fallback>
        </mc:AlternateContent>
      </w:r>
    </w:p>
    <w:p w14:paraId="7326C62C" w14:textId="77777777" w:rsidR="00EF3DFB" w:rsidRDefault="00EF3DFB">
      <w:pPr>
        <w:pStyle w:val="BodyText"/>
        <w:rPr>
          <w:sz w:val="21"/>
        </w:rPr>
      </w:pPr>
    </w:p>
    <w:p w14:paraId="7326C62D" w14:textId="77777777" w:rsidR="00EF3DFB" w:rsidRDefault="00D27C17">
      <w:pPr>
        <w:pStyle w:val="BodyText"/>
        <w:spacing w:line="249" w:lineRule="auto"/>
        <w:ind w:left="190" w:right="169"/>
        <w:jc w:val="both"/>
      </w:pPr>
      <w:r>
        <w:t>Depreciation expense for continuing operations was $200 million, $254 million and $183 million in 2020, 2019 and 2018, respectively. Depreciation expense for discontinued operations was nil in 2020 and 2019 and $19 million in 2018. Depreciation expense for</w:t>
      </w:r>
      <w:r>
        <w:t xml:space="preserve"> assets held for sale was nil for 2020 and 2019 as the Company ceased depreciating property, plant, and equipment relating to businesses which satisfied the criteria to be classified as held for sale during the second quarter of 2018.</w:t>
      </w:r>
    </w:p>
    <w:p w14:paraId="7326C62E" w14:textId="77777777" w:rsidR="00EF3DFB" w:rsidRDefault="00EF3DFB">
      <w:pPr>
        <w:spacing w:line="249" w:lineRule="auto"/>
        <w:jc w:val="both"/>
        <w:sectPr w:rsidR="00EF3DFB">
          <w:pgSz w:w="12240" w:h="15840"/>
          <w:pgMar w:top="600" w:right="640" w:bottom="480" w:left="620" w:header="0" w:footer="291" w:gutter="0"/>
          <w:cols w:space="720"/>
        </w:sectPr>
      </w:pPr>
    </w:p>
    <w:p w14:paraId="7326C62F" w14:textId="77777777" w:rsidR="00EF3DFB" w:rsidRDefault="00D27C17">
      <w:pPr>
        <w:pStyle w:val="BodyText"/>
        <w:spacing w:before="72" w:line="249" w:lineRule="auto"/>
        <w:ind w:left="190" w:right="169"/>
        <w:jc w:val="both"/>
      </w:pPr>
      <w:r>
        <w:lastRenderedPageBreak/>
        <w:t xml:space="preserve">During </w:t>
      </w:r>
      <w:r>
        <w:t>the first quarter of 2020, the Company concluded that a triggering event had occurred for all of its reporting units as a result of the COVID-19 pandemic. Pursuant to the authoritative accounting literature, the Company compared the sum of the undiscounted</w:t>
      </w:r>
      <w:r>
        <w:t xml:space="preserve"> future cash flows attributable to the asset or group of assets (the lowest level for which identifiable cash flows are available) to their respective carrying amount. As a result of the impairment testing performed in connection with the triggering event,</w:t>
      </w:r>
      <w:r>
        <w:t xml:space="preserve"> the Company recorded a non-cash fixed asset impairment charge of approximately $1 million during 2020, in the Home Solutions segment associated with its Yankee Candle retail store business. The impairment charge was calculated as the excess of carrying va</w:t>
      </w:r>
      <w:r>
        <w:t>lue over fair value of the asset group.</w:t>
      </w:r>
    </w:p>
    <w:p w14:paraId="7326C630" w14:textId="77777777" w:rsidR="00EF3DFB" w:rsidRDefault="00EF3DFB">
      <w:pPr>
        <w:pStyle w:val="BodyText"/>
        <w:spacing w:before="4"/>
        <w:rPr>
          <w:sz w:val="21"/>
        </w:rPr>
      </w:pPr>
    </w:p>
    <w:p w14:paraId="7326C631" w14:textId="77777777" w:rsidR="00EF3DFB" w:rsidRDefault="00D27C17">
      <w:pPr>
        <w:pStyle w:val="BodyText"/>
        <w:spacing w:line="249" w:lineRule="auto"/>
        <w:ind w:left="190" w:right="169"/>
        <w:jc w:val="both"/>
      </w:pPr>
      <w:r>
        <w:t>In 2018, as part of the ATP, the Company approved a plan to market for sale the Commercial Business. This business was classified as held for sale in the Company's historical Consolidated Balance Sheets. During 2019, the Company decided not to sell this bu</w:t>
      </w:r>
      <w:r>
        <w:t>siness. As a result, the business no longer satisfied the requirements to be classified as held for sale in the Company's Consolidated Balance Sheet at December 31, 2019. Accordingly, the Consolidated Balance Sheet at December 31, 2018 was recast to reclas</w:t>
      </w:r>
      <w:r>
        <w:t>sify the Commercial Business from held for sale to held and used. The Company measured the business at the lower of its</w:t>
      </w:r>
    </w:p>
    <w:p w14:paraId="7326C632" w14:textId="77777777" w:rsidR="00EF3DFB" w:rsidRDefault="00D27C17">
      <w:pPr>
        <w:pStyle w:val="ListParagraph"/>
        <w:numPr>
          <w:ilvl w:val="0"/>
          <w:numId w:val="22"/>
        </w:numPr>
        <w:tabs>
          <w:tab w:val="left" w:pos="451"/>
        </w:tabs>
        <w:spacing w:before="4" w:line="249" w:lineRule="auto"/>
        <w:ind w:right="168" w:firstLine="0"/>
        <w:jc w:val="both"/>
        <w:rPr>
          <w:sz w:val="20"/>
        </w:rPr>
      </w:pPr>
      <w:r>
        <w:rPr>
          <w:sz w:val="20"/>
        </w:rPr>
        <w:t>carrying amount before it was classified as held for sale, adjusted for depreciation and amortization expense that would have been recog</w:t>
      </w:r>
      <w:r>
        <w:rPr>
          <w:sz w:val="20"/>
        </w:rPr>
        <w:t>nized had the Commercial Business been continuously classified as held and used, or (ii) fair value at the date the decision not to sell was made. The Company recorded a charge of $50 million in 2019 relating to the amount of depreciation expense</w:t>
      </w:r>
      <w:r>
        <w:rPr>
          <w:spacing w:val="-4"/>
          <w:sz w:val="20"/>
        </w:rPr>
        <w:t xml:space="preserve"> </w:t>
      </w:r>
      <w:r>
        <w:rPr>
          <w:sz w:val="20"/>
        </w:rPr>
        <w:t>that</w:t>
      </w:r>
      <w:r>
        <w:rPr>
          <w:spacing w:val="-4"/>
          <w:sz w:val="20"/>
        </w:rPr>
        <w:t xml:space="preserve"> </w:t>
      </w:r>
      <w:r>
        <w:rPr>
          <w:sz w:val="20"/>
        </w:rPr>
        <w:t>woul</w:t>
      </w:r>
      <w:r>
        <w:rPr>
          <w:sz w:val="20"/>
        </w:rPr>
        <w:t>d</w:t>
      </w:r>
      <w:r>
        <w:rPr>
          <w:spacing w:val="-3"/>
          <w:sz w:val="20"/>
        </w:rPr>
        <w:t xml:space="preserve"> </w:t>
      </w:r>
      <w:r>
        <w:rPr>
          <w:sz w:val="20"/>
        </w:rPr>
        <w:t>have</w:t>
      </w:r>
      <w:r>
        <w:rPr>
          <w:spacing w:val="-4"/>
          <w:sz w:val="20"/>
        </w:rPr>
        <w:t xml:space="preserve"> </w:t>
      </w:r>
      <w:r>
        <w:rPr>
          <w:sz w:val="20"/>
        </w:rPr>
        <w:t>been</w:t>
      </w:r>
      <w:r>
        <w:rPr>
          <w:spacing w:val="-3"/>
          <w:sz w:val="20"/>
        </w:rPr>
        <w:t xml:space="preserve"> </w:t>
      </w:r>
      <w:r>
        <w:rPr>
          <w:sz w:val="20"/>
        </w:rPr>
        <w:t>recorded</w:t>
      </w:r>
      <w:r>
        <w:rPr>
          <w:spacing w:val="-3"/>
          <w:sz w:val="20"/>
        </w:rPr>
        <w:t xml:space="preserve"> </w:t>
      </w:r>
      <w:r>
        <w:rPr>
          <w:sz w:val="20"/>
        </w:rPr>
        <w:t>in</w:t>
      </w:r>
      <w:r>
        <w:rPr>
          <w:spacing w:val="-3"/>
          <w:sz w:val="20"/>
        </w:rPr>
        <w:t xml:space="preserve"> </w:t>
      </w:r>
      <w:r>
        <w:rPr>
          <w:sz w:val="20"/>
        </w:rPr>
        <w:t>prior</w:t>
      </w:r>
      <w:r>
        <w:rPr>
          <w:spacing w:val="-3"/>
          <w:sz w:val="20"/>
        </w:rPr>
        <w:t xml:space="preserve"> </w:t>
      </w:r>
      <w:r>
        <w:rPr>
          <w:sz w:val="20"/>
        </w:rPr>
        <w:t>periods</w:t>
      </w:r>
      <w:r>
        <w:rPr>
          <w:spacing w:val="-3"/>
          <w:sz w:val="20"/>
        </w:rPr>
        <w:t xml:space="preserve"> </w:t>
      </w:r>
      <w:r>
        <w:rPr>
          <w:sz w:val="20"/>
        </w:rPr>
        <w:t>had</w:t>
      </w:r>
      <w:r>
        <w:rPr>
          <w:spacing w:val="-3"/>
          <w:sz w:val="20"/>
        </w:rPr>
        <w:t xml:space="preserve"> </w:t>
      </w:r>
      <w:r>
        <w:rPr>
          <w:sz w:val="20"/>
        </w:rPr>
        <w:t>the</w:t>
      </w:r>
      <w:r>
        <w:rPr>
          <w:spacing w:val="-4"/>
          <w:sz w:val="20"/>
        </w:rPr>
        <w:t xml:space="preserve"> </w:t>
      </w:r>
      <w:r>
        <w:rPr>
          <w:sz w:val="20"/>
        </w:rPr>
        <w:t>Commercial</w:t>
      </w:r>
      <w:r>
        <w:rPr>
          <w:spacing w:val="-4"/>
          <w:sz w:val="20"/>
        </w:rPr>
        <w:t xml:space="preserve"> </w:t>
      </w:r>
      <w:r>
        <w:rPr>
          <w:sz w:val="20"/>
        </w:rPr>
        <w:t>Business</w:t>
      </w:r>
      <w:r>
        <w:rPr>
          <w:spacing w:val="-4"/>
          <w:sz w:val="20"/>
        </w:rPr>
        <w:t xml:space="preserve"> </w:t>
      </w:r>
      <w:r>
        <w:rPr>
          <w:sz w:val="20"/>
        </w:rPr>
        <w:t>been</w:t>
      </w:r>
      <w:r>
        <w:rPr>
          <w:spacing w:val="-3"/>
          <w:sz w:val="20"/>
        </w:rPr>
        <w:t xml:space="preserve"> </w:t>
      </w:r>
      <w:r>
        <w:rPr>
          <w:sz w:val="20"/>
        </w:rPr>
        <w:t>continuously</w:t>
      </w:r>
      <w:r>
        <w:rPr>
          <w:spacing w:val="-3"/>
          <w:sz w:val="20"/>
        </w:rPr>
        <w:t xml:space="preserve"> </w:t>
      </w:r>
      <w:r>
        <w:rPr>
          <w:sz w:val="20"/>
        </w:rPr>
        <w:t>classified</w:t>
      </w:r>
      <w:r>
        <w:rPr>
          <w:spacing w:val="-3"/>
          <w:sz w:val="20"/>
        </w:rPr>
        <w:t xml:space="preserve"> </w:t>
      </w:r>
      <w:r>
        <w:rPr>
          <w:sz w:val="20"/>
        </w:rPr>
        <w:t>as</w:t>
      </w:r>
      <w:r>
        <w:rPr>
          <w:spacing w:val="-4"/>
          <w:sz w:val="20"/>
        </w:rPr>
        <w:t xml:space="preserve"> </w:t>
      </w:r>
      <w:r>
        <w:rPr>
          <w:sz w:val="20"/>
        </w:rPr>
        <w:t>held</w:t>
      </w:r>
      <w:r>
        <w:rPr>
          <w:spacing w:val="-3"/>
          <w:sz w:val="20"/>
        </w:rPr>
        <w:t xml:space="preserve"> </w:t>
      </w:r>
      <w:r>
        <w:rPr>
          <w:sz w:val="20"/>
        </w:rPr>
        <w:t>and</w:t>
      </w:r>
      <w:r>
        <w:rPr>
          <w:spacing w:val="-3"/>
          <w:sz w:val="20"/>
        </w:rPr>
        <w:t xml:space="preserve"> </w:t>
      </w:r>
      <w:r>
        <w:rPr>
          <w:sz w:val="20"/>
        </w:rPr>
        <w:t>used.</w:t>
      </w:r>
    </w:p>
    <w:p w14:paraId="7326C633" w14:textId="77777777" w:rsidR="00EF3DFB" w:rsidRDefault="00EF3DFB">
      <w:pPr>
        <w:pStyle w:val="BodyText"/>
        <w:spacing w:before="2"/>
        <w:rPr>
          <w:sz w:val="21"/>
        </w:rPr>
      </w:pPr>
    </w:p>
    <w:p w14:paraId="7326C634" w14:textId="77777777" w:rsidR="00EF3DFB" w:rsidRDefault="00D27C17">
      <w:pPr>
        <w:pStyle w:val="BodyText"/>
        <w:spacing w:line="249" w:lineRule="auto"/>
        <w:ind w:left="190" w:right="169"/>
        <w:jc w:val="both"/>
      </w:pPr>
      <w:r>
        <w:t>During 2018, the Company recorded $41 million of impairment charges on certain other assets, the majority of which relate to the Home Fragranc</w:t>
      </w:r>
      <w:r>
        <w:t>e business in the Home Solutions segment.</w:t>
      </w:r>
    </w:p>
    <w:p w14:paraId="7326C635" w14:textId="77777777" w:rsidR="00EF3DFB" w:rsidRDefault="00EF3DFB">
      <w:pPr>
        <w:pStyle w:val="BodyText"/>
        <w:spacing w:before="2"/>
        <w:rPr>
          <w:sz w:val="31"/>
        </w:rPr>
      </w:pPr>
    </w:p>
    <w:p w14:paraId="7326C636" w14:textId="77777777" w:rsidR="00EF3DFB" w:rsidRDefault="00D27C17">
      <w:pPr>
        <w:pStyle w:val="Heading2"/>
        <w:jc w:val="left"/>
      </w:pPr>
      <w:bookmarkStart w:id="55" w:name="Footnote_7_—_Goodwill_and_Other_Intangib"/>
      <w:bookmarkEnd w:id="55"/>
      <w:r>
        <w:t>Footnote 7 — Goodwill and Other Intangible Assets, Net</w:t>
      </w:r>
    </w:p>
    <w:p w14:paraId="7326C637" w14:textId="77777777" w:rsidR="00EF3DFB" w:rsidRDefault="00D27C17">
      <w:pPr>
        <w:pStyle w:val="BodyText"/>
        <w:spacing w:before="133"/>
        <w:ind w:left="190"/>
      </w:pPr>
      <w:r>
        <w:t>A summary of changes in the Company’s goodwill by reportable business segment is as follows for 2020 and 2019 (in millions):</w:t>
      </w:r>
    </w:p>
    <w:p w14:paraId="7326C638" w14:textId="77777777" w:rsidR="00EF3DFB" w:rsidRDefault="00EF3DFB">
      <w:pPr>
        <w:pStyle w:val="BodyText"/>
        <w:spacing w:before="6"/>
        <w:rPr>
          <w:sz w:val="18"/>
        </w:rPr>
      </w:pPr>
    </w:p>
    <w:tbl>
      <w:tblPr>
        <w:tblW w:w="0" w:type="auto"/>
        <w:tblInd w:w="190" w:type="dxa"/>
        <w:tblLayout w:type="fixed"/>
        <w:tblCellMar>
          <w:left w:w="0" w:type="dxa"/>
          <w:right w:w="0" w:type="dxa"/>
        </w:tblCellMar>
        <w:tblLook w:val="01E0" w:firstRow="1" w:lastRow="1" w:firstColumn="1" w:lastColumn="1" w:noHBand="0" w:noVBand="0"/>
      </w:tblPr>
      <w:tblGrid>
        <w:gridCol w:w="3045"/>
        <w:gridCol w:w="1028"/>
        <w:gridCol w:w="1203"/>
        <w:gridCol w:w="1080"/>
        <w:gridCol w:w="1099"/>
        <w:gridCol w:w="971"/>
        <w:gridCol w:w="1211"/>
        <w:gridCol w:w="986"/>
      </w:tblGrid>
      <w:tr w:rsidR="00EF3DFB" w14:paraId="7326C63C" w14:textId="77777777">
        <w:trPr>
          <w:trHeight w:val="174"/>
        </w:trPr>
        <w:tc>
          <w:tcPr>
            <w:tcW w:w="8426" w:type="dxa"/>
            <w:gridSpan w:val="6"/>
          </w:tcPr>
          <w:p w14:paraId="7326C639" w14:textId="77777777" w:rsidR="00EF3DFB" w:rsidRDefault="00EF3DFB">
            <w:pPr>
              <w:pStyle w:val="TableParagraph"/>
              <w:rPr>
                <w:sz w:val="10"/>
              </w:rPr>
            </w:pPr>
          </w:p>
        </w:tc>
        <w:tc>
          <w:tcPr>
            <w:tcW w:w="1211" w:type="dxa"/>
            <w:tcBorders>
              <w:bottom w:val="single" w:sz="8" w:space="0" w:color="000000"/>
            </w:tcBorders>
          </w:tcPr>
          <w:p w14:paraId="7326C63A" w14:textId="77777777" w:rsidR="00EF3DFB" w:rsidRDefault="00D27C17">
            <w:pPr>
              <w:pStyle w:val="TableParagraph"/>
              <w:spacing w:line="155" w:lineRule="exact"/>
              <w:ind w:right="32"/>
              <w:jc w:val="right"/>
              <w:rPr>
                <w:b/>
                <w:sz w:val="14"/>
              </w:rPr>
            </w:pPr>
            <w:r>
              <w:rPr>
                <w:b/>
                <w:sz w:val="14"/>
              </w:rPr>
              <w:t>December 31, 2020</w:t>
            </w:r>
          </w:p>
        </w:tc>
        <w:tc>
          <w:tcPr>
            <w:tcW w:w="986" w:type="dxa"/>
            <w:tcBorders>
              <w:bottom w:val="single" w:sz="8" w:space="0" w:color="000000"/>
            </w:tcBorders>
          </w:tcPr>
          <w:p w14:paraId="7326C63B" w14:textId="77777777" w:rsidR="00EF3DFB" w:rsidRDefault="00EF3DFB">
            <w:pPr>
              <w:pStyle w:val="TableParagraph"/>
              <w:rPr>
                <w:sz w:val="10"/>
              </w:rPr>
            </w:pPr>
          </w:p>
        </w:tc>
      </w:tr>
      <w:tr w:rsidR="00EF3DFB" w14:paraId="7326C648" w14:textId="77777777">
        <w:trPr>
          <w:trHeight w:val="332"/>
        </w:trPr>
        <w:tc>
          <w:tcPr>
            <w:tcW w:w="4073" w:type="dxa"/>
            <w:gridSpan w:val="2"/>
          </w:tcPr>
          <w:p w14:paraId="7326C63D" w14:textId="77777777" w:rsidR="00EF3DFB" w:rsidRDefault="00D27C17">
            <w:pPr>
              <w:pStyle w:val="TableParagraph"/>
              <w:spacing w:before="57" w:line="140" w:lineRule="exact"/>
              <w:ind w:left="3296" w:right="245" w:hanging="28"/>
              <w:jc w:val="right"/>
              <w:rPr>
                <w:b/>
                <w:sz w:val="14"/>
              </w:rPr>
            </w:pPr>
            <w:r>
              <w:rPr>
                <w:b/>
                <w:sz w:val="14"/>
              </w:rPr>
              <w:t>Net Book Value at</w:t>
            </w:r>
          </w:p>
        </w:tc>
        <w:tc>
          <w:tcPr>
            <w:tcW w:w="1203" w:type="dxa"/>
          </w:tcPr>
          <w:p w14:paraId="7326C63E" w14:textId="77777777" w:rsidR="00EF3DFB" w:rsidRDefault="00EF3DFB">
            <w:pPr>
              <w:pStyle w:val="TableParagraph"/>
              <w:spacing w:before="6"/>
              <w:rPr>
                <w:sz w:val="15"/>
              </w:rPr>
            </w:pPr>
          </w:p>
          <w:p w14:paraId="7326C63F" w14:textId="77777777" w:rsidR="00EF3DFB" w:rsidRDefault="00D27C17">
            <w:pPr>
              <w:pStyle w:val="TableParagraph"/>
              <w:spacing w:line="133" w:lineRule="exact"/>
              <w:ind w:left="402" w:right="403"/>
              <w:jc w:val="center"/>
              <w:rPr>
                <w:b/>
                <w:sz w:val="14"/>
              </w:rPr>
            </w:pPr>
            <w:r>
              <w:rPr>
                <w:b/>
                <w:sz w:val="14"/>
              </w:rPr>
              <w:t>Other</w:t>
            </w:r>
          </w:p>
        </w:tc>
        <w:tc>
          <w:tcPr>
            <w:tcW w:w="1080" w:type="dxa"/>
          </w:tcPr>
          <w:p w14:paraId="7326C640" w14:textId="77777777" w:rsidR="00EF3DFB" w:rsidRDefault="00EF3DFB">
            <w:pPr>
              <w:pStyle w:val="TableParagraph"/>
              <w:spacing w:before="6"/>
              <w:rPr>
                <w:sz w:val="15"/>
              </w:rPr>
            </w:pPr>
          </w:p>
          <w:p w14:paraId="7326C641" w14:textId="77777777" w:rsidR="00EF3DFB" w:rsidRDefault="00D27C17">
            <w:pPr>
              <w:pStyle w:val="TableParagraph"/>
              <w:spacing w:line="133" w:lineRule="exact"/>
              <w:ind w:left="160"/>
              <w:rPr>
                <w:b/>
                <w:sz w:val="14"/>
              </w:rPr>
            </w:pPr>
            <w:r>
              <w:rPr>
                <w:b/>
                <w:sz w:val="14"/>
              </w:rPr>
              <w:t>Impairment</w:t>
            </w:r>
          </w:p>
        </w:tc>
        <w:tc>
          <w:tcPr>
            <w:tcW w:w="1099" w:type="dxa"/>
          </w:tcPr>
          <w:p w14:paraId="7326C642" w14:textId="77777777" w:rsidR="00EF3DFB" w:rsidRDefault="00EF3DFB">
            <w:pPr>
              <w:pStyle w:val="TableParagraph"/>
              <w:rPr>
                <w:sz w:val="18"/>
              </w:rPr>
            </w:pPr>
          </w:p>
        </w:tc>
        <w:tc>
          <w:tcPr>
            <w:tcW w:w="971" w:type="dxa"/>
            <w:tcBorders>
              <w:top w:val="single" w:sz="8" w:space="0" w:color="000000"/>
            </w:tcBorders>
          </w:tcPr>
          <w:p w14:paraId="7326C643" w14:textId="77777777" w:rsidR="00EF3DFB" w:rsidRDefault="00EF3DFB">
            <w:pPr>
              <w:pStyle w:val="TableParagraph"/>
              <w:spacing w:before="6"/>
              <w:rPr>
                <w:sz w:val="15"/>
              </w:rPr>
            </w:pPr>
          </w:p>
          <w:p w14:paraId="7326C644" w14:textId="77777777" w:rsidR="00EF3DFB" w:rsidRDefault="00D27C17">
            <w:pPr>
              <w:pStyle w:val="TableParagraph"/>
              <w:spacing w:line="133" w:lineRule="exact"/>
              <w:ind w:left="327"/>
              <w:rPr>
                <w:b/>
                <w:sz w:val="14"/>
              </w:rPr>
            </w:pPr>
            <w:r>
              <w:rPr>
                <w:b/>
                <w:sz w:val="14"/>
              </w:rPr>
              <w:t>Gross</w:t>
            </w:r>
          </w:p>
        </w:tc>
        <w:tc>
          <w:tcPr>
            <w:tcW w:w="1211" w:type="dxa"/>
            <w:tcBorders>
              <w:top w:val="single" w:sz="8" w:space="0" w:color="000000"/>
            </w:tcBorders>
          </w:tcPr>
          <w:p w14:paraId="7326C645" w14:textId="77777777" w:rsidR="00EF3DFB" w:rsidRDefault="00EF3DFB">
            <w:pPr>
              <w:pStyle w:val="TableParagraph"/>
              <w:spacing w:before="6"/>
              <w:rPr>
                <w:sz w:val="15"/>
              </w:rPr>
            </w:pPr>
          </w:p>
          <w:p w14:paraId="7326C646" w14:textId="77777777" w:rsidR="00EF3DFB" w:rsidRDefault="00D27C17">
            <w:pPr>
              <w:pStyle w:val="TableParagraph"/>
              <w:spacing w:line="133" w:lineRule="exact"/>
              <w:ind w:left="215"/>
              <w:rPr>
                <w:b/>
                <w:sz w:val="14"/>
              </w:rPr>
            </w:pPr>
            <w:r>
              <w:rPr>
                <w:b/>
                <w:sz w:val="14"/>
              </w:rPr>
              <w:t>Accumulated</w:t>
            </w:r>
          </w:p>
        </w:tc>
        <w:tc>
          <w:tcPr>
            <w:tcW w:w="986" w:type="dxa"/>
            <w:tcBorders>
              <w:top w:val="single" w:sz="8" w:space="0" w:color="000000"/>
            </w:tcBorders>
          </w:tcPr>
          <w:p w14:paraId="7326C647" w14:textId="77777777" w:rsidR="00EF3DFB" w:rsidRDefault="00EF3DFB">
            <w:pPr>
              <w:pStyle w:val="TableParagraph"/>
              <w:rPr>
                <w:sz w:val="18"/>
              </w:rPr>
            </w:pPr>
          </w:p>
        </w:tc>
      </w:tr>
      <w:tr w:rsidR="00EF3DFB" w14:paraId="7326C650" w14:textId="77777777">
        <w:trPr>
          <w:trHeight w:val="136"/>
        </w:trPr>
        <w:tc>
          <w:tcPr>
            <w:tcW w:w="4073" w:type="dxa"/>
            <w:gridSpan w:val="2"/>
          </w:tcPr>
          <w:p w14:paraId="7326C649" w14:textId="77777777" w:rsidR="00EF3DFB" w:rsidRDefault="00D27C17">
            <w:pPr>
              <w:pStyle w:val="TableParagraph"/>
              <w:spacing w:line="116" w:lineRule="exact"/>
              <w:ind w:right="115"/>
              <w:jc w:val="right"/>
              <w:rPr>
                <w:b/>
                <w:sz w:val="14"/>
              </w:rPr>
            </w:pPr>
            <w:r>
              <w:rPr>
                <w:b/>
                <w:sz w:val="14"/>
              </w:rPr>
              <w:t>December 31,</w:t>
            </w:r>
          </w:p>
        </w:tc>
        <w:tc>
          <w:tcPr>
            <w:tcW w:w="1203" w:type="dxa"/>
          </w:tcPr>
          <w:p w14:paraId="7326C64A" w14:textId="77777777" w:rsidR="00EF3DFB" w:rsidRDefault="00D27C17">
            <w:pPr>
              <w:pStyle w:val="TableParagraph"/>
              <w:spacing w:line="116" w:lineRule="exact"/>
              <w:ind w:left="218"/>
              <w:rPr>
                <w:b/>
                <w:sz w:val="14"/>
              </w:rPr>
            </w:pPr>
            <w:r>
              <w:rPr>
                <w:b/>
                <w:sz w:val="14"/>
              </w:rPr>
              <w:t>Adjustments</w:t>
            </w:r>
          </w:p>
        </w:tc>
        <w:tc>
          <w:tcPr>
            <w:tcW w:w="1080" w:type="dxa"/>
          </w:tcPr>
          <w:p w14:paraId="7326C64B" w14:textId="77777777" w:rsidR="00EF3DFB" w:rsidRDefault="00D27C17">
            <w:pPr>
              <w:pStyle w:val="TableParagraph"/>
              <w:spacing w:line="116" w:lineRule="exact"/>
              <w:ind w:left="272"/>
              <w:rPr>
                <w:b/>
                <w:sz w:val="14"/>
              </w:rPr>
            </w:pPr>
            <w:r>
              <w:rPr>
                <w:b/>
                <w:sz w:val="14"/>
              </w:rPr>
              <w:t>Charges</w:t>
            </w:r>
          </w:p>
        </w:tc>
        <w:tc>
          <w:tcPr>
            <w:tcW w:w="1099" w:type="dxa"/>
          </w:tcPr>
          <w:p w14:paraId="7326C64C" w14:textId="77777777" w:rsidR="00EF3DFB" w:rsidRDefault="00D27C17">
            <w:pPr>
              <w:pStyle w:val="TableParagraph"/>
              <w:spacing w:line="116" w:lineRule="exact"/>
              <w:ind w:left="288"/>
              <w:rPr>
                <w:b/>
                <w:sz w:val="14"/>
              </w:rPr>
            </w:pPr>
            <w:r>
              <w:rPr>
                <w:b/>
                <w:sz w:val="14"/>
              </w:rPr>
              <w:t>Foreign</w:t>
            </w:r>
          </w:p>
        </w:tc>
        <w:tc>
          <w:tcPr>
            <w:tcW w:w="971" w:type="dxa"/>
          </w:tcPr>
          <w:p w14:paraId="7326C64D" w14:textId="77777777" w:rsidR="00EF3DFB" w:rsidRDefault="00D27C17">
            <w:pPr>
              <w:pStyle w:val="TableParagraph"/>
              <w:spacing w:line="116" w:lineRule="exact"/>
              <w:ind w:left="226"/>
              <w:rPr>
                <w:b/>
                <w:sz w:val="14"/>
              </w:rPr>
            </w:pPr>
            <w:r>
              <w:rPr>
                <w:b/>
                <w:sz w:val="14"/>
              </w:rPr>
              <w:t>Carrying</w:t>
            </w:r>
          </w:p>
        </w:tc>
        <w:tc>
          <w:tcPr>
            <w:tcW w:w="1211" w:type="dxa"/>
          </w:tcPr>
          <w:p w14:paraId="7326C64E" w14:textId="77777777" w:rsidR="00EF3DFB" w:rsidRDefault="00D27C17">
            <w:pPr>
              <w:pStyle w:val="TableParagraph"/>
              <w:spacing w:line="116" w:lineRule="exact"/>
              <w:ind w:left="250"/>
              <w:rPr>
                <w:b/>
                <w:sz w:val="14"/>
              </w:rPr>
            </w:pPr>
            <w:r>
              <w:rPr>
                <w:b/>
                <w:sz w:val="14"/>
              </w:rPr>
              <w:t>Impairment</w:t>
            </w:r>
          </w:p>
        </w:tc>
        <w:tc>
          <w:tcPr>
            <w:tcW w:w="986" w:type="dxa"/>
          </w:tcPr>
          <w:p w14:paraId="7326C64F" w14:textId="77777777" w:rsidR="00EF3DFB" w:rsidRDefault="00D27C17">
            <w:pPr>
              <w:pStyle w:val="TableParagraph"/>
              <w:spacing w:line="116" w:lineRule="exact"/>
              <w:ind w:left="202"/>
              <w:rPr>
                <w:b/>
                <w:sz w:val="14"/>
              </w:rPr>
            </w:pPr>
            <w:r>
              <w:rPr>
                <w:b/>
                <w:sz w:val="14"/>
              </w:rPr>
              <w:t>Net Book</w:t>
            </w:r>
          </w:p>
        </w:tc>
      </w:tr>
      <w:tr w:rsidR="00EF3DFB" w14:paraId="7326C658" w14:textId="77777777">
        <w:trPr>
          <w:trHeight w:val="167"/>
        </w:trPr>
        <w:tc>
          <w:tcPr>
            <w:tcW w:w="4073" w:type="dxa"/>
            <w:gridSpan w:val="2"/>
          </w:tcPr>
          <w:p w14:paraId="7326C651" w14:textId="77777777" w:rsidR="00EF3DFB" w:rsidRDefault="00D27C17">
            <w:pPr>
              <w:pStyle w:val="TableParagraph"/>
              <w:tabs>
                <w:tab w:val="left" w:pos="3407"/>
              </w:tabs>
              <w:spacing w:line="147" w:lineRule="exact"/>
              <w:ind w:left="52"/>
              <w:rPr>
                <w:b/>
                <w:sz w:val="14"/>
              </w:rPr>
            </w:pPr>
            <w:r>
              <w:rPr>
                <w:b/>
                <w:sz w:val="14"/>
                <w:u w:val="single"/>
              </w:rPr>
              <w:t>Segments:</w:t>
            </w:r>
            <w:r>
              <w:rPr>
                <w:b/>
                <w:sz w:val="14"/>
              </w:rPr>
              <w:tab/>
              <w:t>2019</w:t>
            </w:r>
          </w:p>
        </w:tc>
        <w:tc>
          <w:tcPr>
            <w:tcW w:w="1203" w:type="dxa"/>
          </w:tcPr>
          <w:p w14:paraId="7326C652" w14:textId="77777777" w:rsidR="00EF3DFB" w:rsidRDefault="00D27C17">
            <w:pPr>
              <w:pStyle w:val="TableParagraph"/>
              <w:spacing w:line="147" w:lineRule="exact"/>
              <w:ind w:left="401" w:right="403"/>
              <w:jc w:val="center"/>
              <w:rPr>
                <w:b/>
                <w:sz w:val="14"/>
              </w:rPr>
            </w:pPr>
            <w:r>
              <w:rPr>
                <w:b/>
                <w:sz w:val="14"/>
              </w:rPr>
              <w:t>(1)</w:t>
            </w:r>
          </w:p>
        </w:tc>
        <w:tc>
          <w:tcPr>
            <w:tcW w:w="1080" w:type="dxa"/>
          </w:tcPr>
          <w:p w14:paraId="7326C653" w14:textId="77777777" w:rsidR="00EF3DFB" w:rsidRDefault="00D27C17">
            <w:pPr>
              <w:pStyle w:val="TableParagraph"/>
              <w:spacing w:line="147" w:lineRule="exact"/>
              <w:ind w:left="291" w:right="326"/>
              <w:jc w:val="center"/>
              <w:rPr>
                <w:b/>
                <w:sz w:val="14"/>
              </w:rPr>
            </w:pPr>
            <w:r>
              <w:rPr>
                <w:b/>
                <w:sz w:val="14"/>
              </w:rPr>
              <w:t>(2)</w:t>
            </w:r>
          </w:p>
        </w:tc>
        <w:tc>
          <w:tcPr>
            <w:tcW w:w="1099" w:type="dxa"/>
          </w:tcPr>
          <w:p w14:paraId="7326C654" w14:textId="77777777" w:rsidR="00EF3DFB" w:rsidRDefault="00D27C17">
            <w:pPr>
              <w:pStyle w:val="TableParagraph"/>
              <w:spacing w:line="147" w:lineRule="exact"/>
              <w:ind w:left="229"/>
              <w:rPr>
                <w:b/>
                <w:sz w:val="14"/>
              </w:rPr>
            </w:pPr>
            <w:r>
              <w:rPr>
                <w:b/>
                <w:sz w:val="14"/>
              </w:rPr>
              <w:t>Exchange</w:t>
            </w:r>
          </w:p>
        </w:tc>
        <w:tc>
          <w:tcPr>
            <w:tcW w:w="971" w:type="dxa"/>
          </w:tcPr>
          <w:p w14:paraId="7326C655" w14:textId="77777777" w:rsidR="00EF3DFB" w:rsidRDefault="00D27C17">
            <w:pPr>
              <w:pStyle w:val="TableParagraph"/>
              <w:spacing w:line="147" w:lineRule="exact"/>
              <w:ind w:left="257"/>
              <w:rPr>
                <w:b/>
                <w:sz w:val="14"/>
              </w:rPr>
            </w:pPr>
            <w:r>
              <w:rPr>
                <w:b/>
                <w:sz w:val="14"/>
              </w:rPr>
              <w:t>Amount</w:t>
            </w:r>
          </w:p>
        </w:tc>
        <w:tc>
          <w:tcPr>
            <w:tcW w:w="1211" w:type="dxa"/>
          </w:tcPr>
          <w:p w14:paraId="7326C656" w14:textId="77777777" w:rsidR="00EF3DFB" w:rsidRDefault="00D27C17">
            <w:pPr>
              <w:pStyle w:val="TableParagraph"/>
              <w:spacing w:line="147" w:lineRule="exact"/>
              <w:ind w:left="362"/>
              <w:rPr>
                <w:b/>
                <w:sz w:val="14"/>
              </w:rPr>
            </w:pPr>
            <w:r>
              <w:rPr>
                <w:b/>
                <w:sz w:val="14"/>
              </w:rPr>
              <w:t>Charges</w:t>
            </w:r>
          </w:p>
        </w:tc>
        <w:tc>
          <w:tcPr>
            <w:tcW w:w="986" w:type="dxa"/>
          </w:tcPr>
          <w:p w14:paraId="7326C657" w14:textId="77777777" w:rsidR="00EF3DFB" w:rsidRDefault="00D27C17">
            <w:pPr>
              <w:pStyle w:val="TableParagraph"/>
              <w:spacing w:line="147" w:lineRule="exact"/>
              <w:ind w:left="305"/>
              <w:rPr>
                <w:b/>
                <w:sz w:val="14"/>
              </w:rPr>
            </w:pPr>
            <w:r>
              <w:rPr>
                <w:b/>
                <w:sz w:val="14"/>
              </w:rPr>
              <w:t>Value</w:t>
            </w:r>
          </w:p>
        </w:tc>
      </w:tr>
      <w:tr w:rsidR="00EF3DFB" w14:paraId="7326C661" w14:textId="77777777">
        <w:trPr>
          <w:trHeight w:val="290"/>
        </w:trPr>
        <w:tc>
          <w:tcPr>
            <w:tcW w:w="3045" w:type="dxa"/>
            <w:shd w:val="clear" w:color="auto" w:fill="CCEDFF"/>
          </w:tcPr>
          <w:p w14:paraId="7326C659" w14:textId="77777777" w:rsidR="00EF3DFB" w:rsidRDefault="00D27C17">
            <w:pPr>
              <w:pStyle w:val="TableParagraph"/>
              <w:spacing w:before="12"/>
              <w:ind w:left="52"/>
              <w:rPr>
                <w:sz w:val="20"/>
              </w:rPr>
            </w:pPr>
            <w:r>
              <w:rPr>
                <w:sz w:val="20"/>
              </w:rPr>
              <w:t>Appliances and Cookware</w:t>
            </w:r>
          </w:p>
        </w:tc>
        <w:tc>
          <w:tcPr>
            <w:tcW w:w="1028" w:type="dxa"/>
            <w:tcBorders>
              <w:top w:val="single" w:sz="8" w:space="0" w:color="000000"/>
            </w:tcBorders>
            <w:shd w:val="clear" w:color="auto" w:fill="CCEDFF"/>
          </w:tcPr>
          <w:p w14:paraId="7326C65A" w14:textId="77777777" w:rsidR="00EF3DFB" w:rsidRDefault="00D27C17">
            <w:pPr>
              <w:pStyle w:val="TableParagraph"/>
              <w:tabs>
                <w:tab w:val="left" w:pos="570"/>
              </w:tabs>
              <w:spacing w:before="12"/>
              <w:ind w:right="102"/>
              <w:jc w:val="right"/>
              <w:rPr>
                <w:sz w:val="20"/>
              </w:rPr>
            </w:pPr>
            <w:r>
              <w:rPr>
                <w:sz w:val="20"/>
              </w:rPr>
              <w:t>$</w:t>
            </w:r>
            <w:r>
              <w:rPr>
                <w:sz w:val="20"/>
              </w:rPr>
              <w:tab/>
              <w:t>212</w:t>
            </w:r>
          </w:p>
        </w:tc>
        <w:tc>
          <w:tcPr>
            <w:tcW w:w="1203" w:type="dxa"/>
            <w:tcBorders>
              <w:top w:val="single" w:sz="8" w:space="0" w:color="000000"/>
            </w:tcBorders>
            <w:shd w:val="clear" w:color="auto" w:fill="CCEDFF"/>
          </w:tcPr>
          <w:p w14:paraId="7326C65B" w14:textId="77777777" w:rsidR="00EF3DFB" w:rsidRDefault="00D27C17">
            <w:pPr>
              <w:pStyle w:val="TableParagraph"/>
              <w:tabs>
                <w:tab w:val="left" w:pos="865"/>
              </w:tabs>
              <w:spacing w:before="12"/>
              <w:ind w:left="104"/>
              <w:rPr>
                <w:sz w:val="20"/>
              </w:rPr>
            </w:pPr>
            <w:r>
              <w:rPr>
                <w:sz w:val="20"/>
              </w:rPr>
              <w:t>$</w:t>
            </w:r>
            <w:r>
              <w:rPr>
                <w:sz w:val="20"/>
              </w:rPr>
              <w:tab/>
              <w:t>—</w:t>
            </w:r>
          </w:p>
        </w:tc>
        <w:tc>
          <w:tcPr>
            <w:tcW w:w="1080" w:type="dxa"/>
            <w:tcBorders>
              <w:top w:val="single" w:sz="8" w:space="0" w:color="000000"/>
            </w:tcBorders>
            <w:shd w:val="clear" w:color="auto" w:fill="CCEDFF"/>
          </w:tcPr>
          <w:p w14:paraId="7326C65C" w14:textId="77777777" w:rsidR="00EF3DFB" w:rsidRDefault="00D27C17">
            <w:pPr>
              <w:pStyle w:val="TableParagraph"/>
              <w:tabs>
                <w:tab w:val="left" w:pos="575"/>
              </w:tabs>
              <w:spacing w:before="12"/>
              <w:ind w:left="71"/>
              <w:rPr>
                <w:sz w:val="20"/>
              </w:rPr>
            </w:pPr>
            <w:r>
              <w:rPr>
                <w:sz w:val="20"/>
              </w:rPr>
              <w:t>$</w:t>
            </w:r>
            <w:r>
              <w:rPr>
                <w:sz w:val="20"/>
              </w:rPr>
              <w:tab/>
              <w:t>(212)</w:t>
            </w:r>
          </w:p>
        </w:tc>
        <w:tc>
          <w:tcPr>
            <w:tcW w:w="1099" w:type="dxa"/>
            <w:tcBorders>
              <w:top w:val="single" w:sz="8" w:space="0" w:color="000000"/>
            </w:tcBorders>
            <w:shd w:val="clear" w:color="auto" w:fill="CCEDFF"/>
          </w:tcPr>
          <w:p w14:paraId="7326C65D" w14:textId="77777777" w:rsidR="00EF3DFB" w:rsidRDefault="00D27C17">
            <w:pPr>
              <w:pStyle w:val="TableParagraph"/>
              <w:tabs>
                <w:tab w:val="left" w:pos="670"/>
              </w:tabs>
              <w:spacing w:before="12"/>
              <w:ind w:right="154"/>
              <w:jc w:val="right"/>
              <w:rPr>
                <w:sz w:val="20"/>
              </w:rPr>
            </w:pPr>
            <w:r>
              <w:rPr>
                <w:sz w:val="20"/>
              </w:rPr>
              <w:t>$</w:t>
            </w:r>
            <w:r>
              <w:rPr>
                <w:sz w:val="20"/>
              </w:rPr>
              <w:tab/>
              <w:t>—</w:t>
            </w:r>
          </w:p>
        </w:tc>
        <w:tc>
          <w:tcPr>
            <w:tcW w:w="971" w:type="dxa"/>
            <w:tcBorders>
              <w:top w:val="single" w:sz="8" w:space="0" w:color="000000"/>
            </w:tcBorders>
            <w:shd w:val="clear" w:color="auto" w:fill="CCEDFF"/>
          </w:tcPr>
          <w:p w14:paraId="7326C65E" w14:textId="77777777" w:rsidR="00EF3DFB" w:rsidRDefault="00D27C17">
            <w:pPr>
              <w:pStyle w:val="TableParagraph"/>
              <w:tabs>
                <w:tab w:val="left" w:pos="570"/>
              </w:tabs>
              <w:spacing w:before="12"/>
              <w:ind w:right="45"/>
              <w:jc w:val="right"/>
              <w:rPr>
                <w:sz w:val="20"/>
              </w:rPr>
            </w:pPr>
            <w:r>
              <w:rPr>
                <w:sz w:val="20"/>
              </w:rPr>
              <w:t>$</w:t>
            </w:r>
            <w:r>
              <w:rPr>
                <w:sz w:val="20"/>
              </w:rPr>
              <w:tab/>
              <w:t>744</w:t>
            </w:r>
          </w:p>
        </w:tc>
        <w:tc>
          <w:tcPr>
            <w:tcW w:w="1211" w:type="dxa"/>
            <w:tcBorders>
              <w:top w:val="single" w:sz="8" w:space="0" w:color="000000"/>
            </w:tcBorders>
            <w:shd w:val="clear" w:color="auto" w:fill="CCEDFF"/>
          </w:tcPr>
          <w:p w14:paraId="7326C65F" w14:textId="77777777" w:rsidR="00EF3DFB" w:rsidRDefault="00D27C17">
            <w:pPr>
              <w:pStyle w:val="TableParagraph"/>
              <w:tabs>
                <w:tab w:val="left" w:pos="665"/>
              </w:tabs>
              <w:spacing w:before="12"/>
              <w:ind w:left="161"/>
              <w:rPr>
                <w:sz w:val="20"/>
              </w:rPr>
            </w:pPr>
            <w:r>
              <w:rPr>
                <w:sz w:val="20"/>
              </w:rPr>
              <w:t>$</w:t>
            </w:r>
            <w:r>
              <w:rPr>
                <w:sz w:val="20"/>
              </w:rPr>
              <w:tab/>
              <w:t>(744)</w:t>
            </w:r>
          </w:p>
        </w:tc>
        <w:tc>
          <w:tcPr>
            <w:tcW w:w="986" w:type="dxa"/>
            <w:tcBorders>
              <w:top w:val="single" w:sz="8" w:space="0" w:color="000000"/>
            </w:tcBorders>
            <w:shd w:val="clear" w:color="auto" w:fill="CCEDFF"/>
          </w:tcPr>
          <w:p w14:paraId="7326C660" w14:textId="77777777" w:rsidR="00EF3DFB" w:rsidRDefault="00D27C17">
            <w:pPr>
              <w:pStyle w:val="TableParagraph"/>
              <w:tabs>
                <w:tab w:val="left" w:pos="670"/>
              </w:tabs>
              <w:spacing w:before="12"/>
              <w:ind w:right="82"/>
              <w:jc w:val="right"/>
              <w:rPr>
                <w:sz w:val="20"/>
              </w:rPr>
            </w:pPr>
            <w:r>
              <w:rPr>
                <w:sz w:val="20"/>
              </w:rPr>
              <w:t>$</w:t>
            </w:r>
            <w:r>
              <w:rPr>
                <w:sz w:val="20"/>
              </w:rPr>
              <w:tab/>
              <w:t>—</w:t>
            </w:r>
          </w:p>
        </w:tc>
      </w:tr>
      <w:tr w:rsidR="00EF3DFB" w14:paraId="7326C66A" w14:textId="77777777">
        <w:trPr>
          <w:trHeight w:val="300"/>
        </w:trPr>
        <w:tc>
          <w:tcPr>
            <w:tcW w:w="3045" w:type="dxa"/>
          </w:tcPr>
          <w:p w14:paraId="7326C662" w14:textId="77777777" w:rsidR="00EF3DFB" w:rsidRDefault="00D27C17">
            <w:pPr>
              <w:pStyle w:val="TableParagraph"/>
              <w:spacing w:before="22"/>
              <w:ind w:left="52"/>
              <w:rPr>
                <w:sz w:val="20"/>
              </w:rPr>
            </w:pPr>
            <w:r>
              <w:rPr>
                <w:sz w:val="20"/>
              </w:rPr>
              <w:t>Commercial Solutions</w:t>
            </w:r>
          </w:p>
        </w:tc>
        <w:tc>
          <w:tcPr>
            <w:tcW w:w="1028" w:type="dxa"/>
          </w:tcPr>
          <w:p w14:paraId="7326C663" w14:textId="77777777" w:rsidR="00EF3DFB" w:rsidRDefault="00D27C17">
            <w:pPr>
              <w:pStyle w:val="TableParagraph"/>
              <w:spacing w:before="22"/>
              <w:ind w:right="102"/>
              <w:jc w:val="right"/>
              <w:rPr>
                <w:sz w:val="20"/>
              </w:rPr>
            </w:pPr>
            <w:r>
              <w:rPr>
                <w:sz w:val="20"/>
              </w:rPr>
              <w:t>747</w:t>
            </w:r>
          </w:p>
        </w:tc>
        <w:tc>
          <w:tcPr>
            <w:tcW w:w="1203" w:type="dxa"/>
          </w:tcPr>
          <w:p w14:paraId="7326C664" w14:textId="77777777" w:rsidR="00EF3DFB" w:rsidRDefault="00D27C17">
            <w:pPr>
              <w:pStyle w:val="TableParagraph"/>
              <w:spacing w:before="22"/>
              <w:ind w:right="135"/>
              <w:jc w:val="right"/>
              <w:rPr>
                <w:sz w:val="20"/>
              </w:rPr>
            </w:pPr>
            <w:r>
              <w:rPr>
                <w:sz w:val="20"/>
              </w:rPr>
              <w:t>—</w:t>
            </w:r>
          </w:p>
        </w:tc>
        <w:tc>
          <w:tcPr>
            <w:tcW w:w="1080" w:type="dxa"/>
          </w:tcPr>
          <w:p w14:paraId="7326C665" w14:textId="77777777" w:rsidR="00EF3DFB" w:rsidRDefault="00D27C17">
            <w:pPr>
              <w:pStyle w:val="TableParagraph"/>
              <w:spacing w:before="22"/>
              <w:ind w:right="135"/>
              <w:jc w:val="right"/>
              <w:rPr>
                <w:sz w:val="20"/>
              </w:rPr>
            </w:pPr>
            <w:r>
              <w:rPr>
                <w:sz w:val="20"/>
              </w:rPr>
              <w:t>—</w:t>
            </w:r>
          </w:p>
        </w:tc>
        <w:tc>
          <w:tcPr>
            <w:tcW w:w="1099" w:type="dxa"/>
          </w:tcPr>
          <w:p w14:paraId="7326C666" w14:textId="77777777" w:rsidR="00EF3DFB" w:rsidRDefault="00D27C17">
            <w:pPr>
              <w:pStyle w:val="TableParagraph"/>
              <w:spacing w:before="22"/>
              <w:ind w:right="154"/>
              <w:jc w:val="right"/>
              <w:rPr>
                <w:sz w:val="20"/>
              </w:rPr>
            </w:pPr>
            <w:r>
              <w:rPr>
                <w:sz w:val="20"/>
              </w:rPr>
              <w:t>—</w:t>
            </w:r>
          </w:p>
        </w:tc>
        <w:tc>
          <w:tcPr>
            <w:tcW w:w="971" w:type="dxa"/>
          </w:tcPr>
          <w:p w14:paraId="7326C667" w14:textId="77777777" w:rsidR="00EF3DFB" w:rsidRDefault="00D27C17">
            <w:pPr>
              <w:pStyle w:val="TableParagraph"/>
              <w:spacing w:before="22"/>
              <w:ind w:right="45"/>
              <w:jc w:val="right"/>
              <w:rPr>
                <w:sz w:val="20"/>
              </w:rPr>
            </w:pPr>
            <w:r>
              <w:rPr>
                <w:sz w:val="20"/>
              </w:rPr>
              <w:t>1,241</w:t>
            </w:r>
          </w:p>
        </w:tc>
        <w:tc>
          <w:tcPr>
            <w:tcW w:w="1211" w:type="dxa"/>
          </w:tcPr>
          <w:p w14:paraId="7326C668" w14:textId="77777777" w:rsidR="00EF3DFB" w:rsidRDefault="00D27C17">
            <w:pPr>
              <w:pStyle w:val="TableParagraph"/>
              <w:spacing w:before="22"/>
              <w:ind w:right="110"/>
              <w:jc w:val="right"/>
              <w:rPr>
                <w:sz w:val="20"/>
              </w:rPr>
            </w:pPr>
            <w:r>
              <w:rPr>
                <w:sz w:val="20"/>
              </w:rPr>
              <w:t>(494)</w:t>
            </w:r>
          </w:p>
        </w:tc>
        <w:tc>
          <w:tcPr>
            <w:tcW w:w="986" w:type="dxa"/>
          </w:tcPr>
          <w:p w14:paraId="7326C669" w14:textId="77777777" w:rsidR="00EF3DFB" w:rsidRDefault="00D27C17">
            <w:pPr>
              <w:pStyle w:val="TableParagraph"/>
              <w:spacing w:before="22"/>
              <w:ind w:right="82"/>
              <w:jc w:val="right"/>
              <w:rPr>
                <w:sz w:val="20"/>
              </w:rPr>
            </w:pPr>
            <w:r>
              <w:rPr>
                <w:sz w:val="20"/>
              </w:rPr>
              <w:t>747</w:t>
            </w:r>
          </w:p>
        </w:tc>
      </w:tr>
      <w:tr w:rsidR="00EF3DFB" w14:paraId="7326C673" w14:textId="77777777">
        <w:trPr>
          <w:trHeight w:val="300"/>
        </w:trPr>
        <w:tc>
          <w:tcPr>
            <w:tcW w:w="3045" w:type="dxa"/>
            <w:shd w:val="clear" w:color="auto" w:fill="CCEDFF"/>
          </w:tcPr>
          <w:p w14:paraId="7326C66B" w14:textId="77777777" w:rsidR="00EF3DFB" w:rsidRDefault="00D27C17">
            <w:pPr>
              <w:pStyle w:val="TableParagraph"/>
              <w:spacing w:before="22"/>
              <w:ind w:left="52"/>
              <w:rPr>
                <w:sz w:val="20"/>
              </w:rPr>
            </w:pPr>
            <w:r>
              <w:rPr>
                <w:sz w:val="20"/>
              </w:rPr>
              <w:t>Home Solutions</w:t>
            </w:r>
          </w:p>
        </w:tc>
        <w:tc>
          <w:tcPr>
            <w:tcW w:w="1028" w:type="dxa"/>
            <w:shd w:val="clear" w:color="auto" w:fill="CCEDFF"/>
          </w:tcPr>
          <w:p w14:paraId="7326C66C" w14:textId="77777777" w:rsidR="00EF3DFB" w:rsidRDefault="00D27C17">
            <w:pPr>
              <w:pStyle w:val="TableParagraph"/>
              <w:spacing w:before="22"/>
              <w:ind w:right="102"/>
              <w:jc w:val="right"/>
              <w:rPr>
                <w:sz w:val="20"/>
              </w:rPr>
            </w:pPr>
            <w:r>
              <w:rPr>
                <w:sz w:val="20"/>
              </w:rPr>
              <w:t>164</w:t>
            </w:r>
          </w:p>
        </w:tc>
        <w:tc>
          <w:tcPr>
            <w:tcW w:w="1203" w:type="dxa"/>
            <w:shd w:val="clear" w:color="auto" w:fill="CCEDFF"/>
          </w:tcPr>
          <w:p w14:paraId="7326C66D" w14:textId="77777777" w:rsidR="00EF3DFB" w:rsidRDefault="00D27C17">
            <w:pPr>
              <w:pStyle w:val="TableParagraph"/>
              <w:spacing w:before="22"/>
              <w:ind w:right="135"/>
              <w:jc w:val="right"/>
              <w:rPr>
                <w:sz w:val="20"/>
              </w:rPr>
            </w:pPr>
            <w:r>
              <w:rPr>
                <w:sz w:val="20"/>
              </w:rPr>
              <w:t>—</w:t>
            </w:r>
          </w:p>
        </w:tc>
        <w:tc>
          <w:tcPr>
            <w:tcW w:w="1080" w:type="dxa"/>
            <w:shd w:val="clear" w:color="auto" w:fill="CCEDFF"/>
          </w:tcPr>
          <w:p w14:paraId="7326C66E" w14:textId="77777777" w:rsidR="00EF3DFB" w:rsidRDefault="00D27C17">
            <w:pPr>
              <w:pStyle w:val="TableParagraph"/>
              <w:spacing w:before="22"/>
              <w:ind w:right="135"/>
              <w:jc w:val="right"/>
              <w:rPr>
                <w:sz w:val="20"/>
              </w:rPr>
            </w:pPr>
            <w:r>
              <w:rPr>
                <w:sz w:val="20"/>
              </w:rPr>
              <w:t>—</w:t>
            </w:r>
          </w:p>
        </w:tc>
        <w:tc>
          <w:tcPr>
            <w:tcW w:w="1099" w:type="dxa"/>
            <w:shd w:val="clear" w:color="auto" w:fill="CCEDFF"/>
          </w:tcPr>
          <w:p w14:paraId="7326C66F" w14:textId="77777777" w:rsidR="00EF3DFB" w:rsidRDefault="00D27C17">
            <w:pPr>
              <w:pStyle w:val="TableParagraph"/>
              <w:spacing w:before="22"/>
              <w:ind w:right="154"/>
              <w:jc w:val="right"/>
              <w:rPr>
                <w:sz w:val="20"/>
              </w:rPr>
            </w:pPr>
            <w:r>
              <w:rPr>
                <w:sz w:val="20"/>
              </w:rPr>
              <w:t>—</w:t>
            </w:r>
          </w:p>
        </w:tc>
        <w:tc>
          <w:tcPr>
            <w:tcW w:w="971" w:type="dxa"/>
            <w:shd w:val="clear" w:color="auto" w:fill="CCEDFF"/>
          </w:tcPr>
          <w:p w14:paraId="7326C670" w14:textId="77777777" w:rsidR="00EF3DFB" w:rsidRDefault="00D27C17">
            <w:pPr>
              <w:pStyle w:val="TableParagraph"/>
              <w:spacing w:before="22"/>
              <w:ind w:right="45"/>
              <w:jc w:val="right"/>
              <w:rPr>
                <w:sz w:val="20"/>
              </w:rPr>
            </w:pPr>
            <w:r>
              <w:rPr>
                <w:sz w:val="20"/>
              </w:rPr>
              <w:t>2,392</w:t>
            </w:r>
          </w:p>
        </w:tc>
        <w:tc>
          <w:tcPr>
            <w:tcW w:w="1211" w:type="dxa"/>
            <w:shd w:val="clear" w:color="auto" w:fill="CCEDFF"/>
          </w:tcPr>
          <w:p w14:paraId="7326C671" w14:textId="77777777" w:rsidR="00EF3DFB" w:rsidRDefault="00D27C17">
            <w:pPr>
              <w:pStyle w:val="TableParagraph"/>
              <w:spacing w:before="22"/>
              <w:ind w:right="110"/>
              <w:jc w:val="right"/>
              <w:rPr>
                <w:sz w:val="20"/>
              </w:rPr>
            </w:pPr>
            <w:r>
              <w:rPr>
                <w:sz w:val="20"/>
              </w:rPr>
              <w:t>(2,228)</w:t>
            </w:r>
          </w:p>
        </w:tc>
        <w:tc>
          <w:tcPr>
            <w:tcW w:w="986" w:type="dxa"/>
            <w:shd w:val="clear" w:color="auto" w:fill="CCEDFF"/>
          </w:tcPr>
          <w:p w14:paraId="7326C672" w14:textId="77777777" w:rsidR="00EF3DFB" w:rsidRDefault="00D27C17">
            <w:pPr>
              <w:pStyle w:val="TableParagraph"/>
              <w:spacing w:before="22"/>
              <w:ind w:right="82"/>
              <w:jc w:val="right"/>
              <w:rPr>
                <w:sz w:val="20"/>
              </w:rPr>
            </w:pPr>
            <w:r>
              <w:rPr>
                <w:sz w:val="20"/>
              </w:rPr>
              <w:t>164</w:t>
            </w:r>
          </w:p>
        </w:tc>
      </w:tr>
      <w:tr w:rsidR="00EF3DFB" w14:paraId="7326C67C" w14:textId="77777777">
        <w:trPr>
          <w:trHeight w:val="300"/>
        </w:trPr>
        <w:tc>
          <w:tcPr>
            <w:tcW w:w="3045" w:type="dxa"/>
          </w:tcPr>
          <w:p w14:paraId="7326C674" w14:textId="77777777" w:rsidR="00EF3DFB" w:rsidRDefault="00D27C17">
            <w:pPr>
              <w:pStyle w:val="TableParagraph"/>
              <w:spacing w:before="22"/>
              <w:ind w:left="52"/>
              <w:rPr>
                <w:sz w:val="20"/>
              </w:rPr>
            </w:pPr>
            <w:r>
              <w:rPr>
                <w:sz w:val="20"/>
              </w:rPr>
              <w:t>Learning and Development</w:t>
            </w:r>
          </w:p>
        </w:tc>
        <w:tc>
          <w:tcPr>
            <w:tcW w:w="1028" w:type="dxa"/>
          </w:tcPr>
          <w:p w14:paraId="7326C675" w14:textId="77777777" w:rsidR="00EF3DFB" w:rsidRDefault="00D27C17">
            <w:pPr>
              <w:pStyle w:val="TableParagraph"/>
              <w:spacing w:before="22"/>
              <w:ind w:right="102"/>
              <w:jc w:val="right"/>
              <w:rPr>
                <w:sz w:val="20"/>
              </w:rPr>
            </w:pPr>
            <w:r>
              <w:rPr>
                <w:sz w:val="20"/>
              </w:rPr>
              <w:t>2,586</w:t>
            </w:r>
          </w:p>
        </w:tc>
        <w:tc>
          <w:tcPr>
            <w:tcW w:w="1203" w:type="dxa"/>
          </w:tcPr>
          <w:p w14:paraId="7326C676" w14:textId="77777777" w:rsidR="00EF3DFB" w:rsidRDefault="00D27C17">
            <w:pPr>
              <w:pStyle w:val="TableParagraph"/>
              <w:spacing w:before="22"/>
              <w:ind w:right="69"/>
              <w:jc w:val="right"/>
              <w:rPr>
                <w:sz w:val="20"/>
              </w:rPr>
            </w:pPr>
            <w:r>
              <w:rPr>
                <w:sz w:val="20"/>
              </w:rPr>
              <w:t>(3)</w:t>
            </w:r>
          </w:p>
        </w:tc>
        <w:tc>
          <w:tcPr>
            <w:tcW w:w="1080" w:type="dxa"/>
          </w:tcPr>
          <w:p w14:paraId="7326C677" w14:textId="77777777" w:rsidR="00EF3DFB" w:rsidRDefault="00D27C17">
            <w:pPr>
              <w:pStyle w:val="TableParagraph"/>
              <w:spacing w:before="22"/>
              <w:ind w:right="135"/>
              <w:jc w:val="right"/>
              <w:rPr>
                <w:sz w:val="20"/>
              </w:rPr>
            </w:pPr>
            <w:r>
              <w:rPr>
                <w:sz w:val="20"/>
              </w:rPr>
              <w:t>—</w:t>
            </w:r>
          </w:p>
        </w:tc>
        <w:tc>
          <w:tcPr>
            <w:tcW w:w="1099" w:type="dxa"/>
          </w:tcPr>
          <w:p w14:paraId="7326C678" w14:textId="77777777" w:rsidR="00EF3DFB" w:rsidRDefault="00D27C17">
            <w:pPr>
              <w:pStyle w:val="TableParagraph"/>
              <w:spacing w:before="22"/>
              <w:ind w:right="154"/>
              <w:jc w:val="right"/>
              <w:rPr>
                <w:sz w:val="20"/>
              </w:rPr>
            </w:pPr>
            <w:r>
              <w:rPr>
                <w:sz w:val="20"/>
              </w:rPr>
              <w:t>59</w:t>
            </w:r>
          </w:p>
        </w:tc>
        <w:tc>
          <w:tcPr>
            <w:tcW w:w="971" w:type="dxa"/>
          </w:tcPr>
          <w:p w14:paraId="7326C679" w14:textId="77777777" w:rsidR="00EF3DFB" w:rsidRDefault="00D27C17">
            <w:pPr>
              <w:pStyle w:val="TableParagraph"/>
              <w:spacing w:before="22"/>
              <w:ind w:right="45"/>
              <w:jc w:val="right"/>
              <w:rPr>
                <w:sz w:val="20"/>
              </w:rPr>
            </w:pPr>
            <w:r>
              <w:rPr>
                <w:sz w:val="20"/>
              </w:rPr>
              <w:t>3,488</w:t>
            </w:r>
          </w:p>
        </w:tc>
        <w:tc>
          <w:tcPr>
            <w:tcW w:w="1211" w:type="dxa"/>
          </w:tcPr>
          <w:p w14:paraId="7326C67A" w14:textId="77777777" w:rsidR="00EF3DFB" w:rsidRDefault="00D27C17">
            <w:pPr>
              <w:pStyle w:val="TableParagraph"/>
              <w:spacing w:before="22"/>
              <w:ind w:right="110"/>
              <w:jc w:val="right"/>
              <w:rPr>
                <w:sz w:val="20"/>
              </w:rPr>
            </w:pPr>
            <w:r>
              <w:rPr>
                <w:sz w:val="20"/>
              </w:rPr>
              <w:t>(846)</w:t>
            </w:r>
          </w:p>
        </w:tc>
        <w:tc>
          <w:tcPr>
            <w:tcW w:w="986" w:type="dxa"/>
          </w:tcPr>
          <w:p w14:paraId="7326C67B" w14:textId="77777777" w:rsidR="00EF3DFB" w:rsidRDefault="00D27C17">
            <w:pPr>
              <w:pStyle w:val="TableParagraph"/>
              <w:spacing w:before="22"/>
              <w:ind w:right="82"/>
              <w:jc w:val="right"/>
              <w:rPr>
                <w:sz w:val="20"/>
              </w:rPr>
            </w:pPr>
            <w:r>
              <w:rPr>
                <w:sz w:val="20"/>
              </w:rPr>
              <w:t>2,642</w:t>
            </w:r>
          </w:p>
        </w:tc>
      </w:tr>
      <w:tr w:rsidR="00EF3DFB" w14:paraId="7326C685" w14:textId="77777777">
        <w:trPr>
          <w:trHeight w:val="290"/>
        </w:trPr>
        <w:tc>
          <w:tcPr>
            <w:tcW w:w="3045" w:type="dxa"/>
            <w:shd w:val="clear" w:color="auto" w:fill="CCEDFF"/>
          </w:tcPr>
          <w:p w14:paraId="7326C67D" w14:textId="77777777" w:rsidR="00EF3DFB" w:rsidRDefault="00D27C17">
            <w:pPr>
              <w:pStyle w:val="TableParagraph"/>
              <w:spacing w:before="22"/>
              <w:ind w:left="52"/>
              <w:rPr>
                <w:sz w:val="20"/>
              </w:rPr>
            </w:pPr>
            <w:r>
              <w:rPr>
                <w:sz w:val="20"/>
              </w:rPr>
              <w:t>Outdoor and Recreation</w:t>
            </w:r>
          </w:p>
        </w:tc>
        <w:tc>
          <w:tcPr>
            <w:tcW w:w="1028" w:type="dxa"/>
            <w:tcBorders>
              <w:bottom w:val="single" w:sz="8" w:space="0" w:color="000000"/>
            </w:tcBorders>
            <w:shd w:val="clear" w:color="auto" w:fill="CCEDFF"/>
          </w:tcPr>
          <w:p w14:paraId="7326C67E" w14:textId="77777777" w:rsidR="00EF3DFB" w:rsidRDefault="00D27C17">
            <w:pPr>
              <w:pStyle w:val="TableParagraph"/>
              <w:spacing w:before="22"/>
              <w:ind w:right="102"/>
              <w:jc w:val="right"/>
              <w:rPr>
                <w:sz w:val="20"/>
              </w:rPr>
            </w:pPr>
            <w:r>
              <w:rPr>
                <w:sz w:val="20"/>
              </w:rPr>
              <w:t>—</w:t>
            </w:r>
          </w:p>
        </w:tc>
        <w:tc>
          <w:tcPr>
            <w:tcW w:w="1203" w:type="dxa"/>
            <w:tcBorders>
              <w:bottom w:val="single" w:sz="8" w:space="0" w:color="000000"/>
            </w:tcBorders>
            <w:shd w:val="clear" w:color="auto" w:fill="CCEDFF"/>
          </w:tcPr>
          <w:p w14:paraId="7326C67F" w14:textId="77777777" w:rsidR="00EF3DFB" w:rsidRDefault="00D27C17">
            <w:pPr>
              <w:pStyle w:val="TableParagraph"/>
              <w:spacing w:before="22"/>
              <w:ind w:right="135"/>
              <w:jc w:val="right"/>
              <w:rPr>
                <w:sz w:val="20"/>
              </w:rPr>
            </w:pPr>
            <w:r>
              <w:rPr>
                <w:sz w:val="20"/>
              </w:rPr>
              <w:t>—</w:t>
            </w:r>
          </w:p>
        </w:tc>
        <w:tc>
          <w:tcPr>
            <w:tcW w:w="1080" w:type="dxa"/>
            <w:tcBorders>
              <w:bottom w:val="single" w:sz="8" w:space="0" w:color="000000"/>
            </w:tcBorders>
            <w:shd w:val="clear" w:color="auto" w:fill="CCEDFF"/>
          </w:tcPr>
          <w:p w14:paraId="7326C680" w14:textId="77777777" w:rsidR="00EF3DFB" w:rsidRDefault="00D27C17">
            <w:pPr>
              <w:pStyle w:val="TableParagraph"/>
              <w:spacing w:before="22"/>
              <w:ind w:right="135"/>
              <w:jc w:val="right"/>
              <w:rPr>
                <w:sz w:val="20"/>
              </w:rPr>
            </w:pPr>
            <w:r>
              <w:rPr>
                <w:sz w:val="20"/>
              </w:rPr>
              <w:t>—</w:t>
            </w:r>
          </w:p>
        </w:tc>
        <w:tc>
          <w:tcPr>
            <w:tcW w:w="1099" w:type="dxa"/>
            <w:tcBorders>
              <w:bottom w:val="single" w:sz="8" w:space="0" w:color="000000"/>
            </w:tcBorders>
            <w:shd w:val="clear" w:color="auto" w:fill="CCEDFF"/>
          </w:tcPr>
          <w:p w14:paraId="7326C681" w14:textId="77777777" w:rsidR="00EF3DFB" w:rsidRDefault="00D27C17">
            <w:pPr>
              <w:pStyle w:val="TableParagraph"/>
              <w:spacing w:before="22"/>
              <w:ind w:right="154"/>
              <w:jc w:val="right"/>
              <w:rPr>
                <w:sz w:val="20"/>
              </w:rPr>
            </w:pPr>
            <w:r>
              <w:rPr>
                <w:sz w:val="20"/>
              </w:rPr>
              <w:t>—</w:t>
            </w:r>
          </w:p>
        </w:tc>
        <w:tc>
          <w:tcPr>
            <w:tcW w:w="971" w:type="dxa"/>
            <w:tcBorders>
              <w:bottom w:val="single" w:sz="8" w:space="0" w:color="000000"/>
            </w:tcBorders>
            <w:shd w:val="clear" w:color="auto" w:fill="CCEDFF"/>
          </w:tcPr>
          <w:p w14:paraId="7326C682" w14:textId="77777777" w:rsidR="00EF3DFB" w:rsidRDefault="00D27C17">
            <w:pPr>
              <w:pStyle w:val="TableParagraph"/>
              <w:spacing w:before="22"/>
              <w:ind w:right="45"/>
              <w:jc w:val="right"/>
              <w:rPr>
                <w:sz w:val="20"/>
              </w:rPr>
            </w:pPr>
            <w:r>
              <w:rPr>
                <w:sz w:val="20"/>
              </w:rPr>
              <w:t>788</w:t>
            </w:r>
          </w:p>
        </w:tc>
        <w:tc>
          <w:tcPr>
            <w:tcW w:w="1211" w:type="dxa"/>
            <w:tcBorders>
              <w:bottom w:val="single" w:sz="8" w:space="0" w:color="000000"/>
            </w:tcBorders>
            <w:shd w:val="clear" w:color="auto" w:fill="CCEDFF"/>
          </w:tcPr>
          <w:p w14:paraId="7326C683" w14:textId="77777777" w:rsidR="00EF3DFB" w:rsidRDefault="00D27C17">
            <w:pPr>
              <w:pStyle w:val="TableParagraph"/>
              <w:spacing w:before="22"/>
              <w:ind w:right="110"/>
              <w:jc w:val="right"/>
              <w:rPr>
                <w:sz w:val="20"/>
              </w:rPr>
            </w:pPr>
            <w:r>
              <w:rPr>
                <w:sz w:val="20"/>
              </w:rPr>
              <w:t>(788)</w:t>
            </w:r>
          </w:p>
        </w:tc>
        <w:tc>
          <w:tcPr>
            <w:tcW w:w="986" w:type="dxa"/>
            <w:tcBorders>
              <w:bottom w:val="single" w:sz="8" w:space="0" w:color="000000"/>
            </w:tcBorders>
            <w:shd w:val="clear" w:color="auto" w:fill="CCEDFF"/>
          </w:tcPr>
          <w:p w14:paraId="7326C684" w14:textId="77777777" w:rsidR="00EF3DFB" w:rsidRDefault="00D27C17">
            <w:pPr>
              <w:pStyle w:val="TableParagraph"/>
              <w:spacing w:before="22"/>
              <w:ind w:right="82"/>
              <w:jc w:val="right"/>
              <w:rPr>
                <w:sz w:val="20"/>
              </w:rPr>
            </w:pPr>
            <w:r>
              <w:rPr>
                <w:sz w:val="20"/>
              </w:rPr>
              <w:t>—</w:t>
            </w:r>
          </w:p>
        </w:tc>
      </w:tr>
      <w:tr w:rsidR="00EF3DFB" w14:paraId="7326C68E" w14:textId="77777777">
        <w:trPr>
          <w:trHeight w:val="300"/>
        </w:trPr>
        <w:tc>
          <w:tcPr>
            <w:tcW w:w="3045" w:type="dxa"/>
          </w:tcPr>
          <w:p w14:paraId="7326C686" w14:textId="77777777" w:rsidR="00EF3DFB" w:rsidRDefault="00EF3DFB">
            <w:pPr>
              <w:pStyle w:val="TableParagraph"/>
              <w:rPr>
                <w:sz w:val="18"/>
              </w:rPr>
            </w:pPr>
          </w:p>
        </w:tc>
        <w:tc>
          <w:tcPr>
            <w:tcW w:w="1028" w:type="dxa"/>
            <w:tcBorders>
              <w:top w:val="single" w:sz="8" w:space="0" w:color="000000"/>
              <w:bottom w:val="single" w:sz="8" w:space="0" w:color="000000"/>
            </w:tcBorders>
          </w:tcPr>
          <w:p w14:paraId="7326C687" w14:textId="77777777" w:rsidR="00EF3DFB" w:rsidRDefault="00D27C17">
            <w:pPr>
              <w:pStyle w:val="TableParagraph"/>
              <w:tabs>
                <w:tab w:val="left" w:pos="420"/>
              </w:tabs>
              <w:spacing w:before="30"/>
              <w:ind w:right="102"/>
              <w:jc w:val="right"/>
              <w:rPr>
                <w:sz w:val="20"/>
              </w:rPr>
            </w:pPr>
            <w:r>
              <w:rPr>
                <w:sz w:val="20"/>
                <w:u w:val="single"/>
              </w:rPr>
              <w:t>$</w:t>
            </w:r>
            <w:r>
              <w:rPr>
                <w:sz w:val="20"/>
                <w:u w:val="single"/>
              </w:rPr>
              <w:tab/>
              <w:t>3,709</w:t>
            </w:r>
          </w:p>
        </w:tc>
        <w:tc>
          <w:tcPr>
            <w:tcW w:w="1203" w:type="dxa"/>
            <w:tcBorders>
              <w:top w:val="single" w:sz="8" w:space="0" w:color="000000"/>
              <w:bottom w:val="single" w:sz="8" w:space="0" w:color="000000"/>
            </w:tcBorders>
          </w:tcPr>
          <w:p w14:paraId="7326C688" w14:textId="77777777" w:rsidR="00EF3DFB" w:rsidRDefault="00D27C17">
            <w:pPr>
              <w:pStyle w:val="TableParagraph"/>
              <w:tabs>
                <w:tab w:val="left" w:pos="898"/>
              </w:tabs>
              <w:spacing w:before="30"/>
              <w:ind w:left="104"/>
              <w:rPr>
                <w:sz w:val="20"/>
              </w:rPr>
            </w:pPr>
            <w:r>
              <w:rPr>
                <w:sz w:val="20"/>
                <w:u w:val="single"/>
              </w:rPr>
              <w:t>$</w:t>
            </w:r>
            <w:r>
              <w:rPr>
                <w:sz w:val="20"/>
                <w:u w:val="single"/>
              </w:rPr>
              <w:tab/>
              <w:t>(3)</w:t>
            </w:r>
          </w:p>
        </w:tc>
        <w:tc>
          <w:tcPr>
            <w:tcW w:w="1080" w:type="dxa"/>
            <w:tcBorders>
              <w:top w:val="single" w:sz="8" w:space="0" w:color="000000"/>
              <w:bottom w:val="single" w:sz="8" w:space="0" w:color="000000"/>
            </w:tcBorders>
          </w:tcPr>
          <w:p w14:paraId="7326C689" w14:textId="77777777" w:rsidR="00EF3DFB" w:rsidRDefault="00D27C17">
            <w:pPr>
              <w:pStyle w:val="TableParagraph"/>
              <w:tabs>
                <w:tab w:val="left" w:pos="575"/>
              </w:tabs>
              <w:spacing w:before="30"/>
              <w:ind w:left="71"/>
              <w:rPr>
                <w:sz w:val="20"/>
              </w:rPr>
            </w:pPr>
            <w:r>
              <w:rPr>
                <w:sz w:val="20"/>
                <w:u w:val="single"/>
              </w:rPr>
              <w:t>$</w:t>
            </w:r>
            <w:r>
              <w:rPr>
                <w:sz w:val="20"/>
                <w:u w:val="single"/>
              </w:rPr>
              <w:tab/>
              <w:t>(212)</w:t>
            </w:r>
          </w:p>
        </w:tc>
        <w:tc>
          <w:tcPr>
            <w:tcW w:w="1099" w:type="dxa"/>
            <w:tcBorders>
              <w:top w:val="single" w:sz="8" w:space="0" w:color="000000"/>
              <w:bottom w:val="single" w:sz="8" w:space="0" w:color="000000"/>
            </w:tcBorders>
          </w:tcPr>
          <w:p w14:paraId="7326C68A" w14:textId="77777777" w:rsidR="00EF3DFB" w:rsidRDefault="00D27C17">
            <w:pPr>
              <w:pStyle w:val="TableParagraph"/>
              <w:tabs>
                <w:tab w:val="left" w:pos="670"/>
              </w:tabs>
              <w:spacing w:before="30"/>
              <w:ind w:right="154"/>
              <w:jc w:val="right"/>
              <w:rPr>
                <w:sz w:val="20"/>
              </w:rPr>
            </w:pPr>
            <w:r>
              <w:rPr>
                <w:sz w:val="20"/>
                <w:u w:val="single"/>
              </w:rPr>
              <w:t>$</w:t>
            </w:r>
            <w:r>
              <w:rPr>
                <w:sz w:val="20"/>
                <w:u w:val="single"/>
              </w:rPr>
              <w:tab/>
              <w:t>59</w:t>
            </w:r>
          </w:p>
        </w:tc>
        <w:tc>
          <w:tcPr>
            <w:tcW w:w="971" w:type="dxa"/>
            <w:tcBorders>
              <w:top w:val="single" w:sz="8" w:space="0" w:color="000000"/>
              <w:bottom w:val="single" w:sz="8" w:space="0" w:color="000000"/>
            </w:tcBorders>
          </w:tcPr>
          <w:p w14:paraId="7326C68B" w14:textId="77777777" w:rsidR="00EF3DFB" w:rsidRDefault="00D27C17">
            <w:pPr>
              <w:pStyle w:val="TableParagraph"/>
              <w:tabs>
                <w:tab w:val="left" w:pos="420"/>
              </w:tabs>
              <w:spacing w:before="30"/>
              <w:ind w:right="45"/>
              <w:jc w:val="right"/>
              <w:rPr>
                <w:sz w:val="20"/>
              </w:rPr>
            </w:pPr>
            <w:r>
              <w:rPr>
                <w:sz w:val="20"/>
                <w:u w:val="single"/>
              </w:rPr>
              <w:t>$</w:t>
            </w:r>
            <w:r>
              <w:rPr>
                <w:sz w:val="20"/>
                <w:u w:val="single"/>
              </w:rPr>
              <w:tab/>
              <w:t>8,653</w:t>
            </w:r>
          </w:p>
        </w:tc>
        <w:tc>
          <w:tcPr>
            <w:tcW w:w="1211" w:type="dxa"/>
            <w:tcBorders>
              <w:top w:val="single" w:sz="8" w:space="0" w:color="000000"/>
              <w:bottom w:val="single" w:sz="8" w:space="0" w:color="000000"/>
            </w:tcBorders>
          </w:tcPr>
          <w:p w14:paraId="7326C68C" w14:textId="77777777" w:rsidR="00EF3DFB" w:rsidRDefault="00D27C17">
            <w:pPr>
              <w:pStyle w:val="TableParagraph"/>
              <w:tabs>
                <w:tab w:val="left" w:pos="515"/>
              </w:tabs>
              <w:spacing w:before="30"/>
              <w:ind w:left="161"/>
              <w:rPr>
                <w:sz w:val="20"/>
              </w:rPr>
            </w:pPr>
            <w:r>
              <w:rPr>
                <w:sz w:val="20"/>
                <w:u w:val="single"/>
              </w:rPr>
              <w:t>$</w:t>
            </w:r>
            <w:r>
              <w:rPr>
                <w:sz w:val="20"/>
                <w:u w:val="single"/>
              </w:rPr>
              <w:tab/>
              <w:t>(5,100)</w:t>
            </w:r>
          </w:p>
        </w:tc>
        <w:tc>
          <w:tcPr>
            <w:tcW w:w="986" w:type="dxa"/>
            <w:tcBorders>
              <w:top w:val="single" w:sz="8" w:space="0" w:color="000000"/>
              <w:bottom w:val="single" w:sz="8" w:space="0" w:color="000000"/>
            </w:tcBorders>
          </w:tcPr>
          <w:p w14:paraId="7326C68D" w14:textId="77777777" w:rsidR="00EF3DFB" w:rsidRDefault="00D27C17">
            <w:pPr>
              <w:pStyle w:val="TableParagraph"/>
              <w:tabs>
                <w:tab w:val="left" w:pos="420"/>
              </w:tabs>
              <w:spacing w:before="30"/>
              <w:ind w:right="82"/>
              <w:jc w:val="right"/>
              <w:rPr>
                <w:sz w:val="20"/>
              </w:rPr>
            </w:pPr>
            <w:r>
              <w:rPr>
                <w:sz w:val="20"/>
                <w:u w:val="single"/>
              </w:rPr>
              <w:t>$</w:t>
            </w:r>
            <w:r>
              <w:rPr>
                <w:sz w:val="20"/>
                <w:u w:val="single"/>
              </w:rPr>
              <w:tab/>
              <w:t>3,553</w:t>
            </w:r>
          </w:p>
        </w:tc>
      </w:tr>
    </w:tbl>
    <w:p w14:paraId="7326C68F" w14:textId="77777777" w:rsidR="00EF3DFB" w:rsidRDefault="00D27C17">
      <w:pPr>
        <w:pStyle w:val="ListParagraph"/>
        <w:numPr>
          <w:ilvl w:val="1"/>
          <w:numId w:val="22"/>
        </w:numPr>
        <w:tabs>
          <w:tab w:val="left" w:pos="550"/>
        </w:tabs>
        <w:spacing w:before="141" w:line="249" w:lineRule="auto"/>
        <w:ind w:right="170"/>
        <w:rPr>
          <w:sz w:val="16"/>
        </w:rPr>
      </w:pPr>
      <w:r>
        <w:rPr>
          <w:sz w:val="16"/>
        </w:rPr>
        <w:t xml:space="preserve">During the third quarter of 2020, the Company divested a product line in its Learning and Development segment and allocated $3 million of reporting unit goodwill to the calculation of loss on disposal of business. See </w:t>
      </w:r>
      <w:r>
        <w:rPr>
          <w:i/>
          <w:sz w:val="16"/>
        </w:rPr>
        <w:t xml:space="preserve">Footnote 2 </w:t>
      </w:r>
      <w:r>
        <w:rPr>
          <w:sz w:val="16"/>
        </w:rPr>
        <w:t>for further</w:t>
      </w:r>
      <w:r>
        <w:rPr>
          <w:spacing w:val="-6"/>
          <w:sz w:val="16"/>
        </w:rPr>
        <w:t xml:space="preserve"> </w:t>
      </w:r>
      <w:r>
        <w:rPr>
          <w:sz w:val="16"/>
        </w:rPr>
        <w:t>information.</w:t>
      </w:r>
    </w:p>
    <w:p w14:paraId="7326C690" w14:textId="77777777" w:rsidR="00EF3DFB" w:rsidRDefault="00D27C17">
      <w:pPr>
        <w:pStyle w:val="ListParagraph"/>
        <w:numPr>
          <w:ilvl w:val="1"/>
          <w:numId w:val="22"/>
        </w:numPr>
        <w:tabs>
          <w:tab w:val="left" w:pos="550"/>
        </w:tabs>
        <w:spacing w:before="121" w:line="249" w:lineRule="auto"/>
        <w:ind w:right="163"/>
        <w:jc w:val="both"/>
        <w:rPr>
          <w:sz w:val="16"/>
        </w:rPr>
      </w:pPr>
      <w:r>
        <w:rPr>
          <w:sz w:val="16"/>
        </w:rPr>
        <w:t>Du</w:t>
      </w:r>
      <w:r>
        <w:rPr>
          <w:sz w:val="16"/>
        </w:rPr>
        <w:t>ring the first quarter of 2020, the Company concluded that a triggering event had occurred for all of its reporting units as a result of the COVID-19 global pandemic. Pursuant to the authoritative literature, the Company performed an impairment test and de</w:t>
      </w:r>
      <w:r>
        <w:rPr>
          <w:sz w:val="16"/>
        </w:rPr>
        <w:t xml:space="preserve">termined that the goodwill associated with its Appliances and Cookware reporting unit was fully impaired and recorded a non-cash charge of $212 million to reduce the reporting unit's goodwill to zero. See </w:t>
      </w:r>
      <w:r>
        <w:rPr>
          <w:i/>
          <w:sz w:val="16"/>
        </w:rPr>
        <w:t xml:space="preserve">Footnote 1 </w:t>
      </w:r>
      <w:r>
        <w:rPr>
          <w:sz w:val="16"/>
        </w:rPr>
        <w:t>for further</w:t>
      </w:r>
      <w:r>
        <w:rPr>
          <w:spacing w:val="-1"/>
          <w:sz w:val="16"/>
        </w:rPr>
        <w:t xml:space="preserve"> </w:t>
      </w:r>
      <w:r>
        <w:rPr>
          <w:sz w:val="16"/>
        </w:rPr>
        <w:t>information.</w:t>
      </w:r>
    </w:p>
    <w:p w14:paraId="7326C691" w14:textId="77777777" w:rsidR="00EF3DFB" w:rsidRDefault="00EF3DFB">
      <w:pPr>
        <w:pStyle w:val="BodyText"/>
        <w:spacing w:before="6"/>
        <w:rPr>
          <w:sz w:val="27"/>
        </w:rPr>
      </w:pPr>
    </w:p>
    <w:tbl>
      <w:tblPr>
        <w:tblW w:w="0" w:type="auto"/>
        <w:tblInd w:w="190" w:type="dxa"/>
        <w:tblLayout w:type="fixed"/>
        <w:tblCellMar>
          <w:left w:w="0" w:type="dxa"/>
          <w:right w:w="0" w:type="dxa"/>
        </w:tblCellMar>
        <w:tblLook w:val="01E0" w:firstRow="1" w:lastRow="1" w:firstColumn="1" w:lastColumn="1" w:noHBand="0" w:noVBand="0"/>
      </w:tblPr>
      <w:tblGrid>
        <w:gridCol w:w="3045"/>
        <w:gridCol w:w="1028"/>
        <w:gridCol w:w="1203"/>
        <w:gridCol w:w="1080"/>
        <w:gridCol w:w="1099"/>
        <w:gridCol w:w="971"/>
        <w:gridCol w:w="1211"/>
        <w:gridCol w:w="986"/>
      </w:tblGrid>
      <w:tr w:rsidR="00EF3DFB" w14:paraId="7326C695" w14:textId="77777777">
        <w:trPr>
          <w:trHeight w:val="174"/>
        </w:trPr>
        <w:tc>
          <w:tcPr>
            <w:tcW w:w="8426" w:type="dxa"/>
            <w:gridSpan w:val="6"/>
          </w:tcPr>
          <w:p w14:paraId="7326C692" w14:textId="77777777" w:rsidR="00EF3DFB" w:rsidRDefault="00EF3DFB">
            <w:pPr>
              <w:pStyle w:val="TableParagraph"/>
              <w:rPr>
                <w:sz w:val="10"/>
              </w:rPr>
            </w:pPr>
          </w:p>
        </w:tc>
        <w:tc>
          <w:tcPr>
            <w:tcW w:w="1211" w:type="dxa"/>
            <w:tcBorders>
              <w:bottom w:val="single" w:sz="8" w:space="0" w:color="000000"/>
            </w:tcBorders>
          </w:tcPr>
          <w:p w14:paraId="7326C693" w14:textId="77777777" w:rsidR="00EF3DFB" w:rsidRDefault="00D27C17">
            <w:pPr>
              <w:pStyle w:val="TableParagraph"/>
              <w:spacing w:line="155" w:lineRule="exact"/>
              <w:ind w:right="32"/>
              <w:jc w:val="right"/>
              <w:rPr>
                <w:b/>
                <w:sz w:val="14"/>
              </w:rPr>
            </w:pPr>
            <w:r>
              <w:rPr>
                <w:b/>
                <w:sz w:val="14"/>
              </w:rPr>
              <w:t xml:space="preserve">December 31, </w:t>
            </w:r>
            <w:r>
              <w:rPr>
                <w:b/>
                <w:sz w:val="14"/>
              </w:rPr>
              <w:t>2019</w:t>
            </w:r>
          </w:p>
        </w:tc>
        <w:tc>
          <w:tcPr>
            <w:tcW w:w="986" w:type="dxa"/>
            <w:tcBorders>
              <w:bottom w:val="single" w:sz="8" w:space="0" w:color="000000"/>
            </w:tcBorders>
          </w:tcPr>
          <w:p w14:paraId="7326C694" w14:textId="77777777" w:rsidR="00EF3DFB" w:rsidRDefault="00EF3DFB">
            <w:pPr>
              <w:pStyle w:val="TableParagraph"/>
              <w:rPr>
                <w:sz w:val="10"/>
              </w:rPr>
            </w:pPr>
          </w:p>
        </w:tc>
      </w:tr>
      <w:tr w:rsidR="00EF3DFB" w14:paraId="7326C6A2" w14:textId="77777777">
        <w:trPr>
          <w:trHeight w:val="332"/>
        </w:trPr>
        <w:tc>
          <w:tcPr>
            <w:tcW w:w="3045" w:type="dxa"/>
          </w:tcPr>
          <w:p w14:paraId="7326C696" w14:textId="77777777" w:rsidR="00EF3DFB" w:rsidRDefault="00EF3DFB">
            <w:pPr>
              <w:pStyle w:val="TableParagraph"/>
              <w:rPr>
                <w:sz w:val="18"/>
              </w:rPr>
            </w:pPr>
          </w:p>
        </w:tc>
        <w:tc>
          <w:tcPr>
            <w:tcW w:w="1028" w:type="dxa"/>
          </w:tcPr>
          <w:p w14:paraId="7326C697" w14:textId="77777777" w:rsidR="00EF3DFB" w:rsidRDefault="00D27C17">
            <w:pPr>
              <w:pStyle w:val="TableParagraph"/>
              <w:spacing w:before="57" w:line="140" w:lineRule="exact"/>
              <w:ind w:left="251" w:right="228" w:hanging="28"/>
              <w:rPr>
                <w:b/>
                <w:sz w:val="14"/>
              </w:rPr>
            </w:pPr>
            <w:r>
              <w:rPr>
                <w:b/>
                <w:sz w:val="14"/>
              </w:rPr>
              <w:t>Net Book Value at</w:t>
            </w:r>
          </w:p>
        </w:tc>
        <w:tc>
          <w:tcPr>
            <w:tcW w:w="1203" w:type="dxa"/>
          </w:tcPr>
          <w:p w14:paraId="7326C698" w14:textId="77777777" w:rsidR="00EF3DFB" w:rsidRDefault="00EF3DFB">
            <w:pPr>
              <w:pStyle w:val="TableParagraph"/>
              <w:spacing w:before="6"/>
              <w:rPr>
                <w:sz w:val="15"/>
              </w:rPr>
            </w:pPr>
          </w:p>
          <w:p w14:paraId="7326C699" w14:textId="77777777" w:rsidR="00EF3DFB" w:rsidRDefault="00D27C17">
            <w:pPr>
              <w:pStyle w:val="TableParagraph"/>
              <w:spacing w:line="133" w:lineRule="exact"/>
              <w:ind w:left="402" w:right="403"/>
              <w:jc w:val="center"/>
              <w:rPr>
                <w:b/>
                <w:sz w:val="14"/>
              </w:rPr>
            </w:pPr>
            <w:r>
              <w:rPr>
                <w:b/>
                <w:sz w:val="14"/>
              </w:rPr>
              <w:t>Other</w:t>
            </w:r>
          </w:p>
        </w:tc>
        <w:tc>
          <w:tcPr>
            <w:tcW w:w="1080" w:type="dxa"/>
          </w:tcPr>
          <w:p w14:paraId="7326C69A" w14:textId="77777777" w:rsidR="00EF3DFB" w:rsidRDefault="00EF3DFB">
            <w:pPr>
              <w:pStyle w:val="TableParagraph"/>
              <w:spacing w:before="6"/>
              <w:rPr>
                <w:sz w:val="15"/>
              </w:rPr>
            </w:pPr>
          </w:p>
          <w:p w14:paraId="7326C69B" w14:textId="77777777" w:rsidR="00EF3DFB" w:rsidRDefault="00D27C17">
            <w:pPr>
              <w:pStyle w:val="TableParagraph"/>
              <w:spacing w:line="133" w:lineRule="exact"/>
              <w:ind w:left="160"/>
              <w:rPr>
                <w:b/>
                <w:sz w:val="14"/>
              </w:rPr>
            </w:pPr>
            <w:r>
              <w:rPr>
                <w:b/>
                <w:sz w:val="14"/>
              </w:rPr>
              <w:t>Impairment</w:t>
            </w:r>
          </w:p>
        </w:tc>
        <w:tc>
          <w:tcPr>
            <w:tcW w:w="1099" w:type="dxa"/>
          </w:tcPr>
          <w:p w14:paraId="7326C69C" w14:textId="77777777" w:rsidR="00EF3DFB" w:rsidRDefault="00EF3DFB">
            <w:pPr>
              <w:pStyle w:val="TableParagraph"/>
              <w:rPr>
                <w:sz w:val="18"/>
              </w:rPr>
            </w:pPr>
          </w:p>
        </w:tc>
        <w:tc>
          <w:tcPr>
            <w:tcW w:w="971" w:type="dxa"/>
            <w:tcBorders>
              <w:top w:val="single" w:sz="8" w:space="0" w:color="000000"/>
            </w:tcBorders>
          </w:tcPr>
          <w:p w14:paraId="7326C69D" w14:textId="77777777" w:rsidR="00EF3DFB" w:rsidRDefault="00EF3DFB">
            <w:pPr>
              <w:pStyle w:val="TableParagraph"/>
              <w:spacing w:before="6"/>
              <w:rPr>
                <w:sz w:val="15"/>
              </w:rPr>
            </w:pPr>
          </w:p>
          <w:p w14:paraId="7326C69E" w14:textId="77777777" w:rsidR="00EF3DFB" w:rsidRDefault="00D27C17">
            <w:pPr>
              <w:pStyle w:val="TableParagraph"/>
              <w:spacing w:line="133" w:lineRule="exact"/>
              <w:ind w:left="327"/>
              <w:rPr>
                <w:b/>
                <w:sz w:val="14"/>
              </w:rPr>
            </w:pPr>
            <w:r>
              <w:rPr>
                <w:b/>
                <w:sz w:val="14"/>
              </w:rPr>
              <w:t>Gross</w:t>
            </w:r>
          </w:p>
        </w:tc>
        <w:tc>
          <w:tcPr>
            <w:tcW w:w="1211" w:type="dxa"/>
            <w:tcBorders>
              <w:top w:val="single" w:sz="8" w:space="0" w:color="000000"/>
            </w:tcBorders>
          </w:tcPr>
          <w:p w14:paraId="7326C69F" w14:textId="77777777" w:rsidR="00EF3DFB" w:rsidRDefault="00EF3DFB">
            <w:pPr>
              <w:pStyle w:val="TableParagraph"/>
              <w:spacing w:before="6"/>
              <w:rPr>
                <w:sz w:val="15"/>
              </w:rPr>
            </w:pPr>
          </w:p>
          <w:p w14:paraId="7326C6A0" w14:textId="77777777" w:rsidR="00EF3DFB" w:rsidRDefault="00D27C17">
            <w:pPr>
              <w:pStyle w:val="TableParagraph"/>
              <w:spacing w:line="133" w:lineRule="exact"/>
              <w:ind w:left="215"/>
              <w:rPr>
                <w:b/>
                <w:sz w:val="14"/>
              </w:rPr>
            </w:pPr>
            <w:r>
              <w:rPr>
                <w:b/>
                <w:sz w:val="14"/>
              </w:rPr>
              <w:t>Accumulated</w:t>
            </w:r>
          </w:p>
        </w:tc>
        <w:tc>
          <w:tcPr>
            <w:tcW w:w="986" w:type="dxa"/>
            <w:tcBorders>
              <w:top w:val="single" w:sz="8" w:space="0" w:color="000000"/>
            </w:tcBorders>
          </w:tcPr>
          <w:p w14:paraId="7326C6A1" w14:textId="77777777" w:rsidR="00EF3DFB" w:rsidRDefault="00EF3DFB">
            <w:pPr>
              <w:pStyle w:val="TableParagraph"/>
              <w:rPr>
                <w:sz w:val="18"/>
              </w:rPr>
            </w:pPr>
          </w:p>
        </w:tc>
      </w:tr>
      <w:tr w:rsidR="00EF3DFB" w14:paraId="7326C6AB" w14:textId="77777777">
        <w:trPr>
          <w:trHeight w:val="136"/>
        </w:trPr>
        <w:tc>
          <w:tcPr>
            <w:tcW w:w="3045" w:type="dxa"/>
          </w:tcPr>
          <w:p w14:paraId="7326C6A3" w14:textId="77777777" w:rsidR="00EF3DFB" w:rsidRDefault="00EF3DFB">
            <w:pPr>
              <w:pStyle w:val="TableParagraph"/>
              <w:rPr>
                <w:sz w:val="8"/>
              </w:rPr>
            </w:pPr>
          </w:p>
        </w:tc>
        <w:tc>
          <w:tcPr>
            <w:tcW w:w="1028" w:type="dxa"/>
          </w:tcPr>
          <w:p w14:paraId="7326C6A4" w14:textId="77777777" w:rsidR="00EF3DFB" w:rsidRDefault="00D27C17">
            <w:pPr>
              <w:pStyle w:val="TableParagraph"/>
              <w:spacing w:line="116" w:lineRule="exact"/>
              <w:ind w:right="115"/>
              <w:jc w:val="right"/>
              <w:rPr>
                <w:b/>
                <w:sz w:val="14"/>
              </w:rPr>
            </w:pPr>
            <w:r>
              <w:rPr>
                <w:b/>
                <w:sz w:val="14"/>
              </w:rPr>
              <w:t>December 31,</w:t>
            </w:r>
          </w:p>
        </w:tc>
        <w:tc>
          <w:tcPr>
            <w:tcW w:w="1203" w:type="dxa"/>
          </w:tcPr>
          <w:p w14:paraId="7326C6A5" w14:textId="77777777" w:rsidR="00EF3DFB" w:rsidRDefault="00D27C17">
            <w:pPr>
              <w:pStyle w:val="TableParagraph"/>
              <w:spacing w:line="116" w:lineRule="exact"/>
              <w:ind w:left="218"/>
              <w:rPr>
                <w:b/>
                <w:sz w:val="14"/>
              </w:rPr>
            </w:pPr>
            <w:r>
              <w:rPr>
                <w:b/>
                <w:sz w:val="14"/>
              </w:rPr>
              <w:t>Adjustments</w:t>
            </w:r>
          </w:p>
        </w:tc>
        <w:tc>
          <w:tcPr>
            <w:tcW w:w="1080" w:type="dxa"/>
          </w:tcPr>
          <w:p w14:paraId="7326C6A6" w14:textId="77777777" w:rsidR="00EF3DFB" w:rsidRDefault="00D27C17">
            <w:pPr>
              <w:pStyle w:val="TableParagraph"/>
              <w:spacing w:line="116" w:lineRule="exact"/>
              <w:ind w:left="272"/>
              <w:rPr>
                <w:b/>
                <w:sz w:val="14"/>
              </w:rPr>
            </w:pPr>
            <w:r>
              <w:rPr>
                <w:b/>
                <w:sz w:val="14"/>
              </w:rPr>
              <w:t>Charges</w:t>
            </w:r>
          </w:p>
        </w:tc>
        <w:tc>
          <w:tcPr>
            <w:tcW w:w="1099" w:type="dxa"/>
          </w:tcPr>
          <w:p w14:paraId="7326C6A7" w14:textId="77777777" w:rsidR="00EF3DFB" w:rsidRDefault="00D27C17">
            <w:pPr>
              <w:pStyle w:val="TableParagraph"/>
              <w:spacing w:line="116" w:lineRule="exact"/>
              <w:ind w:left="288"/>
              <w:rPr>
                <w:b/>
                <w:sz w:val="14"/>
              </w:rPr>
            </w:pPr>
            <w:r>
              <w:rPr>
                <w:b/>
                <w:sz w:val="14"/>
              </w:rPr>
              <w:t>Foreign</w:t>
            </w:r>
          </w:p>
        </w:tc>
        <w:tc>
          <w:tcPr>
            <w:tcW w:w="971" w:type="dxa"/>
          </w:tcPr>
          <w:p w14:paraId="7326C6A8" w14:textId="77777777" w:rsidR="00EF3DFB" w:rsidRDefault="00D27C17">
            <w:pPr>
              <w:pStyle w:val="TableParagraph"/>
              <w:spacing w:line="116" w:lineRule="exact"/>
              <w:ind w:left="226"/>
              <w:rPr>
                <w:b/>
                <w:sz w:val="14"/>
              </w:rPr>
            </w:pPr>
            <w:r>
              <w:rPr>
                <w:b/>
                <w:sz w:val="14"/>
              </w:rPr>
              <w:t>Carrying</w:t>
            </w:r>
          </w:p>
        </w:tc>
        <w:tc>
          <w:tcPr>
            <w:tcW w:w="1211" w:type="dxa"/>
          </w:tcPr>
          <w:p w14:paraId="7326C6A9" w14:textId="77777777" w:rsidR="00EF3DFB" w:rsidRDefault="00D27C17">
            <w:pPr>
              <w:pStyle w:val="TableParagraph"/>
              <w:spacing w:line="116" w:lineRule="exact"/>
              <w:ind w:left="250"/>
              <w:rPr>
                <w:b/>
                <w:sz w:val="14"/>
              </w:rPr>
            </w:pPr>
            <w:r>
              <w:rPr>
                <w:b/>
                <w:sz w:val="14"/>
              </w:rPr>
              <w:t>Impairment</w:t>
            </w:r>
          </w:p>
        </w:tc>
        <w:tc>
          <w:tcPr>
            <w:tcW w:w="986" w:type="dxa"/>
          </w:tcPr>
          <w:p w14:paraId="7326C6AA" w14:textId="77777777" w:rsidR="00EF3DFB" w:rsidRDefault="00D27C17">
            <w:pPr>
              <w:pStyle w:val="TableParagraph"/>
              <w:spacing w:line="116" w:lineRule="exact"/>
              <w:ind w:left="202"/>
              <w:rPr>
                <w:b/>
                <w:sz w:val="14"/>
              </w:rPr>
            </w:pPr>
            <w:r>
              <w:rPr>
                <w:b/>
                <w:sz w:val="14"/>
              </w:rPr>
              <w:t>Net Book</w:t>
            </w:r>
          </w:p>
        </w:tc>
      </w:tr>
      <w:tr w:rsidR="00EF3DFB" w14:paraId="7326C6B4" w14:textId="77777777">
        <w:trPr>
          <w:trHeight w:val="167"/>
        </w:trPr>
        <w:tc>
          <w:tcPr>
            <w:tcW w:w="3045" w:type="dxa"/>
          </w:tcPr>
          <w:p w14:paraId="7326C6AC" w14:textId="77777777" w:rsidR="00EF3DFB" w:rsidRDefault="00D27C17">
            <w:pPr>
              <w:pStyle w:val="TableParagraph"/>
              <w:spacing w:line="147" w:lineRule="exact"/>
              <w:ind w:left="52"/>
              <w:rPr>
                <w:b/>
                <w:sz w:val="14"/>
              </w:rPr>
            </w:pPr>
            <w:r>
              <w:rPr>
                <w:b/>
                <w:sz w:val="14"/>
                <w:u w:val="single"/>
              </w:rPr>
              <w:t>Segments:</w:t>
            </w:r>
          </w:p>
        </w:tc>
        <w:tc>
          <w:tcPr>
            <w:tcW w:w="1028" w:type="dxa"/>
            <w:tcBorders>
              <w:bottom w:val="single" w:sz="8" w:space="0" w:color="000000"/>
            </w:tcBorders>
          </w:tcPr>
          <w:p w14:paraId="7326C6AD" w14:textId="77777777" w:rsidR="00EF3DFB" w:rsidRDefault="00D27C17">
            <w:pPr>
              <w:pStyle w:val="TableParagraph"/>
              <w:spacing w:line="147" w:lineRule="exact"/>
              <w:ind w:left="343" w:right="364"/>
              <w:jc w:val="center"/>
              <w:rPr>
                <w:b/>
                <w:sz w:val="14"/>
              </w:rPr>
            </w:pPr>
            <w:r>
              <w:rPr>
                <w:b/>
                <w:sz w:val="14"/>
              </w:rPr>
              <w:t>2018</w:t>
            </w:r>
          </w:p>
        </w:tc>
        <w:tc>
          <w:tcPr>
            <w:tcW w:w="1203" w:type="dxa"/>
            <w:tcBorders>
              <w:bottom w:val="single" w:sz="8" w:space="0" w:color="000000"/>
            </w:tcBorders>
          </w:tcPr>
          <w:p w14:paraId="7326C6AE" w14:textId="77777777" w:rsidR="00EF3DFB" w:rsidRDefault="00D27C17">
            <w:pPr>
              <w:pStyle w:val="TableParagraph"/>
              <w:spacing w:line="147" w:lineRule="exact"/>
              <w:ind w:left="401" w:right="403"/>
              <w:jc w:val="center"/>
              <w:rPr>
                <w:b/>
                <w:sz w:val="14"/>
              </w:rPr>
            </w:pPr>
            <w:r>
              <w:rPr>
                <w:b/>
                <w:sz w:val="14"/>
              </w:rPr>
              <w:t>(1)</w:t>
            </w:r>
          </w:p>
        </w:tc>
        <w:tc>
          <w:tcPr>
            <w:tcW w:w="1080" w:type="dxa"/>
            <w:tcBorders>
              <w:bottom w:val="single" w:sz="8" w:space="0" w:color="000000"/>
            </w:tcBorders>
          </w:tcPr>
          <w:p w14:paraId="7326C6AF" w14:textId="77777777" w:rsidR="00EF3DFB" w:rsidRDefault="00D27C17">
            <w:pPr>
              <w:pStyle w:val="TableParagraph"/>
              <w:spacing w:line="147" w:lineRule="exact"/>
              <w:ind w:left="291" w:right="326"/>
              <w:jc w:val="center"/>
              <w:rPr>
                <w:b/>
                <w:sz w:val="14"/>
              </w:rPr>
            </w:pPr>
            <w:r>
              <w:rPr>
                <w:b/>
                <w:sz w:val="14"/>
              </w:rPr>
              <w:t>(2)</w:t>
            </w:r>
          </w:p>
        </w:tc>
        <w:tc>
          <w:tcPr>
            <w:tcW w:w="1099" w:type="dxa"/>
            <w:tcBorders>
              <w:bottom w:val="single" w:sz="8" w:space="0" w:color="000000"/>
            </w:tcBorders>
          </w:tcPr>
          <w:p w14:paraId="7326C6B0" w14:textId="77777777" w:rsidR="00EF3DFB" w:rsidRDefault="00D27C17">
            <w:pPr>
              <w:pStyle w:val="TableParagraph"/>
              <w:spacing w:line="147" w:lineRule="exact"/>
              <w:ind w:left="229"/>
              <w:rPr>
                <w:b/>
                <w:sz w:val="14"/>
              </w:rPr>
            </w:pPr>
            <w:r>
              <w:rPr>
                <w:b/>
                <w:sz w:val="14"/>
              </w:rPr>
              <w:t>Exchange</w:t>
            </w:r>
          </w:p>
        </w:tc>
        <w:tc>
          <w:tcPr>
            <w:tcW w:w="971" w:type="dxa"/>
            <w:tcBorders>
              <w:bottom w:val="single" w:sz="8" w:space="0" w:color="000000"/>
            </w:tcBorders>
          </w:tcPr>
          <w:p w14:paraId="7326C6B1" w14:textId="77777777" w:rsidR="00EF3DFB" w:rsidRDefault="00D27C17">
            <w:pPr>
              <w:pStyle w:val="TableParagraph"/>
              <w:spacing w:line="147" w:lineRule="exact"/>
              <w:ind w:left="257"/>
              <w:rPr>
                <w:b/>
                <w:sz w:val="14"/>
              </w:rPr>
            </w:pPr>
            <w:r>
              <w:rPr>
                <w:b/>
                <w:sz w:val="14"/>
              </w:rPr>
              <w:t>Amount</w:t>
            </w:r>
          </w:p>
        </w:tc>
        <w:tc>
          <w:tcPr>
            <w:tcW w:w="1211" w:type="dxa"/>
            <w:tcBorders>
              <w:bottom w:val="single" w:sz="8" w:space="0" w:color="000000"/>
            </w:tcBorders>
          </w:tcPr>
          <w:p w14:paraId="7326C6B2" w14:textId="77777777" w:rsidR="00EF3DFB" w:rsidRDefault="00D27C17">
            <w:pPr>
              <w:pStyle w:val="TableParagraph"/>
              <w:spacing w:line="147" w:lineRule="exact"/>
              <w:ind w:left="362"/>
              <w:rPr>
                <w:b/>
                <w:sz w:val="14"/>
              </w:rPr>
            </w:pPr>
            <w:r>
              <w:rPr>
                <w:b/>
                <w:sz w:val="14"/>
              </w:rPr>
              <w:t>Charges</w:t>
            </w:r>
          </w:p>
        </w:tc>
        <w:tc>
          <w:tcPr>
            <w:tcW w:w="986" w:type="dxa"/>
            <w:tcBorders>
              <w:bottom w:val="single" w:sz="8" w:space="0" w:color="000000"/>
            </w:tcBorders>
          </w:tcPr>
          <w:p w14:paraId="7326C6B3" w14:textId="77777777" w:rsidR="00EF3DFB" w:rsidRDefault="00D27C17">
            <w:pPr>
              <w:pStyle w:val="TableParagraph"/>
              <w:spacing w:line="147" w:lineRule="exact"/>
              <w:ind w:left="305"/>
              <w:rPr>
                <w:b/>
                <w:sz w:val="14"/>
              </w:rPr>
            </w:pPr>
            <w:r>
              <w:rPr>
                <w:b/>
                <w:sz w:val="14"/>
              </w:rPr>
              <w:t>Value</w:t>
            </w:r>
          </w:p>
        </w:tc>
      </w:tr>
      <w:tr w:rsidR="00EF3DFB" w14:paraId="7326C6BD" w14:textId="77777777">
        <w:trPr>
          <w:trHeight w:val="290"/>
        </w:trPr>
        <w:tc>
          <w:tcPr>
            <w:tcW w:w="3045" w:type="dxa"/>
            <w:shd w:val="clear" w:color="auto" w:fill="CCEDFF"/>
          </w:tcPr>
          <w:p w14:paraId="7326C6B5" w14:textId="77777777" w:rsidR="00EF3DFB" w:rsidRDefault="00D27C17">
            <w:pPr>
              <w:pStyle w:val="TableParagraph"/>
              <w:spacing w:before="12"/>
              <w:ind w:left="52"/>
              <w:rPr>
                <w:sz w:val="20"/>
              </w:rPr>
            </w:pPr>
            <w:r>
              <w:rPr>
                <w:sz w:val="20"/>
              </w:rPr>
              <w:t>Appliances and Cookware</w:t>
            </w:r>
          </w:p>
        </w:tc>
        <w:tc>
          <w:tcPr>
            <w:tcW w:w="1028" w:type="dxa"/>
            <w:tcBorders>
              <w:top w:val="single" w:sz="8" w:space="0" w:color="000000"/>
            </w:tcBorders>
            <w:shd w:val="clear" w:color="auto" w:fill="CCEDFF"/>
          </w:tcPr>
          <w:p w14:paraId="7326C6B6" w14:textId="77777777" w:rsidR="00EF3DFB" w:rsidRDefault="00D27C17">
            <w:pPr>
              <w:pStyle w:val="TableParagraph"/>
              <w:tabs>
                <w:tab w:val="left" w:pos="570"/>
              </w:tabs>
              <w:spacing w:before="12"/>
              <w:ind w:right="102"/>
              <w:jc w:val="right"/>
              <w:rPr>
                <w:sz w:val="20"/>
              </w:rPr>
            </w:pPr>
            <w:r>
              <w:rPr>
                <w:sz w:val="20"/>
              </w:rPr>
              <w:t>$</w:t>
            </w:r>
            <w:r>
              <w:rPr>
                <w:sz w:val="20"/>
              </w:rPr>
              <w:tab/>
              <w:t>211</w:t>
            </w:r>
          </w:p>
        </w:tc>
        <w:tc>
          <w:tcPr>
            <w:tcW w:w="1203" w:type="dxa"/>
            <w:tcBorders>
              <w:top w:val="single" w:sz="8" w:space="0" w:color="000000"/>
            </w:tcBorders>
            <w:shd w:val="clear" w:color="auto" w:fill="CCEDFF"/>
          </w:tcPr>
          <w:p w14:paraId="7326C6B7" w14:textId="77777777" w:rsidR="00EF3DFB" w:rsidRDefault="00D27C17">
            <w:pPr>
              <w:pStyle w:val="TableParagraph"/>
              <w:tabs>
                <w:tab w:val="left" w:pos="898"/>
              </w:tabs>
              <w:spacing w:before="12"/>
              <w:ind w:left="104"/>
              <w:rPr>
                <w:sz w:val="20"/>
              </w:rPr>
            </w:pPr>
            <w:r>
              <w:rPr>
                <w:sz w:val="20"/>
              </w:rPr>
              <w:t>$</w:t>
            </w:r>
            <w:r>
              <w:rPr>
                <w:sz w:val="20"/>
              </w:rPr>
              <w:tab/>
              <w:t>(7)</w:t>
            </w:r>
          </w:p>
        </w:tc>
        <w:tc>
          <w:tcPr>
            <w:tcW w:w="1080" w:type="dxa"/>
            <w:tcBorders>
              <w:top w:val="single" w:sz="8" w:space="0" w:color="000000"/>
            </w:tcBorders>
            <w:shd w:val="clear" w:color="auto" w:fill="CCEDFF"/>
          </w:tcPr>
          <w:p w14:paraId="7326C6B8" w14:textId="77777777" w:rsidR="00EF3DFB" w:rsidRDefault="00D27C17">
            <w:pPr>
              <w:pStyle w:val="TableParagraph"/>
              <w:tabs>
                <w:tab w:val="left" w:pos="842"/>
              </w:tabs>
              <w:spacing w:before="12"/>
              <w:ind w:left="71"/>
              <w:rPr>
                <w:sz w:val="20"/>
              </w:rPr>
            </w:pPr>
            <w:r>
              <w:rPr>
                <w:sz w:val="20"/>
              </w:rPr>
              <w:t>$</w:t>
            </w:r>
            <w:r>
              <w:rPr>
                <w:sz w:val="20"/>
              </w:rPr>
              <w:tab/>
              <w:t>7</w:t>
            </w:r>
          </w:p>
        </w:tc>
        <w:tc>
          <w:tcPr>
            <w:tcW w:w="1099" w:type="dxa"/>
            <w:tcBorders>
              <w:top w:val="single" w:sz="8" w:space="0" w:color="000000"/>
            </w:tcBorders>
            <w:shd w:val="clear" w:color="auto" w:fill="CCEDFF"/>
          </w:tcPr>
          <w:p w14:paraId="7326C6B9" w14:textId="77777777" w:rsidR="00EF3DFB" w:rsidRDefault="00D27C17">
            <w:pPr>
              <w:pStyle w:val="TableParagraph"/>
              <w:tabs>
                <w:tab w:val="left" w:pos="842"/>
              </w:tabs>
              <w:spacing w:before="12"/>
              <w:ind w:left="71"/>
              <w:rPr>
                <w:sz w:val="20"/>
              </w:rPr>
            </w:pPr>
            <w:r>
              <w:rPr>
                <w:sz w:val="20"/>
              </w:rPr>
              <w:t>$</w:t>
            </w:r>
            <w:r>
              <w:rPr>
                <w:sz w:val="20"/>
              </w:rPr>
              <w:tab/>
              <w:t>1</w:t>
            </w:r>
          </w:p>
        </w:tc>
        <w:tc>
          <w:tcPr>
            <w:tcW w:w="971" w:type="dxa"/>
            <w:tcBorders>
              <w:top w:val="single" w:sz="8" w:space="0" w:color="000000"/>
            </w:tcBorders>
            <w:shd w:val="clear" w:color="auto" w:fill="CCEDFF"/>
          </w:tcPr>
          <w:p w14:paraId="7326C6BA" w14:textId="77777777" w:rsidR="00EF3DFB" w:rsidRDefault="00D27C17">
            <w:pPr>
              <w:pStyle w:val="TableParagraph"/>
              <w:tabs>
                <w:tab w:val="left" w:pos="570"/>
              </w:tabs>
              <w:spacing w:before="12"/>
              <w:ind w:right="45"/>
              <w:jc w:val="right"/>
              <w:rPr>
                <w:sz w:val="20"/>
              </w:rPr>
            </w:pPr>
            <w:r>
              <w:rPr>
                <w:sz w:val="20"/>
              </w:rPr>
              <w:t>$</w:t>
            </w:r>
            <w:r>
              <w:rPr>
                <w:sz w:val="20"/>
              </w:rPr>
              <w:tab/>
              <w:t>744</w:t>
            </w:r>
          </w:p>
        </w:tc>
        <w:tc>
          <w:tcPr>
            <w:tcW w:w="1211" w:type="dxa"/>
            <w:tcBorders>
              <w:top w:val="single" w:sz="8" w:space="0" w:color="000000"/>
            </w:tcBorders>
            <w:shd w:val="clear" w:color="auto" w:fill="CCEDFF"/>
          </w:tcPr>
          <w:p w14:paraId="7326C6BB" w14:textId="77777777" w:rsidR="00EF3DFB" w:rsidRDefault="00D27C17">
            <w:pPr>
              <w:pStyle w:val="TableParagraph"/>
              <w:tabs>
                <w:tab w:val="left" w:pos="665"/>
              </w:tabs>
              <w:spacing w:before="12"/>
              <w:ind w:left="161"/>
              <w:rPr>
                <w:sz w:val="20"/>
              </w:rPr>
            </w:pPr>
            <w:r>
              <w:rPr>
                <w:sz w:val="20"/>
              </w:rPr>
              <w:t>$</w:t>
            </w:r>
            <w:r>
              <w:rPr>
                <w:sz w:val="20"/>
              </w:rPr>
              <w:tab/>
              <w:t>(532)</w:t>
            </w:r>
          </w:p>
        </w:tc>
        <w:tc>
          <w:tcPr>
            <w:tcW w:w="986" w:type="dxa"/>
            <w:tcBorders>
              <w:top w:val="single" w:sz="8" w:space="0" w:color="000000"/>
            </w:tcBorders>
            <w:shd w:val="clear" w:color="auto" w:fill="CCEDFF"/>
          </w:tcPr>
          <w:p w14:paraId="7326C6BC" w14:textId="77777777" w:rsidR="00EF3DFB" w:rsidRDefault="00D27C17">
            <w:pPr>
              <w:pStyle w:val="TableParagraph"/>
              <w:tabs>
                <w:tab w:val="left" w:pos="570"/>
              </w:tabs>
              <w:spacing w:before="12"/>
              <w:ind w:right="82"/>
              <w:jc w:val="right"/>
              <w:rPr>
                <w:sz w:val="20"/>
              </w:rPr>
            </w:pPr>
            <w:r>
              <w:rPr>
                <w:sz w:val="20"/>
              </w:rPr>
              <w:t>$</w:t>
            </w:r>
            <w:r>
              <w:rPr>
                <w:sz w:val="20"/>
              </w:rPr>
              <w:tab/>
            </w:r>
            <w:r>
              <w:rPr>
                <w:sz w:val="20"/>
              </w:rPr>
              <w:t>212</w:t>
            </w:r>
          </w:p>
        </w:tc>
      </w:tr>
      <w:tr w:rsidR="00EF3DFB" w14:paraId="7326C6C6" w14:textId="77777777">
        <w:trPr>
          <w:trHeight w:val="300"/>
        </w:trPr>
        <w:tc>
          <w:tcPr>
            <w:tcW w:w="3045" w:type="dxa"/>
          </w:tcPr>
          <w:p w14:paraId="7326C6BE" w14:textId="77777777" w:rsidR="00EF3DFB" w:rsidRDefault="00D27C17">
            <w:pPr>
              <w:pStyle w:val="TableParagraph"/>
              <w:spacing w:before="22"/>
              <w:ind w:left="52"/>
              <w:rPr>
                <w:sz w:val="20"/>
              </w:rPr>
            </w:pPr>
            <w:r>
              <w:rPr>
                <w:sz w:val="20"/>
              </w:rPr>
              <w:t>Commercial Solutions</w:t>
            </w:r>
          </w:p>
        </w:tc>
        <w:tc>
          <w:tcPr>
            <w:tcW w:w="1028" w:type="dxa"/>
          </w:tcPr>
          <w:p w14:paraId="7326C6BF" w14:textId="77777777" w:rsidR="00EF3DFB" w:rsidRDefault="00D27C17">
            <w:pPr>
              <w:pStyle w:val="TableParagraph"/>
              <w:spacing w:before="22"/>
              <w:ind w:right="102"/>
              <w:jc w:val="right"/>
              <w:rPr>
                <w:sz w:val="20"/>
              </w:rPr>
            </w:pPr>
            <w:r>
              <w:rPr>
                <w:sz w:val="20"/>
              </w:rPr>
              <w:t>904</w:t>
            </w:r>
          </w:p>
        </w:tc>
        <w:tc>
          <w:tcPr>
            <w:tcW w:w="1203" w:type="dxa"/>
          </w:tcPr>
          <w:p w14:paraId="7326C6C0" w14:textId="77777777" w:rsidR="00EF3DFB" w:rsidRDefault="00D27C17">
            <w:pPr>
              <w:pStyle w:val="TableParagraph"/>
              <w:spacing w:before="22"/>
              <w:ind w:right="135"/>
              <w:jc w:val="right"/>
              <w:rPr>
                <w:sz w:val="20"/>
              </w:rPr>
            </w:pPr>
            <w:r>
              <w:rPr>
                <w:sz w:val="20"/>
              </w:rPr>
              <w:t>1</w:t>
            </w:r>
          </w:p>
        </w:tc>
        <w:tc>
          <w:tcPr>
            <w:tcW w:w="1080" w:type="dxa"/>
          </w:tcPr>
          <w:p w14:paraId="7326C6C1" w14:textId="77777777" w:rsidR="00EF3DFB" w:rsidRDefault="00D27C17">
            <w:pPr>
              <w:pStyle w:val="TableParagraph"/>
              <w:spacing w:before="22"/>
              <w:ind w:right="69"/>
              <w:jc w:val="right"/>
              <w:rPr>
                <w:sz w:val="20"/>
              </w:rPr>
            </w:pPr>
            <w:r>
              <w:rPr>
                <w:sz w:val="20"/>
              </w:rPr>
              <w:t>(158)</w:t>
            </w:r>
          </w:p>
        </w:tc>
        <w:tc>
          <w:tcPr>
            <w:tcW w:w="1099" w:type="dxa"/>
          </w:tcPr>
          <w:p w14:paraId="7326C6C2" w14:textId="77777777" w:rsidR="00EF3DFB" w:rsidRDefault="00D27C17">
            <w:pPr>
              <w:pStyle w:val="TableParagraph"/>
              <w:spacing w:before="22"/>
              <w:ind w:right="154"/>
              <w:jc w:val="right"/>
              <w:rPr>
                <w:sz w:val="20"/>
              </w:rPr>
            </w:pPr>
            <w:r>
              <w:rPr>
                <w:sz w:val="20"/>
              </w:rPr>
              <w:t>—</w:t>
            </w:r>
          </w:p>
        </w:tc>
        <w:tc>
          <w:tcPr>
            <w:tcW w:w="971" w:type="dxa"/>
          </w:tcPr>
          <w:p w14:paraId="7326C6C3" w14:textId="77777777" w:rsidR="00EF3DFB" w:rsidRDefault="00D27C17">
            <w:pPr>
              <w:pStyle w:val="TableParagraph"/>
              <w:spacing w:before="22"/>
              <w:ind w:right="45"/>
              <w:jc w:val="right"/>
              <w:rPr>
                <w:sz w:val="20"/>
              </w:rPr>
            </w:pPr>
            <w:r>
              <w:rPr>
                <w:sz w:val="20"/>
              </w:rPr>
              <w:t>1,241</w:t>
            </w:r>
          </w:p>
        </w:tc>
        <w:tc>
          <w:tcPr>
            <w:tcW w:w="1211" w:type="dxa"/>
          </w:tcPr>
          <w:p w14:paraId="7326C6C4" w14:textId="77777777" w:rsidR="00EF3DFB" w:rsidRDefault="00D27C17">
            <w:pPr>
              <w:pStyle w:val="TableParagraph"/>
              <w:spacing w:before="22"/>
              <w:ind w:right="110"/>
              <w:jc w:val="right"/>
              <w:rPr>
                <w:sz w:val="20"/>
              </w:rPr>
            </w:pPr>
            <w:r>
              <w:rPr>
                <w:sz w:val="20"/>
              </w:rPr>
              <w:t>(494)</w:t>
            </w:r>
          </w:p>
        </w:tc>
        <w:tc>
          <w:tcPr>
            <w:tcW w:w="986" w:type="dxa"/>
          </w:tcPr>
          <w:p w14:paraId="7326C6C5" w14:textId="77777777" w:rsidR="00EF3DFB" w:rsidRDefault="00D27C17">
            <w:pPr>
              <w:pStyle w:val="TableParagraph"/>
              <w:spacing w:before="22"/>
              <w:ind w:right="82"/>
              <w:jc w:val="right"/>
              <w:rPr>
                <w:sz w:val="20"/>
              </w:rPr>
            </w:pPr>
            <w:r>
              <w:rPr>
                <w:sz w:val="20"/>
              </w:rPr>
              <w:t>747</w:t>
            </w:r>
          </w:p>
        </w:tc>
      </w:tr>
      <w:tr w:rsidR="00EF3DFB" w14:paraId="7326C6CF" w14:textId="77777777">
        <w:trPr>
          <w:trHeight w:val="300"/>
        </w:trPr>
        <w:tc>
          <w:tcPr>
            <w:tcW w:w="3045" w:type="dxa"/>
            <w:shd w:val="clear" w:color="auto" w:fill="CCEDFF"/>
          </w:tcPr>
          <w:p w14:paraId="7326C6C7" w14:textId="77777777" w:rsidR="00EF3DFB" w:rsidRDefault="00D27C17">
            <w:pPr>
              <w:pStyle w:val="TableParagraph"/>
              <w:spacing w:before="22"/>
              <w:ind w:left="52"/>
              <w:rPr>
                <w:sz w:val="20"/>
              </w:rPr>
            </w:pPr>
            <w:r>
              <w:rPr>
                <w:sz w:val="20"/>
              </w:rPr>
              <w:t>Home Solutions</w:t>
            </w:r>
          </w:p>
        </w:tc>
        <w:tc>
          <w:tcPr>
            <w:tcW w:w="1028" w:type="dxa"/>
            <w:shd w:val="clear" w:color="auto" w:fill="CCEDFF"/>
          </w:tcPr>
          <w:p w14:paraId="7326C6C8" w14:textId="77777777" w:rsidR="00EF3DFB" w:rsidRDefault="00D27C17">
            <w:pPr>
              <w:pStyle w:val="TableParagraph"/>
              <w:spacing w:before="22"/>
              <w:ind w:right="102"/>
              <w:jc w:val="right"/>
              <w:rPr>
                <w:sz w:val="20"/>
              </w:rPr>
            </w:pPr>
            <w:r>
              <w:rPr>
                <w:sz w:val="20"/>
              </w:rPr>
              <w:t>164</w:t>
            </w:r>
          </w:p>
        </w:tc>
        <w:tc>
          <w:tcPr>
            <w:tcW w:w="1203" w:type="dxa"/>
            <w:shd w:val="clear" w:color="auto" w:fill="CCEDFF"/>
          </w:tcPr>
          <w:p w14:paraId="7326C6C9" w14:textId="77777777" w:rsidR="00EF3DFB" w:rsidRDefault="00D27C17">
            <w:pPr>
              <w:pStyle w:val="TableParagraph"/>
              <w:spacing w:before="22"/>
              <w:ind w:right="135"/>
              <w:jc w:val="right"/>
              <w:rPr>
                <w:sz w:val="20"/>
              </w:rPr>
            </w:pPr>
            <w:r>
              <w:rPr>
                <w:sz w:val="20"/>
              </w:rPr>
              <w:t>6</w:t>
            </w:r>
          </w:p>
        </w:tc>
        <w:tc>
          <w:tcPr>
            <w:tcW w:w="1080" w:type="dxa"/>
            <w:shd w:val="clear" w:color="auto" w:fill="CCEDFF"/>
          </w:tcPr>
          <w:p w14:paraId="7326C6CA" w14:textId="77777777" w:rsidR="00EF3DFB" w:rsidRDefault="00D27C17">
            <w:pPr>
              <w:pStyle w:val="TableParagraph"/>
              <w:spacing w:before="22"/>
              <w:ind w:right="69"/>
              <w:jc w:val="right"/>
              <w:rPr>
                <w:sz w:val="20"/>
              </w:rPr>
            </w:pPr>
            <w:r>
              <w:rPr>
                <w:sz w:val="20"/>
              </w:rPr>
              <w:t>(6)</w:t>
            </w:r>
          </w:p>
        </w:tc>
        <w:tc>
          <w:tcPr>
            <w:tcW w:w="1099" w:type="dxa"/>
            <w:shd w:val="clear" w:color="auto" w:fill="CCEDFF"/>
          </w:tcPr>
          <w:p w14:paraId="7326C6CB" w14:textId="77777777" w:rsidR="00EF3DFB" w:rsidRDefault="00D27C17">
            <w:pPr>
              <w:pStyle w:val="TableParagraph"/>
              <w:spacing w:before="22"/>
              <w:ind w:right="154"/>
              <w:jc w:val="right"/>
              <w:rPr>
                <w:sz w:val="20"/>
              </w:rPr>
            </w:pPr>
            <w:r>
              <w:rPr>
                <w:sz w:val="20"/>
              </w:rPr>
              <w:t>—</w:t>
            </w:r>
          </w:p>
        </w:tc>
        <w:tc>
          <w:tcPr>
            <w:tcW w:w="971" w:type="dxa"/>
            <w:shd w:val="clear" w:color="auto" w:fill="CCEDFF"/>
          </w:tcPr>
          <w:p w14:paraId="7326C6CC" w14:textId="77777777" w:rsidR="00EF3DFB" w:rsidRDefault="00D27C17">
            <w:pPr>
              <w:pStyle w:val="TableParagraph"/>
              <w:spacing w:before="22"/>
              <w:ind w:right="45"/>
              <w:jc w:val="right"/>
              <w:rPr>
                <w:sz w:val="20"/>
              </w:rPr>
            </w:pPr>
            <w:r>
              <w:rPr>
                <w:sz w:val="20"/>
              </w:rPr>
              <w:t>2,392</w:t>
            </w:r>
          </w:p>
        </w:tc>
        <w:tc>
          <w:tcPr>
            <w:tcW w:w="1211" w:type="dxa"/>
            <w:shd w:val="clear" w:color="auto" w:fill="CCEDFF"/>
          </w:tcPr>
          <w:p w14:paraId="7326C6CD" w14:textId="77777777" w:rsidR="00EF3DFB" w:rsidRDefault="00D27C17">
            <w:pPr>
              <w:pStyle w:val="TableParagraph"/>
              <w:spacing w:before="22"/>
              <w:ind w:right="110"/>
              <w:jc w:val="right"/>
              <w:rPr>
                <w:sz w:val="20"/>
              </w:rPr>
            </w:pPr>
            <w:r>
              <w:rPr>
                <w:sz w:val="20"/>
              </w:rPr>
              <w:t>(2,228)</w:t>
            </w:r>
          </w:p>
        </w:tc>
        <w:tc>
          <w:tcPr>
            <w:tcW w:w="986" w:type="dxa"/>
            <w:shd w:val="clear" w:color="auto" w:fill="CCEDFF"/>
          </w:tcPr>
          <w:p w14:paraId="7326C6CE" w14:textId="77777777" w:rsidR="00EF3DFB" w:rsidRDefault="00D27C17">
            <w:pPr>
              <w:pStyle w:val="TableParagraph"/>
              <w:spacing w:before="22"/>
              <w:ind w:right="82"/>
              <w:jc w:val="right"/>
              <w:rPr>
                <w:sz w:val="20"/>
              </w:rPr>
            </w:pPr>
            <w:r>
              <w:rPr>
                <w:sz w:val="20"/>
              </w:rPr>
              <w:t>164</w:t>
            </w:r>
          </w:p>
        </w:tc>
      </w:tr>
      <w:tr w:rsidR="00EF3DFB" w14:paraId="7326C6D8" w14:textId="77777777">
        <w:trPr>
          <w:trHeight w:val="300"/>
        </w:trPr>
        <w:tc>
          <w:tcPr>
            <w:tcW w:w="3045" w:type="dxa"/>
          </w:tcPr>
          <w:p w14:paraId="7326C6D0" w14:textId="77777777" w:rsidR="00EF3DFB" w:rsidRDefault="00D27C17">
            <w:pPr>
              <w:pStyle w:val="TableParagraph"/>
              <w:spacing w:before="22"/>
              <w:ind w:left="52"/>
              <w:rPr>
                <w:sz w:val="20"/>
              </w:rPr>
            </w:pPr>
            <w:r>
              <w:rPr>
                <w:sz w:val="20"/>
              </w:rPr>
              <w:t>Learning and Development</w:t>
            </w:r>
          </w:p>
        </w:tc>
        <w:tc>
          <w:tcPr>
            <w:tcW w:w="1028" w:type="dxa"/>
          </w:tcPr>
          <w:p w14:paraId="7326C6D1" w14:textId="77777777" w:rsidR="00EF3DFB" w:rsidRDefault="00D27C17">
            <w:pPr>
              <w:pStyle w:val="TableParagraph"/>
              <w:spacing w:before="22"/>
              <w:ind w:right="102"/>
              <w:jc w:val="right"/>
              <w:rPr>
                <w:sz w:val="20"/>
              </w:rPr>
            </w:pPr>
            <w:r>
              <w:rPr>
                <w:sz w:val="20"/>
              </w:rPr>
              <w:t>2,595</w:t>
            </w:r>
          </w:p>
        </w:tc>
        <w:tc>
          <w:tcPr>
            <w:tcW w:w="1203" w:type="dxa"/>
          </w:tcPr>
          <w:p w14:paraId="7326C6D2" w14:textId="77777777" w:rsidR="00EF3DFB" w:rsidRDefault="00D27C17">
            <w:pPr>
              <w:pStyle w:val="TableParagraph"/>
              <w:spacing w:before="22"/>
              <w:ind w:right="135"/>
              <w:jc w:val="right"/>
              <w:rPr>
                <w:sz w:val="20"/>
              </w:rPr>
            </w:pPr>
            <w:r>
              <w:rPr>
                <w:sz w:val="20"/>
              </w:rPr>
              <w:t>1</w:t>
            </w:r>
          </w:p>
        </w:tc>
        <w:tc>
          <w:tcPr>
            <w:tcW w:w="1080" w:type="dxa"/>
          </w:tcPr>
          <w:p w14:paraId="7326C6D3" w14:textId="77777777" w:rsidR="00EF3DFB" w:rsidRDefault="00D27C17">
            <w:pPr>
              <w:pStyle w:val="TableParagraph"/>
              <w:spacing w:before="22"/>
              <w:ind w:right="69"/>
              <w:jc w:val="right"/>
              <w:rPr>
                <w:sz w:val="20"/>
              </w:rPr>
            </w:pPr>
            <w:r>
              <w:rPr>
                <w:sz w:val="20"/>
              </w:rPr>
              <w:t>(1)</w:t>
            </w:r>
          </w:p>
        </w:tc>
        <w:tc>
          <w:tcPr>
            <w:tcW w:w="1099" w:type="dxa"/>
          </w:tcPr>
          <w:p w14:paraId="7326C6D4" w14:textId="77777777" w:rsidR="00EF3DFB" w:rsidRDefault="00D27C17">
            <w:pPr>
              <w:pStyle w:val="TableParagraph"/>
              <w:spacing w:before="22"/>
              <w:ind w:right="88"/>
              <w:jc w:val="right"/>
              <w:rPr>
                <w:sz w:val="20"/>
              </w:rPr>
            </w:pPr>
            <w:r>
              <w:rPr>
                <w:sz w:val="20"/>
              </w:rPr>
              <w:t>(9)</w:t>
            </w:r>
          </w:p>
        </w:tc>
        <w:tc>
          <w:tcPr>
            <w:tcW w:w="971" w:type="dxa"/>
          </w:tcPr>
          <w:p w14:paraId="7326C6D5" w14:textId="77777777" w:rsidR="00EF3DFB" w:rsidRDefault="00D27C17">
            <w:pPr>
              <w:pStyle w:val="TableParagraph"/>
              <w:spacing w:before="22"/>
              <w:ind w:right="45"/>
              <w:jc w:val="right"/>
              <w:rPr>
                <w:sz w:val="20"/>
              </w:rPr>
            </w:pPr>
            <w:r>
              <w:rPr>
                <w:sz w:val="20"/>
              </w:rPr>
              <w:t>3,432</w:t>
            </w:r>
          </w:p>
        </w:tc>
        <w:tc>
          <w:tcPr>
            <w:tcW w:w="1211" w:type="dxa"/>
          </w:tcPr>
          <w:p w14:paraId="7326C6D6" w14:textId="77777777" w:rsidR="00EF3DFB" w:rsidRDefault="00D27C17">
            <w:pPr>
              <w:pStyle w:val="TableParagraph"/>
              <w:spacing w:before="22"/>
              <w:ind w:right="110"/>
              <w:jc w:val="right"/>
              <w:rPr>
                <w:sz w:val="20"/>
              </w:rPr>
            </w:pPr>
            <w:r>
              <w:rPr>
                <w:sz w:val="20"/>
              </w:rPr>
              <w:t>(846)</w:t>
            </w:r>
          </w:p>
        </w:tc>
        <w:tc>
          <w:tcPr>
            <w:tcW w:w="986" w:type="dxa"/>
          </w:tcPr>
          <w:p w14:paraId="7326C6D7" w14:textId="77777777" w:rsidR="00EF3DFB" w:rsidRDefault="00D27C17">
            <w:pPr>
              <w:pStyle w:val="TableParagraph"/>
              <w:spacing w:before="22"/>
              <w:ind w:right="82"/>
              <w:jc w:val="right"/>
              <w:rPr>
                <w:sz w:val="20"/>
              </w:rPr>
            </w:pPr>
            <w:r>
              <w:rPr>
                <w:sz w:val="20"/>
              </w:rPr>
              <w:t>2,586</w:t>
            </w:r>
          </w:p>
        </w:tc>
      </w:tr>
      <w:tr w:rsidR="00EF3DFB" w14:paraId="7326C6E1" w14:textId="77777777">
        <w:trPr>
          <w:trHeight w:val="290"/>
        </w:trPr>
        <w:tc>
          <w:tcPr>
            <w:tcW w:w="3045" w:type="dxa"/>
            <w:shd w:val="clear" w:color="auto" w:fill="CCEDFF"/>
          </w:tcPr>
          <w:p w14:paraId="7326C6D9" w14:textId="77777777" w:rsidR="00EF3DFB" w:rsidRDefault="00D27C17">
            <w:pPr>
              <w:pStyle w:val="TableParagraph"/>
              <w:spacing w:before="4"/>
              <w:ind w:left="52"/>
              <w:rPr>
                <w:sz w:val="20"/>
              </w:rPr>
            </w:pPr>
            <w:r>
              <w:rPr>
                <w:sz w:val="20"/>
              </w:rPr>
              <w:t>Outdoor and Recreation</w:t>
            </w:r>
          </w:p>
        </w:tc>
        <w:tc>
          <w:tcPr>
            <w:tcW w:w="1028" w:type="dxa"/>
            <w:tcBorders>
              <w:bottom w:val="single" w:sz="8" w:space="0" w:color="000000"/>
            </w:tcBorders>
            <w:shd w:val="clear" w:color="auto" w:fill="CCEDFF"/>
          </w:tcPr>
          <w:p w14:paraId="7326C6DA" w14:textId="77777777" w:rsidR="00EF3DFB" w:rsidRDefault="00D27C17">
            <w:pPr>
              <w:pStyle w:val="TableParagraph"/>
              <w:spacing w:before="40" w:line="230" w:lineRule="exact"/>
              <w:ind w:right="102"/>
              <w:jc w:val="right"/>
              <w:rPr>
                <w:sz w:val="20"/>
              </w:rPr>
            </w:pPr>
            <w:r>
              <w:rPr>
                <w:sz w:val="20"/>
              </w:rPr>
              <w:t>—</w:t>
            </w:r>
          </w:p>
        </w:tc>
        <w:tc>
          <w:tcPr>
            <w:tcW w:w="1203" w:type="dxa"/>
            <w:tcBorders>
              <w:bottom w:val="single" w:sz="8" w:space="0" w:color="000000"/>
            </w:tcBorders>
            <w:shd w:val="clear" w:color="auto" w:fill="CCEDFF"/>
          </w:tcPr>
          <w:p w14:paraId="7326C6DB" w14:textId="77777777" w:rsidR="00EF3DFB" w:rsidRDefault="00D27C17">
            <w:pPr>
              <w:pStyle w:val="TableParagraph"/>
              <w:spacing w:before="40" w:line="230" w:lineRule="exact"/>
              <w:ind w:right="135"/>
              <w:jc w:val="right"/>
              <w:rPr>
                <w:sz w:val="20"/>
              </w:rPr>
            </w:pPr>
            <w:r>
              <w:rPr>
                <w:sz w:val="20"/>
              </w:rPr>
              <w:t>2</w:t>
            </w:r>
          </w:p>
        </w:tc>
        <w:tc>
          <w:tcPr>
            <w:tcW w:w="1080" w:type="dxa"/>
            <w:tcBorders>
              <w:bottom w:val="single" w:sz="8" w:space="0" w:color="000000"/>
            </w:tcBorders>
            <w:shd w:val="clear" w:color="auto" w:fill="CCEDFF"/>
          </w:tcPr>
          <w:p w14:paraId="7326C6DC" w14:textId="77777777" w:rsidR="00EF3DFB" w:rsidRDefault="00D27C17">
            <w:pPr>
              <w:pStyle w:val="TableParagraph"/>
              <w:spacing w:before="40" w:line="230" w:lineRule="exact"/>
              <w:ind w:right="69"/>
              <w:jc w:val="right"/>
              <w:rPr>
                <w:sz w:val="20"/>
              </w:rPr>
            </w:pPr>
            <w:r>
              <w:rPr>
                <w:sz w:val="20"/>
              </w:rPr>
              <w:t>(2)</w:t>
            </w:r>
          </w:p>
        </w:tc>
        <w:tc>
          <w:tcPr>
            <w:tcW w:w="1099" w:type="dxa"/>
            <w:tcBorders>
              <w:bottom w:val="single" w:sz="8" w:space="0" w:color="000000"/>
            </w:tcBorders>
            <w:shd w:val="clear" w:color="auto" w:fill="CCEDFF"/>
          </w:tcPr>
          <w:p w14:paraId="7326C6DD" w14:textId="77777777" w:rsidR="00EF3DFB" w:rsidRDefault="00D27C17">
            <w:pPr>
              <w:pStyle w:val="TableParagraph"/>
              <w:spacing w:before="40" w:line="230" w:lineRule="exact"/>
              <w:ind w:right="154"/>
              <w:jc w:val="right"/>
              <w:rPr>
                <w:sz w:val="20"/>
              </w:rPr>
            </w:pPr>
            <w:r>
              <w:rPr>
                <w:sz w:val="20"/>
              </w:rPr>
              <w:t>—</w:t>
            </w:r>
          </w:p>
        </w:tc>
        <w:tc>
          <w:tcPr>
            <w:tcW w:w="971" w:type="dxa"/>
            <w:tcBorders>
              <w:bottom w:val="single" w:sz="8" w:space="0" w:color="000000"/>
            </w:tcBorders>
            <w:shd w:val="clear" w:color="auto" w:fill="CCEDFF"/>
          </w:tcPr>
          <w:p w14:paraId="7326C6DE" w14:textId="77777777" w:rsidR="00EF3DFB" w:rsidRDefault="00D27C17">
            <w:pPr>
              <w:pStyle w:val="TableParagraph"/>
              <w:spacing w:before="40" w:line="230" w:lineRule="exact"/>
              <w:ind w:right="45"/>
              <w:jc w:val="right"/>
              <w:rPr>
                <w:sz w:val="20"/>
              </w:rPr>
            </w:pPr>
            <w:r>
              <w:rPr>
                <w:sz w:val="20"/>
              </w:rPr>
              <w:t>788</w:t>
            </w:r>
          </w:p>
        </w:tc>
        <w:tc>
          <w:tcPr>
            <w:tcW w:w="1211" w:type="dxa"/>
            <w:tcBorders>
              <w:bottom w:val="single" w:sz="8" w:space="0" w:color="000000"/>
            </w:tcBorders>
            <w:shd w:val="clear" w:color="auto" w:fill="CCEDFF"/>
          </w:tcPr>
          <w:p w14:paraId="7326C6DF" w14:textId="77777777" w:rsidR="00EF3DFB" w:rsidRDefault="00D27C17">
            <w:pPr>
              <w:pStyle w:val="TableParagraph"/>
              <w:spacing w:before="40" w:line="230" w:lineRule="exact"/>
              <w:ind w:right="110"/>
              <w:jc w:val="right"/>
              <w:rPr>
                <w:sz w:val="20"/>
              </w:rPr>
            </w:pPr>
            <w:r>
              <w:rPr>
                <w:sz w:val="20"/>
              </w:rPr>
              <w:t>(788)</w:t>
            </w:r>
          </w:p>
        </w:tc>
        <w:tc>
          <w:tcPr>
            <w:tcW w:w="986" w:type="dxa"/>
            <w:tcBorders>
              <w:bottom w:val="single" w:sz="8" w:space="0" w:color="000000"/>
            </w:tcBorders>
            <w:shd w:val="clear" w:color="auto" w:fill="CCEDFF"/>
          </w:tcPr>
          <w:p w14:paraId="7326C6E0" w14:textId="77777777" w:rsidR="00EF3DFB" w:rsidRDefault="00D27C17">
            <w:pPr>
              <w:pStyle w:val="TableParagraph"/>
              <w:spacing w:before="40" w:line="230" w:lineRule="exact"/>
              <w:ind w:right="82"/>
              <w:jc w:val="right"/>
              <w:rPr>
                <w:sz w:val="20"/>
              </w:rPr>
            </w:pPr>
            <w:r>
              <w:rPr>
                <w:sz w:val="20"/>
              </w:rPr>
              <w:t>—</w:t>
            </w:r>
          </w:p>
        </w:tc>
      </w:tr>
      <w:tr w:rsidR="00EF3DFB" w14:paraId="7326C6EA" w14:textId="77777777">
        <w:trPr>
          <w:trHeight w:val="300"/>
        </w:trPr>
        <w:tc>
          <w:tcPr>
            <w:tcW w:w="3045" w:type="dxa"/>
          </w:tcPr>
          <w:p w14:paraId="7326C6E2" w14:textId="77777777" w:rsidR="00EF3DFB" w:rsidRDefault="00EF3DFB">
            <w:pPr>
              <w:pStyle w:val="TableParagraph"/>
              <w:rPr>
                <w:sz w:val="18"/>
              </w:rPr>
            </w:pPr>
          </w:p>
        </w:tc>
        <w:tc>
          <w:tcPr>
            <w:tcW w:w="1028" w:type="dxa"/>
            <w:tcBorders>
              <w:top w:val="single" w:sz="8" w:space="0" w:color="000000"/>
              <w:bottom w:val="single" w:sz="8" w:space="0" w:color="000000"/>
            </w:tcBorders>
          </w:tcPr>
          <w:p w14:paraId="7326C6E3" w14:textId="77777777" w:rsidR="00EF3DFB" w:rsidRDefault="00D27C17">
            <w:pPr>
              <w:pStyle w:val="TableParagraph"/>
              <w:tabs>
                <w:tab w:val="left" w:pos="420"/>
              </w:tabs>
              <w:spacing w:before="30"/>
              <w:ind w:right="102"/>
              <w:jc w:val="right"/>
              <w:rPr>
                <w:sz w:val="20"/>
              </w:rPr>
            </w:pPr>
            <w:r>
              <w:rPr>
                <w:sz w:val="20"/>
                <w:u w:val="single"/>
              </w:rPr>
              <w:t>$</w:t>
            </w:r>
            <w:r>
              <w:rPr>
                <w:sz w:val="20"/>
                <w:u w:val="single"/>
              </w:rPr>
              <w:tab/>
              <w:t>3,874</w:t>
            </w:r>
          </w:p>
        </w:tc>
        <w:tc>
          <w:tcPr>
            <w:tcW w:w="1203" w:type="dxa"/>
            <w:tcBorders>
              <w:top w:val="single" w:sz="8" w:space="0" w:color="000000"/>
              <w:bottom w:val="single" w:sz="8" w:space="0" w:color="000000"/>
            </w:tcBorders>
          </w:tcPr>
          <w:p w14:paraId="7326C6E4" w14:textId="77777777" w:rsidR="00EF3DFB" w:rsidRDefault="00D27C17">
            <w:pPr>
              <w:pStyle w:val="TableParagraph"/>
              <w:tabs>
                <w:tab w:val="left" w:pos="965"/>
              </w:tabs>
              <w:spacing w:before="30"/>
              <w:ind w:left="104"/>
              <w:rPr>
                <w:sz w:val="20"/>
              </w:rPr>
            </w:pPr>
            <w:r>
              <w:rPr>
                <w:sz w:val="20"/>
                <w:u w:val="single"/>
              </w:rPr>
              <w:t>$</w:t>
            </w:r>
            <w:r>
              <w:rPr>
                <w:sz w:val="20"/>
                <w:u w:val="single"/>
              </w:rPr>
              <w:tab/>
              <w:t>3</w:t>
            </w:r>
          </w:p>
        </w:tc>
        <w:tc>
          <w:tcPr>
            <w:tcW w:w="1080" w:type="dxa"/>
            <w:tcBorders>
              <w:top w:val="single" w:sz="8" w:space="0" w:color="000000"/>
              <w:bottom w:val="single" w:sz="8" w:space="0" w:color="000000"/>
            </w:tcBorders>
          </w:tcPr>
          <w:p w14:paraId="7326C6E5" w14:textId="77777777" w:rsidR="00EF3DFB" w:rsidRDefault="00D27C17">
            <w:pPr>
              <w:pStyle w:val="TableParagraph"/>
              <w:tabs>
                <w:tab w:val="left" w:pos="575"/>
              </w:tabs>
              <w:spacing w:before="30"/>
              <w:ind w:left="71"/>
              <w:rPr>
                <w:sz w:val="20"/>
              </w:rPr>
            </w:pPr>
            <w:r>
              <w:rPr>
                <w:sz w:val="20"/>
                <w:u w:val="single"/>
              </w:rPr>
              <w:t>$</w:t>
            </w:r>
            <w:r>
              <w:rPr>
                <w:sz w:val="20"/>
                <w:u w:val="single"/>
              </w:rPr>
              <w:tab/>
              <w:t>(160)</w:t>
            </w:r>
          </w:p>
        </w:tc>
        <w:tc>
          <w:tcPr>
            <w:tcW w:w="1099" w:type="dxa"/>
            <w:tcBorders>
              <w:top w:val="single" w:sz="8" w:space="0" w:color="000000"/>
              <w:bottom w:val="single" w:sz="8" w:space="0" w:color="000000"/>
            </w:tcBorders>
          </w:tcPr>
          <w:p w14:paraId="7326C6E6" w14:textId="77777777" w:rsidR="00EF3DFB" w:rsidRDefault="00D27C17">
            <w:pPr>
              <w:pStyle w:val="TableParagraph"/>
              <w:tabs>
                <w:tab w:val="left" w:pos="775"/>
              </w:tabs>
              <w:spacing w:before="30"/>
              <w:ind w:left="71"/>
              <w:rPr>
                <w:sz w:val="20"/>
              </w:rPr>
            </w:pPr>
            <w:r>
              <w:rPr>
                <w:sz w:val="20"/>
                <w:u w:val="single"/>
              </w:rPr>
              <w:t>$</w:t>
            </w:r>
            <w:r>
              <w:rPr>
                <w:sz w:val="20"/>
                <w:u w:val="single"/>
              </w:rPr>
              <w:tab/>
              <w:t>(8)</w:t>
            </w:r>
          </w:p>
        </w:tc>
        <w:tc>
          <w:tcPr>
            <w:tcW w:w="971" w:type="dxa"/>
            <w:tcBorders>
              <w:top w:val="single" w:sz="8" w:space="0" w:color="000000"/>
              <w:bottom w:val="single" w:sz="8" w:space="0" w:color="000000"/>
            </w:tcBorders>
          </w:tcPr>
          <w:p w14:paraId="7326C6E7" w14:textId="77777777" w:rsidR="00EF3DFB" w:rsidRDefault="00D27C17">
            <w:pPr>
              <w:pStyle w:val="TableParagraph"/>
              <w:tabs>
                <w:tab w:val="left" w:pos="420"/>
              </w:tabs>
              <w:spacing w:before="30"/>
              <w:ind w:right="45"/>
              <w:jc w:val="right"/>
              <w:rPr>
                <w:sz w:val="20"/>
              </w:rPr>
            </w:pPr>
            <w:r>
              <w:rPr>
                <w:sz w:val="20"/>
                <w:u w:val="single"/>
              </w:rPr>
              <w:t>$</w:t>
            </w:r>
            <w:r>
              <w:rPr>
                <w:sz w:val="20"/>
                <w:u w:val="single"/>
              </w:rPr>
              <w:tab/>
              <w:t>8,597</w:t>
            </w:r>
          </w:p>
        </w:tc>
        <w:tc>
          <w:tcPr>
            <w:tcW w:w="1211" w:type="dxa"/>
            <w:tcBorders>
              <w:top w:val="single" w:sz="8" w:space="0" w:color="000000"/>
              <w:bottom w:val="single" w:sz="8" w:space="0" w:color="000000"/>
            </w:tcBorders>
          </w:tcPr>
          <w:p w14:paraId="7326C6E8" w14:textId="77777777" w:rsidR="00EF3DFB" w:rsidRDefault="00D27C17">
            <w:pPr>
              <w:pStyle w:val="TableParagraph"/>
              <w:tabs>
                <w:tab w:val="left" w:pos="515"/>
              </w:tabs>
              <w:spacing w:before="30"/>
              <w:ind w:left="161"/>
              <w:rPr>
                <w:sz w:val="20"/>
              </w:rPr>
            </w:pPr>
            <w:r>
              <w:rPr>
                <w:sz w:val="20"/>
                <w:u w:val="single"/>
              </w:rPr>
              <w:t>$</w:t>
            </w:r>
            <w:r>
              <w:rPr>
                <w:sz w:val="20"/>
                <w:u w:val="single"/>
              </w:rPr>
              <w:tab/>
            </w:r>
            <w:r>
              <w:rPr>
                <w:sz w:val="20"/>
                <w:u w:val="single"/>
              </w:rPr>
              <w:t>(4,888)</w:t>
            </w:r>
          </w:p>
        </w:tc>
        <w:tc>
          <w:tcPr>
            <w:tcW w:w="986" w:type="dxa"/>
            <w:tcBorders>
              <w:top w:val="single" w:sz="8" w:space="0" w:color="000000"/>
              <w:bottom w:val="single" w:sz="8" w:space="0" w:color="000000"/>
            </w:tcBorders>
          </w:tcPr>
          <w:p w14:paraId="7326C6E9" w14:textId="77777777" w:rsidR="00EF3DFB" w:rsidRDefault="00D27C17">
            <w:pPr>
              <w:pStyle w:val="TableParagraph"/>
              <w:tabs>
                <w:tab w:val="left" w:pos="420"/>
              </w:tabs>
              <w:spacing w:before="30"/>
              <w:ind w:right="82"/>
              <w:jc w:val="right"/>
              <w:rPr>
                <w:sz w:val="20"/>
              </w:rPr>
            </w:pPr>
            <w:r>
              <w:rPr>
                <w:sz w:val="20"/>
                <w:u w:val="single"/>
              </w:rPr>
              <w:t>$</w:t>
            </w:r>
            <w:r>
              <w:rPr>
                <w:sz w:val="20"/>
                <w:u w:val="single"/>
              </w:rPr>
              <w:tab/>
              <w:t>3,709</w:t>
            </w:r>
          </w:p>
        </w:tc>
      </w:tr>
    </w:tbl>
    <w:p w14:paraId="7326C6EB" w14:textId="77777777" w:rsidR="00EF3DFB" w:rsidRDefault="00EF3DFB">
      <w:pPr>
        <w:jc w:val="right"/>
        <w:rPr>
          <w:sz w:val="20"/>
        </w:rPr>
        <w:sectPr w:rsidR="00EF3DFB">
          <w:pgSz w:w="12240" w:h="15840"/>
          <w:pgMar w:top="600" w:right="640" w:bottom="480" w:left="620" w:header="0" w:footer="291" w:gutter="0"/>
          <w:cols w:space="720"/>
        </w:sectPr>
      </w:pPr>
    </w:p>
    <w:p w14:paraId="7326C6EC" w14:textId="77777777" w:rsidR="00EF3DFB" w:rsidRDefault="00D27C17">
      <w:pPr>
        <w:pStyle w:val="ListParagraph"/>
        <w:numPr>
          <w:ilvl w:val="2"/>
          <w:numId w:val="22"/>
        </w:numPr>
        <w:tabs>
          <w:tab w:val="left" w:pos="910"/>
        </w:tabs>
        <w:spacing w:before="81" w:line="249" w:lineRule="auto"/>
        <w:ind w:right="162"/>
        <w:jc w:val="both"/>
        <w:rPr>
          <w:sz w:val="16"/>
        </w:rPr>
      </w:pPr>
      <w:r>
        <w:rPr>
          <w:sz w:val="16"/>
        </w:rPr>
        <w:lastRenderedPageBreak/>
        <w:t xml:space="preserve">During 2019, in connection with the Company’s state income tax payable/receivable reconciliation process, the Company identified that a state income tax receivable initially recorded in March 2017 was overstated by $20 million. The Company determined that </w:t>
      </w:r>
      <w:r>
        <w:rPr>
          <w:sz w:val="16"/>
        </w:rPr>
        <w:t>the offset to this overstated receivable was recorded as a reduction to goodwill and, subsequently, recorded an entry during the current year to increase goodwill by this amount with a corresponding reduction to its state income tax receivable. Additionall</w:t>
      </w:r>
      <w:r>
        <w:rPr>
          <w:sz w:val="16"/>
        </w:rPr>
        <w:t>y, the Company identified and reversed $9 million of reserves for uncertain tax positions that were no longer required as the statutes of limitations had previously expired across multiple prior years. Therefore, the Company recorded an adjustment to incom</w:t>
      </w:r>
      <w:r>
        <w:rPr>
          <w:sz w:val="16"/>
        </w:rPr>
        <w:t>e tax expense with a corresponding reduction to its reserves for uncertain tax positions. The Company was required to allocate the goodwill and reversal of reserves for uncertain tax positions to its businesses and reporting units in order to determine whe</w:t>
      </w:r>
      <w:r>
        <w:rPr>
          <w:sz w:val="16"/>
        </w:rPr>
        <w:t>ther or not the carrying value of a disposal group or reporting unit that was previously sold or impaired needed to be updated. Based on its analysis, the Company concluded that the entire $20 million goodwill balance and the reversal of $9 million of rese</w:t>
      </w:r>
      <w:r>
        <w:rPr>
          <w:sz w:val="16"/>
        </w:rPr>
        <w:t>rves for uncertain tax positions would have been impaired or recognized as a loss on disposal in previously issued financial statements. As such, in 2019 the Company recorded pre-tax out-of-period impairment charges and a loss on sale of divested businesse</w:t>
      </w:r>
      <w:r>
        <w:rPr>
          <w:sz w:val="16"/>
        </w:rPr>
        <w:t>s of $3 million and $8 million, respectively, of which $3 million ($2 million after-tax) and $8 million ($6 million after-tax) were reflected in continuing operations and discontinued operations, respectively, in the Company’s Consolidated Statement of Ope</w:t>
      </w:r>
      <w:r>
        <w:rPr>
          <w:sz w:val="16"/>
        </w:rPr>
        <w:t xml:space="preserve">rations. The Company concluded the effects of such adjustments were not material to the current period or previously issued financial statements. See </w:t>
      </w:r>
      <w:r>
        <w:rPr>
          <w:i/>
          <w:sz w:val="16"/>
        </w:rPr>
        <w:t xml:space="preserve">Footnote 1 </w:t>
      </w:r>
      <w:r>
        <w:rPr>
          <w:sz w:val="16"/>
        </w:rPr>
        <w:t>for further information.</w:t>
      </w:r>
    </w:p>
    <w:p w14:paraId="7326C6ED" w14:textId="77777777" w:rsidR="00EF3DFB" w:rsidRDefault="00D27C17">
      <w:pPr>
        <w:pStyle w:val="ListParagraph"/>
        <w:numPr>
          <w:ilvl w:val="2"/>
          <w:numId w:val="22"/>
        </w:numPr>
        <w:tabs>
          <w:tab w:val="left" w:pos="910"/>
        </w:tabs>
        <w:spacing w:before="129" w:line="249" w:lineRule="auto"/>
        <w:ind w:right="164"/>
        <w:jc w:val="both"/>
        <w:rPr>
          <w:sz w:val="16"/>
        </w:rPr>
      </w:pPr>
      <w:r>
        <w:rPr>
          <w:sz w:val="16"/>
        </w:rPr>
        <w:t>In 2019, the Company recorded non-cash impairment charges in the Comme</w:t>
      </w:r>
      <w:r>
        <w:rPr>
          <w:sz w:val="16"/>
        </w:rPr>
        <w:t>rcial Solutions segment to reflect a decrease in the carrying values of Mapa/ Spontex and Quickie by a total of $158 million while these businesses were classified as held for</w:t>
      </w:r>
      <w:r>
        <w:rPr>
          <w:spacing w:val="-6"/>
          <w:sz w:val="16"/>
        </w:rPr>
        <w:t xml:space="preserve"> </w:t>
      </w:r>
      <w:r>
        <w:rPr>
          <w:sz w:val="16"/>
        </w:rPr>
        <w:t>sale.</w:t>
      </w:r>
    </w:p>
    <w:p w14:paraId="7326C6EE" w14:textId="77777777" w:rsidR="00EF3DFB" w:rsidRDefault="00EF3DFB">
      <w:pPr>
        <w:pStyle w:val="BodyText"/>
        <w:spacing w:before="2"/>
      </w:pPr>
    </w:p>
    <w:p w14:paraId="7326C6EF" w14:textId="77777777" w:rsidR="00EF3DFB" w:rsidRDefault="00D27C17">
      <w:pPr>
        <w:pStyle w:val="BodyText"/>
        <w:ind w:left="190"/>
      </w:pPr>
      <w:r>
        <w:t>Acquired intangible asset impairment charges were recorded in the Company</w:t>
      </w:r>
      <w:r>
        <w:t>’s reporting segments as follows (in millions):</w:t>
      </w:r>
    </w:p>
    <w:p w14:paraId="7326C6F0" w14:textId="77777777" w:rsidR="00EF3DFB" w:rsidRDefault="00EF3DFB">
      <w:pPr>
        <w:pStyle w:val="BodyText"/>
        <w:spacing w:before="3"/>
        <w:rPr>
          <w:sz w:val="9"/>
        </w:rPr>
      </w:pPr>
    </w:p>
    <w:p w14:paraId="7326C6F1" w14:textId="3DBE6E7A" w:rsidR="00EF3DFB" w:rsidRDefault="00D27C17">
      <w:pPr>
        <w:tabs>
          <w:tab w:val="left" w:pos="1274"/>
        </w:tabs>
        <w:spacing w:before="93"/>
        <w:ind w:right="494"/>
        <w:jc w:val="right"/>
        <w:rPr>
          <w:b/>
          <w:sz w:val="16"/>
        </w:rPr>
      </w:pPr>
      <w:r>
        <w:rPr>
          <w:noProof/>
        </w:rPr>
        <mc:AlternateContent>
          <mc:Choice Requires="wps">
            <w:drawing>
              <wp:anchor distT="0" distB="0" distL="0" distR="0" simplePos="0" relativeHeight="2920" behindDoc="0" locked="0" layoutInCell="1" allowOverlap="1" wp14:anchorId="7326D733" wp14:editId="7D86F6FE">
                <wp:simplePos x="0" y="0"/>
                <wp:positionH relativeFrom="page">
                  <wp:posOffset>514350</wp:posOffset>
                </wp:positionH>
                <wp:positionV relativeFrom="paragraph">
                  <wp:posOffset>201295</wp:posOffset>
                </wp:positionV>
                <wp:extent cx="6743700" cy="155575"/>
                <wp:effectExtent l="0" t="0" r="0" b="0"/>
                <wp:wrapTopAndBottom/>
                <wp:docPr id="35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55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D938" w14:textId="77777777" w:rsidR="00EF3DFB" w:rsidRDefault="00D27C17">
                            <w:pPr>
                              <w:spacing w:line="221" w:lineRule="exact"/>
                              <w:ind w:left="52"/>
                              <w:rPr>
                                <w:b/>
                                <w:sz w:val="20"/>
                              </w:rPr>
                            </w:pPr>
                            <w:r>
                              <w:rPr>
                                <w:b/>
                                <w:sz w:val="20"/>
                              </w:rPr>
                              <w:t>Impairment of acquired intangible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33" id="Text Box 334" o:spid="_x0000_s1036" type="#_x0000_t202" style="position:absolute;left:0;text-align:left;margin-left:40.5pt;margin-top:15.85pt;width:531pt;height:12.25pt;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" fillcolor="#ccedff" stroked="f">
                <v:textbox inset="0,0,0,0">
                  <w:txbxContent>
                    <w:p w14:paraId="7326D938" w14:textId="77777777" w:rsidR="00EF3DFB" w:rsidRDefault="00D27C17">
                      <w:pPr>
                        <w:spacing w:line="221" w:lineRule="exact"/>
                        <w:ind w:left="52"/>
                        <w:rPr>
                          <w:b/>
                          <w:sz w:val="20"/>
                        </w:rPr>
                      </w:pPr>
                      <w:r>
                        <w:rPr>
                          <w:b/>
                          <w:sz w:val="20"/>
                        </w:rPr>
                        <w:t>Impairment of acquired intangible assets</w:t>
                      </w:r>
                    </w:p>
                  </w:txbxContent>
                </v:textbox>
                <w10:wrap type="topAndBottom" anchorx="page"/>
              </v:shape>
            </w:pict>
          </mc:Fallback>
        </mc:AlternateContent>
      </w:r>
      <w:r>
        <w:rPr>
          <w:noProof/>
        </w:rPr>
        <mc:AlternateContent>
          <mc:Choice Requires="wpg">
            <w:drawing>
              <wp:anchor distT="0" distB="0" distL="114300" distR="114300" simplePos="0" relativeHeight="2992" behindDoc="0" locked="0" layoutInCell="1" allowOverlap="1" wp14:anchorId="7326D734" wp14:editId="7EBF4B2D">
                <wp:simplePos x="0" y="0"/>
                <wp:positionH relativeFrom="page">
                  <wp:posOffset>5686425</wp:posOffset>
                </wp:positionH>
                <wp:positionV relativeFrom="paragraph">
                  <wp:posOffset>188595</wp:posOffset>
                </wp:positionV>
                <wp:extent cx="762000" cy="12700"/>
                <wp:effectExtent l="9525" t="3175" r="9525" b="3175"/>
                <wp:wrapNone/>
                <wp:docPr id="34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8955" y="297"/>
                          <a:chExt cx="1200" cy="20"/>
                        </a:xfrm>
                      </wpg:grpSpPr>
                      <wps:wsp>
                        <wps:cNvPr id="349" name="Line 333"/>
                        <wps:cNvCnPr>
                          <a:cxnSpLocks noChangeShapeType="1"/>
                        </wps:cNvCnPr>
                        <wps:spPr bwMode="auto">
                          <a:xfrm>
                            <a:off x="8955" y="307"/>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32"/>
                        <wps:cNvCnPr>
                          <a:cxnSpLocks noChangeShapeType="1"/>
                        </wps:cNvCnPr>
                        <wps:spPr bwMode="auto">
                          <a:xfrm>
                            <a:off x="8955" y="307"/>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F9284" id="Group 331" o:spid="_x0000_s1026" style="position:absolute;margin-left:447.75pt;margin-top:14.85pt;width:60pt;height:1pt;z-index:2992;mso-position-horizontal-relative:page" coordorigin="8955,297"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">
                <v:line id="Line 333" o:spid="_x0000_s1027" style="position:absolute;visibility:visible;mso-wrap-style:square" from="8955,307" to="1015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A8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" strokeweight="0"/>
                <v:line id="Line 332" o:spid="_x0000_s1028" style="position:absolute;visibility:visible;mso-wrap-style:square" from="8955,307" to="1015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w10:wrap anchorx="page"/>
              </v:group>
            </w:pict>
          </mc:Fallback>
        </mc:AlternateContent>
      </w:r>
      <w:r>
        <w:rPr>
          <w:noProof/>
        </w:rPr>
        <mc:AlternateContent>
          <mc:Choice Requires="wpg">
            <w:drawing>
              <wp:anchor distT="0" distB="0" distL="114300" distR="114300" simplePos="0" relativeHeight="3016" behindDoc="0" locked="0" layoutInCell="1" allowOverlap="1" wp14:anchorId="7326D735" wp14:editId="1CBCE0BE">
                <wp:simplePos x="0" y="0"/>
                <wp:positionH relativeFrom="page">
                  <wp:posOffset>6496050</wp:posOffset>
                </wp:positionH>
                <wp:positionV relativeFrom="paragraph">
                  <wp:posOffset>188595</wp:posOffset>
                </wp:positionV>
                <wp:extent cx="762000" cy="12700"/>
                <wp:effectExtent l="9525" t="3175" r="9525" b="3175"/>
                <wp:wrapNone/>
                <wp:docPr id="345"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10230" y="297"/>
                          <a:chExt cx="1200" cy="20"/>
                        </a:xfrm>
                      </wpg:grpSpPr>
                      <wps:wsp>
                        <wps:cNvPr id="346" name="Line 330"/>
                        <wps:cNvCnPr>
                          <a:cxnSpLocks noChangeShapeType="1"/>
                        </wps:cNvCnPr>
                        <wps:spPr bwMode="auto">
                          <a:xfrm>
                            <a:off x="10230" y="307"/>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29"/>
                        <wps:cNvCnPr>
                          <a:cxnSpLocks noChangeShapeType="1"/>
                        </wps:cNvCnPr>
                        <wps:spPr bwMode="auto">
                          <a:xfrm>
                            <a:off x="10230" y="307"/>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0E001" id="Group 328" o:spid="_x0000_s1026" style="position:absolute;margin-left:511.5pt;margin-top:14.85pt;width:60pt;height:1pt;z-index:3016;mso-position-horizontal-relative:page" coordorigin="10230,297"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">
                <v:line id="Line 330" o:spid="_x0000_s1027" style="position:absolute;visibility:visible;mso-wrap-style:square" from="10230,307" to="1143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RO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" strokeweight="0"/>
                <v:line id="Line 329" o:spid="_x0000_s1028" style="position:absolute;visibility:visible;mso-wrap-style:square" from="10230,307" to="1143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yxQAAANwAAAAPAAAAZHJzL2Rvd25yZXYueG1sRI/dagIx&#10;FITvhb5DOAXvatYq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BUh+kyxQAAANwAAAAP&#10;AAAAAAAAAAAAAAAAAAcCAABkcnMvZG93bnJldi54bWxQSwUGAAAAAAMAAwC3AAAA+QIAAAAA&#10;" strokeweight="1pt"/>
                <w10:wrap anchorx="page"/>
              </v:group>
            </w:pict>
          </mc:Fallback>
        </mc:AlternateContent>
      </w:r>
      <w:r>
        <w:rPr>
          <w:b/>
          <w:sz w:val="16"/>
        </w:rPr>
        <w:t>2020 (1)</w:t>
      </w:r>
      <w:r>
        <w:rPr>
          <w:b/>
          <w:sz w:val="16"/>
        </w:rPr>
        <w:tab/>
        <w:t>2019 (2)</w:t>
      </w:r>
    </w:p>
    <w:p w14:paraId="7326C6F2" w14:textId="77777777" w:rsidR="00EF3DFB" w:rsidRDefault="00D27C17">
      <w:pPr>
        <w:pStyle w:val="BodyText"/>
        <w:tabs>
          <w:tab w:val="left" w:pos="8387"/>
          <w:tab w:val="left" w:pos="9253"/>
          <w:tab w:val="left" w:pos="9662"/>
          <w:tab w:val="right" w:pos="10728"/>
        </w:tabs>
        <w:spacing w:before="10" w:after="40"/>
        <w:ind w:left="242"/>
      </w:pPr>
      <w:r>
        <w:t>Appliances</w:t>
      </w:r>
      <w:r>
        <w:rPr>
          <w:spacing w:val="-4"/>
        </w:rPr>
        <w:t xml:space="preserve"> </w:t>
      </w:r>
      <w:r>
        <w:t>and</w:t>
      </w:r>
      <w:r>
        <w:rPr>
          <w:spacing w:val="-3"/>
        </w:rPr>
        <w:t xml:space="preserve"> </w:t>
      </w:r>
      <w:r>
        <w:t>Cookware</w:t>
      </w:r>
      <w:r>
        <w:tab/>
        <w:t>$</w:t>
      </w:r>
      <w:r>
        <w:tab/>
        <w:t>87</w:t>
      </w:r>
      <w:r>
        <w:tab/>
        <w:t>$</w:t>
      </w:r>
      <w:r>
        <w:tab/>
        <w:t>607</w:t>
      </w:r>
    </w:p>
    <w:tbl>
      <w:tblPr>
        <w:tblW w:w="0" w:type="auto"/>
        <w:tblInd w:w="190" w:type="dxa"/>
        <w:tblLayout w:type="fixed"/>
        <w:tblCellMar>
          <w:left w:w="0" w:type="dxa"/>
          <w:right w:w="0" w:type="dxa"/>
        </w:tblCellMar>
        <w:tblLook w:val="01E0" w:firstRow="1" w:lastRow="1" w:firstColumn="1" w:lastColumn="1" w:noHBand="0" w:noVBand="0"/>
      </w:tblPr>
      <w:tblGrid>
        <w:gridCol w:w="5218"/>
        <w:gridCol w:w="4149"/>
        <w:gridCol w:w="1251"/>
      </w:tblGrid>
      <w:tr w:rsidR="00EF3DFB" w14:paraId="7326C6F6" w14:textId="77777777">
        <w:trPr>
          <w:trHeight w:val="285"/>
        </w:trPr>
        <w:tc>
          <w:tcPr>
            <w:tcW w:w="5218" w:type="dxa"/>
            <w:shd w:val="clear" w:color="auto" w:fill="CCEDFF"/>
          </w:tcPr>
          <w:p w14:paraId="7326C6F3" w14:textId="77777777" w:rsidR="00EF3DFB" w:rsidRDefault="00D27C17">
            <w:pPr>
              <w:pStyle w:val="TableParagraph"/>
              <w:spacing w:before="25"/>
              <w:ind w:left="52"/>
              <w:rPr>
                <w:sz w:val="20"/>
              </w:rPr>
            </w:pPr>
            <w:r>
              <w:rPr>
                <w:sz w:val="20"/>
              </w:rPr>
              <w:t>Commercial Solutions</w:t>
            </w:r>
          </w:p>
        </w:tc>
        <w:tc>
          <w:tcPr>
            <w:tcW w:w="4149" w:type="dxa"/>
            <w:shd w:val="clear" w:color="auto" w:fill="CCEDFF"/>
          </w:tcPr>
          <w:p w14:paraId="7326C6F4" w14:textId="77777777" w:rsidR="00EF3DFB" w:rsidRDefault="00D27C17">
            <w:pPr>
              <w:pStyle w:val="TableParagraph"/>
              <w:spacing w:before="25"/>
              <w:ind w:right="101"/>
              <w:jc w:val="right"/>
              <w:rPr>
                <w:sz w:val="20"/>
              </w:rPr>
            </w:pPr>
            <w:r>
              <w:rPr>
                <w:sz w:val="20"/>
              </w:rPr>
              <w:t>320</w:t>
            </w:r>
          </w:p>
        </w:tc>
        <w:tc>
          <w:tcPr>
            <w:tcW w:w="1251" w:type="dxa"/>
            <w:shd w:val="clear" w:color="auto" w:fill="CCEDFF"/>
          </w:tcPr>
          <w:p w14:paraId="7326C6F5" w14:textId="77777777" w:rsidR="00EF3DFB" w:rsidRDefault="00D27C17">
            <w:pPr>
              <w:pStyle w:val="TableParagraph"/>
              <w:spacing w:before="25"/>
              <w:ind w:right="77"/>
              <w:jc w:val="right"/>
              <w:rPr>
                <w:sz w:val="20"/>
              </w:rPr>
            </w:pPr>
            <w:r>
              <w:rPr>
                <w:sz w:val="20"/>
              </w:rPr>
              <w:t>152</w:t>
            </w:r>
          </w:p>
        </w:tc>
      </w:tr>
      <w:tr w:rsidR="00EF3DFB" w14:paraId="7326C6FA" w14:textId="77777777">
        <w:trPr>
          <w:trHeight w:val="285"/>
        </w:trPr>
        <w:tc>
          <w:tcPr>
            <w:tcW w:w="5218" w:type="dxa"/>
          </w:tcPr>
          <w:p w14:paraId="7326C6F7" w14:textId="77777777" w:rsidR="00EF3DFB" w:rsidRDefault="00D27C17">
            <w:pPr>
              <w:pStyle w:val="TableParagraph"/>
              <w:spacing w:before="4"/>
              <w:ind w:left="52"/>
              <w:rPr>
                <w:sz w:val="20"/>
              </w:rPr>
            </w:pPr>
            <w:r>
              <w:rPr>
                <w:sz w:val="20"/>
              </w:rPr>
              <w:t>Home Solutions</w:t>
            </w:r>
          </w:p>
        </w:tc>
        <w:tc>
          <w:tcPr>
            <w:tcW w:w="4149" w:type="dxa"/>
          </w:tcPr>
          <w:p w14:paraId="7326C6F8" w14:textId="77777777" w:rsidR="00EF3DFB" w:rsidRDefault="00D27C17">
            <w:pPr>
              <w:pStyle w:val="TableParagraph"/>
              <w:spacing w:before="25"/>
              <w:ind w:right="101"/>
              <w:jc w:val="right"/>
              <w:rPr>
                <w:sz w:val="20"/>
              </w:rPr>
            </w:pPr>
            <w:r>
              <w:rPr>
                <w:sz w:val="20"/>
              </w:rPr>
              <w:t>290</w:t>
            </w:r>
          </w:p>
        </w:tc>
        <w:tc>
          <w:tcPr>
            <w:tcW w:w="1251" w:type="dxa"/>
          </w:tcPr>
          <w:p w14:paraId="7326C6F9" w14:textId="77777777" w:rsidR="00EF3DFB" w:rsidRDefault="00D27C17">
            <w:pPr>
              <w:pStyle w:val="TableParagraph"/>
              <w:spacing w:before="25"/>
              <w:ind w:right="77"/>
              <w:jc w:val="right"/>
              <w:rPr>
                <w:sz w:val="20"/>
              </w:rPr>
            </w:pPr>
            <w:r>
              <w:rPr>
                <w:sz w:val="20"/>
              </w:rPr>
              <w:t>152</w:t>
            </w:r>
          </w:p>
        </w:tc>
      </w:tr>
      <w:tr w:rsidR="00EF3DFB" w14:paraId="7326C6FE" w14:textId="77777777">
        <w:trPr>
          <w:trHeight w:val="285"/>
        </w:trPr>
        <w:tc>
          <w:tcPr>
            <w:tcW w:w="5218" w:type="dxa"/>
            <w:shd w:val="clear" w:color="auto" w:fill="CCEDFF"/>
          </w:tcPr>
          <w:p w14:paraId="7326C6FB" w14:textId="77777777" w:rsidR="00EF3DFB" w:rsidRDefault="00D27C17">
            <w:pPr>
              <w:pStyle w:val="TableParagraph"/>
              <w:spacing w:before="4"/>
              <w:ind w:left="52"/>
              <w:rPr>
                <w:sz w:val="20"/>
              </w:rPr>
            </w:pPr>
            <w:r>
              <w:rPr>
                <w:sz w:val="20"/>
              </w:rPr>
              <w:t>Learning and Development</w:t>
            </w:r>
          </w:p>
        </w:tc>
        <w:tc>
          <w:tcPr>
            <w:tcW w:w="4149" w:type="dxa"/>
            <w:shd w:val="clear" w:color="auto" w:fill="CCEDFF"/>
          </w:tcPr>
          <w:p w14:paraId="7326C6FC" w14:textId="77777777" w:rsidR="00EF3DFB" w:rsidRDefault="00D27C17">
            <w:pPr>
              <w:pStyle w:val="TableParagraph"/>
              <w:spacing w:before="25"/>
              <w:ind w:right="101"/>
              <w:jc w:val="right"/>
              <w:rPr>
                <w:sz w:val="20"/>
              </w:rPr>
            </w:pPr>
            <w:r>
              <w:rPr>
                <w:sz w:val="20"/>
              </w:rPr>
              <w:t>100</w:t>
            </w:r>
          </w:p>
        </w:tc>
        <w:tc>
          <w:tcPr>
            <w:tcW w:w="1251" w:type="dxa"/>
            <w:shd w:val="clear" w:color="auto" w:fill="CCEDFF"/>
          </w:tcPr>
          <w:p w14:paraId="7326C6FD" w14:textId="77777777" w:rsidR="00EF3DFB" w:rsidRDefault="00D27C17">
            <w:pPr>
              <w:pStyle w:val="TableParagraph"/>
              <w:spacing w:before="25"/>
              <w:ind w:right="77"/>
              <w:jc w:val="right"/>
              <w:rPr>
                <w:sz w:val="20"/>
              </w:rPr>
            </w:pPr>
            <w:r>
              <w:rPr>
                <w:sz w:val="20"/>
              </w:rPr>
              <w:t>24</w:t>
            </w:r>
          </w:p>
        </w:tc>
      </w:tr>
      <w:tr w:rsidR="00EF3DFB" w14:paraId="7326C702" w14:textId="77777777">
        <w:trPr>
          <w:trHeight w:val="275"/>
        </w:trPr>
        <w:tc>
          <w:tcPr>
            <w:tcW w:w="5218" w:type="dxa"/>
          </w:tcPr>
          <w:p w14:paraId="7326C6FF" w14:textId="77777777" w:rsidR="00EF3DFB" w:rsidRDefault="00D27C17">
            <w:pPr>
              <w:pStyle w:val="TableParagraph"/>
              <w:spacing w:before="4"/>
              <w:ind w:left="52"/>
              <w:rPr>
                <w:sz w:val="20"/>
              </w:rPr>
            </w:pPr>
            <w:r>
              <w:rPr>
                <w:sz w:val="20"/>
              </w:rPr>
              <w:t>Outdoor and Recreation</w:t>
            </w:r>
          </w:p>
        </w:tc>
        <w:tc>
          <w:tcPr>
            <w:tcW w:w="4149" w:type="dxa"/>
            <w:tcBorders>
              <w:bottom w:val="single" w:sz="8" w:space="0" w:color="000000"/>
            </w:tcBorders>
          </w:tcPr>
          <w:p w14:paraId="7326C700" w14:textId="77777777" w:rsidR="00EF3DFB" w:rsidRDefault="00D27C17">
            <w:pPr>
              <w:pStyle w:val="TableParagraph"/>
              <w:spacing w:before="25" w:line="230" w:lineRule="exact"/>
              <w:ind w:right="101"/>
              <w:jc w:val="right"/>
              <w:rPr>
                <w:sz w:val="20"/>
              </w:rPr>
            </w:pPr>
            <w:r>
              <w:rPr>
                <w:sz w:val="20"/>
              </w:rPr>
              <w:t>482</w:t>
            </w:r>
          </w:p>
        </w:tc>
        <w:tc>
          <w:tcPr>
            <w:tcW w:w="1251" w:type="dxa"/>
            <w:tcBorders>
              <w:bottom w:val="single" w:sz="8" w:space="0" w:color="000000"/>
            </w:tcBorders>
          </w:tcPr>
          <w:p w14:paraId="7326C701" w14:textId="77777777" w:rsidR="00EF3DFB" w:rsidRDefault="00D27C17">
            <w:pPr>
              <w:pStyle w:val="TableParagraph"/>
              <w:spacing w:before="25" w:line="230" w:lineRule="exact"/>
              <w:ind w:right="77"/>
              <w:jc w:val="right"/>
              <w:rPr>
                <w:sz w:val="20"/>
              </w:rPr>
            </w:pPr>
            <w:r>
              <w:rPr>
                <w:sz w:val="20"/>
              </w:rPr>
              <w:t>118</w:t>
            </w:r>
          </w:p>
        </w:tc>
      </w:tr>
      <w:tr w:rsidR="00EF3DFB" w14:paraId="7326C706" w14:textId="77777777">
        <w:trPr>
          <w:trHeight w:val="275"/>
        </w:trPr>
        <w:tc>
          <w:tcPr>
            <w:tcW w:w="5218" w:type="dxa"/>
            <w:shd w:val="clear" w:color="auto" w:fill="CCEDFF"/>
          </w:tcPr>
          <w:p w14:paraId="7326C703" w14:textId="77777777" w:rsidR="00EF3DFB" w:rsidRDefault="00EF3DFB">
            <w:pPr>
              <w:pStyle w:val="TableParagraph"/>
              <w:rPr>
                <w:sz w:val="16"/>
              </w:rPr>
            </w:pPr>
          </w:p>
        </w:tc>
        <w:tc>
          <w:tcPr>
            <w:tcW w:w="4149" w:type="dxa"/>
            <w:tcBorders>
              <w:top w:val="single" w:sz="8" w:space="0" w:color="000000"/>
            </w:tcBorders>
            <w:shd w:val="clear" w:color="auto" w:fill="CCEDFF"/>
          </w:tcPr>
          <w:p w14:paraId="7326C704" w14:textId="77777777" w:rsidR="00EF3DFB" w:rsidRDefault="00D27C17">
            <w:pPr>
              <w:pStyle w:val="TableParagraph"/>
              <w:tabs>
                <w:tab w:val="left" w:pos="615"/>
              </w:tabs>
              <w:spacing w:before="15"/>
              <w:ind w:right="101"/>
              <w:jc w:val="right"/>
              <w:rPr>
                <w:sz w:val="20"/>
              </w:rPr>
            </w:pPr>
            <w:r>
              <w:rPr>
                <w:sz w:val="20"/>
                <w:u w:val="single"/>
              </w:rPr>
              <w:t>$</w:t>
            </w:r>
            <w:r>
              <w:rPr>
                <w:sz w:val="20"/>
                <w:u w:val="single"/>
              </w:rPr>
              <w:tab/>
              <w:t>1,279</w:t>
            </w:r>
          </w:p>
        </w:tc>
        <w:tc>
          <w:tcPr>
            <w:tcW w:w="1251" w:type="dxa"/>
            <w:tcBorders>
              <w:top w:val="single" w:sz="8" w:space="0" w:color="000000"/>
            </w:tcBorders>
            <w:shd w:val="clear" w:color="auto" w:fill="CCEDFF"/>
          </w:tcPr>
          <w:p w14:paraId="7326C705" w14:textId="77777777" w:rsidR="00EF3DFB" w:rsidRDefault="00D27C17">
            <w:pPr>
              <w:pStyle w:val="TableParagraph"/>
              <w:tabs>
                <w:tab w:val="left" w:pos="615"/>
              </w:tabs>
              <w:spacing w:before="15"/>
              <w:ind w:right="77"/>
              <w:jc w:val="right"/>
              <w:rPr>
                <w:sz w:val="20"/>
              </w:rPr>
            </w:pPr>
            <w:r>
              <w:rPr>
                <w:sz w:val="20"/>
                <w:u w:val="single"/>
              </w:rPr>
              <w:t>$</w:t>
            </w:r>
            <w:r>
              <w:rPr>
                <w:sz w:val="20"/>
                <w:u w:val="single"/>
              </w:rPr>
              <w:tab/>
              <w:t>1,053</w:t>
            </w:r>
          </w:p>
        </w:tc>
      </w:tr>
    </w:tbl>
    <w:p w14:paraId="7326C707" w14:textId="1B2D808F" w:rsidR="00EF3DFB" w:rsidRDefault="00D27C17">
      <w:pPr>
        <w:spacing w:line="20" w:lineRule="exact"/>
        <w:ind w:left="8325"/>
        <w:rPr>
          <w:sz w:val="2"/>
        </w:rPr>
      </w:pPr>
      <w:r>
        <w:rPr>
          <w:noProof/>
          <w:sz w:val="2"/>
        </w:rPr>
        <mc:AlternateContent>
          <mc:Choice Requires="wpg">
            <w:drawing>
              <wp:inline distT="0" distB="0" distL="0" distR="0" wp14:anchorId="7326D736" wp14:editId="2D727634">
                <wp:extent cx="762000" cy="12700"/>
                <wp:effectExtent l="12700" t="6985" r="6350" b="8890"/>
                <wp:docPr id="343"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44" name="Line 327"/>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EA960" id="Group 326"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CFdYxLJwIAANsEAAAOAAAAAAAAAAAAAAAAAC4CAABkcnMvZTJvRG9jLnht&#10;bFBLAQItABQABgAIAAAAIQDqJm4U2QAAAAMBAAAPAAAAAAAAAAAAAAAAAIEEAABkcnMvZG93bnJl&#10;di54bWxQSwUGAAAAAAQABADzAAAAhwUAAAAA&#10;">
                <v:line id="Line 327"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dFxQAAANwAAAAPAAAAZHJzL2Rvd25yZXYueG1sRI/RagIx&#10;FETfBf8hXKFvmrWV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CkVXdF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38" wp14:editId="3BAE26E8">
                <wp:extent cx="762000" cy="12700"/>
                <wp:effectExtent l="12700" t="6985" r="6350" b="8890"/>
                <wp:docPr id="34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342" name="Line 325"/>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172A6" id="Group 324"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">
                <v:line id="Line 325"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qqxQAAANwAAAAPAAAAZHJzL2Rvd25yZXYueG1sRI/dagIx&#10;FITvBd8hHKF3Nast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BE8EqqxQAAANwAAAAP&#10;AAAAAAAAAAAAAAAAAAcCAABkcnMvZG93bnJldi54bWxQSwUGAAAAAAMAAwC3AAAA+QIAAAAA&#10;" strokeweight="1pt"/>
                <w10:anchorlock/>
              </v:group>
            </w:pict>
          </mc:Fallback>
        </mc:AlternateContent>
      </w:r>
    </w:p>
    <w:p w14:paraId="7326C708" w14:textId="77777777" w:rsidR="00EF3DFB" w:rsidRDefault="00D27C17">
      <w:pPr>
        <w:pStyle w:val="ListParagraph"/>
        <w:numPr>
          <w:ilvl w:val="0"/>
          <w:numId w:val="21"/>
        </w:numPr>
        <w:tabs>
          <w:tab w:val="left" w:pos="550"/>
        </w:tabs>
        <w:spacing w:before="151" w:line="249" w:lineRule="auto"/>
        <w:ind w:right="165"/>
        <w:jc w:val="both"/>
        <w:rPr>
          <w:sz w:val="16"/>
        </w:rPr>
      </w:pPr>
      <w:r>
        <w:rPr>
          <w:sz w:val="16"/>
        </w:rPr>
        <w:t xml:space="preserve">During the fourth quarter of 2020, in conjunction with its annual impairment testing, the Company recorded a non-cash impairment charge of $20 million associated with a tradename in the Learning and Development segment, </w:t>
      </w:r>
      <w:r>
        <w:rPr>
          <w:sz w:val="16"/>
        </w:rPr>
        <w:t>as its carrying value exceeded its fair value. The impairment reflected a downward revision of forecasted results due to the impact of the delayed and limited re-opening of schools and offices as a result of the COVID-19 global pandemic, as well as the con</w:t>
      </w:r>
      <w:r>
        <w:rPr>
          <w:sz w:val="16"/>
        </w:rPr>
        <w:t xml:space="preserve">tinued deterioration in sales for slime-related adhesive products. </w:t>
      </w:r>
      <w:r>
        <w:rPr>
          <w:color w:val="202528"/>
          <w:sz w:val="16"/>
        </w:rPr>
        <w:t>The rate and duration of the decline for such products, which is expected to continue into the future, is difficult to predict. Further impairments of this tradename may also occur if futur</w:t>
      </w:r>
      <w:r>
        <w:rPr>
          <w:color w:val="202528"/>
          <w:sz w:val="16"/>
        </w:rPr>
        <w:t xml:space="preserve">e expected cash flows are not achieved. </w:t>
      </w:r>
      <w:r>
        <w:rPr>
          <w:sz w:val="16"/>
        </w:rPr>
        <w:t>During the first quarter of 2020, as a result of the impairment testing performed in connection with COVID-19 pandemic triggering event, the Company determined that certain of its indefinite-lived intangible assets i</w:t>
      </w:r>
      <w:r>
        <w:rPr>
          <w:sz w:val="16"/>
        </w:rPr>
        <w:t xml:space="preserve">n all of its operating segments were impaired and recorded non-cash impairment charges </w:t>
      </w:r>
      <w:r>
        <w:rPr>
          <w:spacing w:val="-3"/>
          <w:sz w:val="16"/>
        </w:rPr>
        <w:t xml:space="preserve">of </w:t>
      </w:r>
      <w:r>
        <w:rPr>
          <w:sz w:val="16"/>
        </w:rPr>
        <w:t>$1.3 billion to reflect the impairment of these indefinite-lived tradenames because their carrying values exceeded their fair</w:t>
      </w:r>
      <w:r>
        <w:rPr>
          <w:spacing w:val="-3"/>
          <w:sz w:val="16"/>
        </w:rPr>
        <w:t xml:space="preserve"> </w:t>
      </w:r>
      <w:r>
        <w:rPr>
          <w:sz w:val="16"/>
        </w:rPr>
        <w:t>values.</w:t>
      </w:r>
    </w:p>
    <w:p w14:paraId="7326C709" w14:textId="77777777" w:rsidR="00EF3DFB" w:rsidRDefault="00D27C17">
      <w:pPr>
        <w:pStyle w:val="ListParagraph"/>
        <w:numPr>
          <w:ilvl w:val="0"/>
          <w:numId w:val="21"/>
        </w:numPr>
        <w:tabs>
          <w:tab w:val="left" w:pos="550"/>
        </w:tabs>
        <w:spacing w:before="125" w:line="249" w:lineRule="auto"/>
        <w:ind w:right="163"/>
        <w:jc w:val="both"/>
        <w:rPr>
          <w:sz w:val="16"/>
        </w:rPr>
      </w:pPr>
      <w:r>
        <w:rPr>
          <w:sz w:val="16"/>
        </w:rPr>
        <w:t>The carrying value of certain Ap</w:t>
      </w:r>
      <w:r>
        <w:rPr>
          <w:sz w:val="16"/>
        </w:rPr>
        <w:t>pliances and Cookware tradenames exceeded their fair value primarily due to the announced tariffs on Chinese imports, as well as a decline in sales volume due to a loss in market share for certain appliance categories driven by the success of newly launche</w:t>
      </w:r>
      <w:r>
        <w:rPr>
          <w:sz w:val="16"/>
        </w:rPr>
        <w:t>d competitive products. Both of these factors resulted in downward revisions to forecasted results. In 2019, the Company recorded impairment charges in the Commercial Solution segment to reflect a decrease in the carrying values of Mapa/Spontex and Quickie</w:t>
      </w:r>
      <w:r>
        <w:rPr>
          <w:sz w:val="16"/>
        </w:rPr>
        <w:t xml:space="preserve"> while these businesses were classified as held for sale. In the Home Solution segment, the impairment charges relate to certain Home Fragrance trademarks/tradenames. The Home Fragrance business has experienced a shift in product mix, which resulted in a d</w:t>
      </w:r>
      <w:r>
        <w:rPr>
          <w:sz w:val="16"/>
        </w:rPr>
        <w:t xml:space="preserve">ownward revision to forecasted results for one of its tradenames. In the Learning and Development segment, the impairment charge related to certain Writing trademarks/tradenames. </w:t>
      </w:r>
      <w:r>
        <w:rPr>
          <w:color w:val="202528"/>
          <w:sz w:val="16"/>
        </w:rPr>
        <w:t xml:space="preserve">The Writing business experienced softening trends in sales of </w:t>
      </w:r>
      <w:r>
        <w:rPr>
          <w:sz w:val="16"/>
        </w:rPr>
        <w:t>slime-related a</w:t>
      </w:r>
      <w:r>
        <w:rPr>
          <w:sz w:val="16"/>
        </w:rPr>
        <w:t>dhesive products</w:t>
      </w:r>
      <w:r>
        <w:rPr>
          <w:color w:val="202528"/>
          <w:sz w:val="16"/>
        </w:rPr>
        <w:t>. Related sales of such products during the fourth quarter of 2019 deteriorated at a faster rate than expected, which resulted in a downward revision to forecasted results for one of its tradenames. The carrying value of certain Outdoor and</w:t>
      </w:r>
      <w:r>
        <w:rPr>
          <w:color w:val="202528"/>
          <w:sz w:val="16"/>
        </w:rPr>
        <w:t xml:space="preserve"> Recreation tradenames exceeded their fair value primarily due to decline in demand for certain products, which resulted in a downward forecasted</w:t>
      </w:r>
      <w:r>
        <w:rPr>
          <w:color w:val="202528"/>
          <w:spacing w:val="-1"/>
          <w:sz w:val="16"/>
        </w:rPr>
        <w:t xml:space="preserve"> </w:t>
      </w:r>
      <w:r>
        <w:rPr>
          <w:color w:val="202528"/>
          <w:sz w:val="16"/>
        </w:rPr>
        <w:t>results.</w:t>
      </w:r>
    </w:p>
    <w:p w14:paraId="7326C70A" w14:textId="77777777" w:rsidR="00EF3DFB" w:rsidRDefault="00EF3DFB">
      <w:pPr>
        <w:spacing w:line="249" w:lineRule="auto"/>
        <w:jc w:val="both"/>
        <w:rPr>
          <w:sz w:val="16"/>
        </w:rPr>
        <w:sectPr w:rsidR="00EF3DFB">
          <w:footerReference w:type="default" r:id="rId19"/>
          <w:pgSz w:w="12240" w:h="15840"/>
          <w:pgMar w:top="600" w:right="640" w:bottom="480" w:left="620" w:header="0" w:footer="291" w:gutter="0"/>
          <w:pgNumType w:start="70"/>
          <w:cols w:space="720"/>
        </w:sectPr>
      </w:pPr>
    </w:p>
    <w:p w14:paraId="7326C70B" w14:textId="77777777" w:rsidR="00EF3DFB" w:rsidRDefault="00D27C17">
      <w:pPr>
        <w:pStyle w:val="BodyText"/>
        <w:spacing w:before="72" w:line="249" w:lineRule="auto"/>
        <w:ind w:left="190" w:right="170"/>
        <w:jc w:val="both"/>
      </w:pPr>
      <w:r>
        <w:lastRenderedPageBreak/>
        <w:t>The table below summarizes the balance of other intangible assets, net and the related amortization periods using the straight-line method and attribution method at December 31, 2020 and 2019 (in millions):</w:t>
      </w:r>
    </w:p>
    <w:p w14:paraId="7326C70C" w14:textId="77777777" w:rsidR="00EF3DFB" w:rsidRDefault="00EF3DFB">
      <w:pPr>
        <w:pStyle w:val="BodyText"/>
      </w:pPr>
    </w:p>
    <w:p w14:paraId="7326C70D" w14:textId="77777777" w:rsidR="00EF3DFB" w:rsidRDefault="00EF3DFB">
      <w:pPr>
        <w:pStyle w:val="BodyText"/>
        <w:spacing w:before="3"/>
        <w:rPr>
          <w:sz w:val="11"/>
        </w:rPr>
      </w:pPr>
    </w:p>
    <w:tbl>
      <w:tblPr>
        <w:tblW w:w="0" w:type="auto"/>
        <w:tblInd w:w="190" w:type="dxa"/>
        <w:tblLayout w:type="fixed"/>
        <w:tblCellMar>
          <w:left w:w="0" w:type="dxa"/>
          <w:right w:w="0" w:type="dxa"/>
        </w:tblCellMar>
        <w:tblLook w:val="01E0" w:firstRow="1" w:lastRow="1" w:firstColumn="1" w:lastColumn="1" w:noHBand="0" w:noVBand="0"/>
      </w:tblPr>
      <w:tblGrid>
        <w:gridCol w:w="3135"/>
        <w:gridCol w:w="970"/>
        <w:gridCol w:w="1210"/>
        <w:gridCol w:w="1008"/>
        <w:gridCol w:w="1023"/>
        <w:gridCol w:w="1211"/>
        <w:gridCol w:w="986"/>
        <w:gridCol w:w="1081"/>
      </w:tblGrid>
      <w:tr w:rsidR="00EF3DFB" w14:paraId="7326C715" w14:textId="77777777">
        <w:trPr>
          <w:trHeight w:val="174"/>
        </w:trPr>
        <w:tc>
          <w:tcPr>
            <w:tcW w:w="3135" w:type="dxa"/>
            <w:vMerge w:val="restart"/>
          </w:tcPr>
          <w:p w14:paraId="7326C70E" w14:textId="77777777" w:rsidR="00EF3DFB" w:rsidRDefault="00EF3DFB">
            <w:pPr>
              <w:pStyle w:val="TableParagraph"/>
              <w:rPr>
                <w:sz w:val="18"/>
              </w:rPr>
            </w:pPr>
          </w:p>
        </w:tc>
        <w:tc>
          <w:tcPr>
            <w:tcW w:w="970" w:type="dxa"/>
            <w:tcBorders>
              <w:bottom w:val="single" w:sz="8" w:space="0" w:color="000000"/>
            </w:tcBorders>
          </w:tcPr>
          <w:p w14:paraId="7326C70F" w14:textId="77777777" w:rsidR="00EF3DFB" w:rsidRDefault="00EF3DFB">
            <w:pPr>
              <w:pStyle w:val="TableParagraph"/>
              <w:rPr>
                <w:sz w:val="10"/>
              </w:rPr>
            </w:pPr>
          </w:p>
        </w:tc>
        <w:tc>
          <w:tcPr>
            <w:tcW w:w="1210" w:type="dxa"/>
            <w:tcBorders>
              <w:bottom w:val="single" w:sz="8" w:space="0" w:color="000000"/>
            </w:tcBorders>
          </w:tcPr>
          <w:p w14:paraId="7326C710" w14:textId="77777777" w:rsidR="00EF3DFB" w:rsidRDefault="00D27C17">
            <w:pPr>
              <w:pStyle w:val="TableParagraph"/>
              <w:spacing w:line="155" w:lineRule="exact"/>
              <w:ind w:right="30"/>
              <w:jc w:val="right"/>
              <w:rPr>
                <w:b/>
                <w:sz w:val="14"/>
              </w:rPr>
            </w:pPr>
            <w:r>
              <w:rPr>
                <w:b/>
                <w:sz w:val="14"/>
              </w:rPr>
              <w:t>December 31, 2020</w:t>
            </w:r>
          </w:p>
        </w:tc>
        <w:tc>
          <w:tcPr>
            <w:tcW w:w="1008" w:type="dxa"/>
            <w:tcBorders>
              <w:bottom w:val="single" w:sz="8" w:space="0" w:color="000000"/>
            </w:tcBorders>
          </w:tcPr>
          <w:p w14:paraId="7326C711" w14:textId="77777777" w:rsidR="00EF3DFB" w:rsidRDefault="00EF3DFB">
            <w:pPr>
              <w:pStyle w:val="TableParagraph"/>
              <w:rPr>
                <w:sz w:val="10"/>
              </w:rPr>
            </w:pPr>
          </w:p>
        </w:tc>
        <w:tc>
          <w:tcPr>
            <w:tcW w:w="1023" w:type="dxa"/>
            <w:tcBorders>
              <w:bottom w:val="single" w:sz="8" w:space="0" w:color="000000"/>
            </w:tcBorders>
          </w:tcPr>
          <w:p w14:paraId="7326C712" w14:textId="77777777" w:rsidR="00EF3DFB" w:rsidRDefault="00EF3DFB">
            <w:pPr>
              <w:pStyle w:val="TableParagraph"/>
              <w:rPr>
                <w:sz w:val="10"/>
              </w:rPr>
            </w:pPr>
          </w:p>
        </w:tc>
        <w:tc>
          <w:tcPr>
            <w:tcW w:w="1211" w:type="dxa"/>
            <w:tcBorders>
              <w:bottom w:val="single" w:sz="8" w:space="0" w:color="000000"/>
            </w:tcBorders>
          </w:tcPr>
          <w:p w14:paraId="7326C713" w14:textId="77777777" w:rsidR="00EF3DFB" w:rsidRDefault="00D27C17">
            <w:pPr>
              <w:pStyle w:val="TableParagraph"/>
              <w:spacing w:line="155" w:lineRule="exact"/>
              <w:ind w:right="32"/>
              <w:jc w:val="right"/>
              <w:rPr>
                <w:b/>
                <w:sz w:val="14"/>
              </w:rPr>
            </w:pPr>
            <w:r>
              <w:rPr>
                <w:b/>
                <w:sz w:val="14"/>
              </w:rPr>
              <w:t>December 31, 2019</w:t>
            </w:r>
          </w:p>
        </w:tc>
        <w:tc>
          <w:tcPr>
            <w:tcW w:w="2067" w:type="dxa"/>
            <w:gridSpan w:val="2"/>
          </w:tcPr>
          <w:p w14:paraId="7326C714" w14:textId="77777777" w:rsidR="00EF3DFB" w:rsidRDefault="00EF3DFB">
            <w:pPr>
              <w:pStyle w:val="TableParagraph"/>
              <w:rPr>
                <w:sz w:val="10"/>
              </w:rPr>
            </w:pPr>
          </w:p>
        </w:tc>
      </w:tr>
      <w:tr w:rsidR="00EF3DFB" w14:paraId="7326C720" w14:textId="77777777">
        <w:trPr>
          <w:trHeight w:val="397"/>
        </w:trPr>
        <w:tc>
          <w:tcPr>
            <w:tcW w:w="3135" w:type="dxa"/>
            <w:vMerge/>
            <w:tcBorders>
              <w:top w:val="nil"/>
            </w:tcBorders>
          </w:tcPr>
          <w:p w14:paraId="7326C716" w14:textId="77777777" w:rsidR="00EF3DFB" w:rsidRDefault="00EF3DFB">
            <w:pPr>
              <w:rPr>
                <w:sz w:val="2"/>
                <w:szCs w:val="2"/>
              </w:rPr>
            </w:pPr>
          </w:p>
        </w:tc>
        <w:tc>
          <w:tcPr>
            <w:tcW w:w="970" w:type="dxa"/>
            <w:tcBorders>
              <w:top w:val="single" w:sz="8" w:space="0" w:color="000000"/>
            </w:tcBorders>
          </w:tcPr>
          <w:p w14:paraId="7326C717" w14:textId="77777777" w:rsidR="00EF3DFB" w:rsidRDefault="00D27C17">
            <w:pPr>
              <w:pStyle w:val="TableParagraph"/>
              <w:spacing w:before="122" w:line="140" w:lineRule="exact"/>
              <w:ind w:left="226" w:right="171" w:firstLine="101"/>
              <w:rPr>
                <w:b/>
                <w:sz w:val="14"/>
              </w:rPr>
            </w:pPr>
            <w:r>
              <w:rPr>
                <w:b/>
                <w:sz w:val="14"/>
              </w:rPr>
              <w:t>Gross Carrying</w:t>
            </w:r>
          </w:p>
        </w:tc>
        <w:tc>
          <w:tcPr>
            <w:tcW w:w="1210" w:type="dxa"/>
            <w:tcBorders>
              <w:top w:val="single" w:sz="8" w:space="0" w:color="000000"/>
            </w:tcBorders>
          </w:tcPr>
          <w:p w14:paraId="7326C718" w14:textId="77777777" w:rsidR="00EF3DFB" w:rsidRDefault="00EF3DFB">
            <w:pPr>
              <w:pStyle w:val="TableParagraph"/>
              <w:spacing w:before="2"/>
              <w:rPr>
                <w:sz w:val="21"/>
              </w:rPr>
            </w:pPr>
          </w:p>
          <w:p w14:paraId="7326C719" w14:textId="77777777" w:rsidR="00EF3DFB" w:rsidRDefault="00D27C17">
            <w:pPr>
              <w:pStyle w:val="TableParagraph"/>
              <w:spacing w:line="133" w:lineRule="exact"/>
              <w:ind w:left="216"/>
              <w:rPr>
                <w:b/>
                <w:sz w:val="14"/>
              </w:rPr>
            </w:pPr>
            <w:r>
              <w:rPr>
                <w:b/>
                <w:sz w:val="14"/>
              </w:rPr>
              <w:t>Accumulated</w:t>
            </w:r>
          </w:p>
        </w:tc>
        <w:tc>
          <w:tcPr>
            <w:tcW w:w="1008" w:type="dxa"/>
            <w:tcBorders>
              <w:top w:val="single" w:sz="8" w:space="0" w:color="000000"/>
            </w:tcBorders>
          </w:tcPr>
          <w:p w14:paraId="7326C71A" w14:textId="77777777" w:rsidR="00EF3DFB" w:rsidRDefault="00D27C17">
            <w:pPr>
              <w:pStyle w:val="TableParagraph"/>
              <w:spacing w:before="122" w:line="140" w:lineRule="exact"/>
              <w:ind w:left="327" w:right="349" w:firstLine="50"/>
              <w:rPr>
                <w:b/>
                <w:sz w:val="14"/>
              </w:rPr>
            </w:pPr>
            <w:r>
              <w:rPr>
                <w:b/>
                <w:sz w:val="14"/>
              </w:rPr>
              <w:t>Net Book</w:t>
            </w:r>
          </w:p>
        </w:tc>
        <w:tc>
          <w:tcPr>
            <w:tcW w:w="1023" w:type="dxa"/>
            <w:tcBorders>
              <w:top w:val="single" w:sz="8" w:space="0" w:color="000000"/>
            </w:tcBorders>
          </w:tcPr>
          <w:p w14:paraId="7326C71B" w14:textId="77777777" w:rsidR="00EF3DFB" w:rsidRDefault="00D27C17">
            <w:pPr>
              <w:pStyle w:val="TableParagraph"/>
              <w:spacing w:before="122" w:line="140" w:lineRule="exact"/>
              <w:ind w:left="278" w:right="172" w:firstLine="101"/>
              <w:rPr>
                <w:b/>
                <w:sz w:val="14"/>
              </w:rPr>
            </w:pPr>
            <w:r>
              <w:rPr>
                <w:b/>
                <w:sz w:val="14"/>
              </w:rPr>
              <w:t>Gross Carrying</w:t>
            </w:r>
          </w:p>
        </w:tc>
        <w:tc>
          <w:tcPr>
            <w:tcW w:w="1211" w:type="dxa"/>
            <w:tcBorders>
              <w:top w:val="single" w:sz="8" w:space="0" w:color="000000"/>
            </w:tcBorders>
          </w:tcPr>
          <w:p w14:paraId="7326C71C" w14:textId="77777777" w:rsidR="00EF3DFB" w:rsidRDefault="00EF3DFB">
            <w:pPr>
              <w:pStyle w:val="TableParagraph"/>
              <w:spacing w:before="2"/>
              <w:rPr>
                <w:sz w:val="21"/>
              </w:rPr>
            </w:pPr>
          </w:p>
          <w:p w14:paraId="7326C71D" w14:textId="77777777" w:rsidR="00EF3DFB" w:rsidRDefault="00D27C17">
            <w:pPr>
              <w:pStyle w:val="TableParagraph"/>
              <w:spacing w:line="133" w:lineRule="exact"/>
              <w:ind w:left="215"/>
              <w:rPr>
                <w:b/>
                <w:sz w:val="14"/>
              </w:rPr>
            </w:pPr>
            <w:r>
              <w:rPr>
                <w:b/>
                <w:sz w:val="14"/>
              </w:rPr>
              <w:t>Accumulated</w:t>
            </w:r>
          </w:p>
        </w:tc>
        <w:tc>
          <w:tcPr>
            <w:tcW w:w="986" w:type="dxa"/>
            <w:tcBorders>
              <w:top w:val="single" w:sz="8" w:space="0" w:color="000000"/>
            </w:tcBorders>
          </w:tcPr>
          <w:p w14:paraId="7326C71E" w14:textId="77777777" w:rsidR="00EF3DFB" w:rsidRDefault="00D27C17">
            <w:pPr>
              <w:pStyle w:val="TableParagraph"/>
              <w:spacing w:before="122" w:line="140" w:lineRule="exact"/>
              <w:ind w:left="325" w:right="329" w:firstLine="50"/>
              <w:rPr>
                <w:b/>
                <w:sz w:val="14"/>
              </w:rPr>
            </w:pPr>
            <w:r>
              <w:rPr>
                <w:b/>
                <w:sz w:val="14"/>
              </w:rPr>
              <w:t>Net Book</w:t>
            </w:r>
          </w:p>
        </w:tc>
        <w:tc>
          <w:tcPr>
            <w:tcW w:w="1081" w:type="dxa"/>
          </w:tcPr>
          <w:p w14:paraId="7326C71F" w14:textId="77777777" w:rsidR="00EF3DFB" w:rsidRDefault="00D27C17">
            <w:pPr>
              <w:pStyle w:val="TableParagraph"/>
              <w:spacing w:before="122" w:line="140" w:lineRule="exact"/>
              <w:ind w:left="349" w:right="86" w:hanging="175"/>
              <w:rPr>
                <w:b/>
                <w:sz w:val="14"/>
              </w:rPr>
            </w:pPr>
            <w:r>
              <w:rPr>
                <w:b/>
                <w:sz w:val="14"/>
              </w:rPr>
              <w:t>Amortization Periods</w:t>
            </w:r>
          </w:p>
        </w:tc>
      </w:tr>
      <w:tr w:rsidR="00EF3DFB" w14:paraId="7326C729" w14:textId="77777777">
        <w:trPr>
          <w:trHeight w:val="163"/>
        </w:trPr>
        <w:tc>
          <w:tcPr>
            <w:tcW w:w="3135" w:type="dxa"/>
            <w:vMerge/>
            <w:tcBorders>
              <w:top w:val="nil"/>
            </w:tcBorders>
          </w:tcPr>
          <w:p w14:paraId="7326C721" w14:textId="77777777" w:rsidR="00EF3DFB" w:rsidRDefault="00EF3DFB">
            <w:pPr>
              <w:rPr>
                <w:sz w:val="2"/>
                <w:szCs w:val="2"/>
              </w:rPr>
            </w:pPr>
          </w:p>
        </w:tc>
        <w:tc>
          <w:tcPr>
            <w:tcW w:w="970" w:type="dxa"/>
            <w:tcBorders>
              <w:bottom w:val="single" w:sz="8" w:space="0" w:color="000000"/>
            </w:tcBorders>
          </w:tcPr>
          <w:p w14:paraId="7326C722" w14:textId="77777777" w:rsidR="00EF3DFB" w:rsidRDefault="00D27C17">
            <w:pPr>
              <w:pStyle w:val="TableParagraph"/>
              <w:spacing w:line="143" w:lineRule="exact"/>
              <w:ind w:left="257"/>
              <w:rPr>
                <w:b/>
                <w:sz w:val="14"/>
              </w:rPr>
            </w:pPr>
            <w:r>
              <w:rPr>
                <w:b/>
                <w:sz w:val="14"/>
              </w:rPr>
              <w:t>Amount</w:t>
            </w:r>
          </w:p>
        </w:tc>
        <w:tc>
          <w:tcPr>
            <w:tcW w:w="1210" w:type="dxa"/>
            <w:tcBorders>
              <w:bottom w:val="single" w:sz="8" w:space="0" w:color="000000"/>
            </w:tcBorders>
          </w:tcPr>
          <w:p w14:paraId="7326C723" w14:textId="77777777" w:rsidR="00EF3DFB" w:rsidRDefault="00D27C17">
            <w:pPr>
              <w:pStyle w:val="TableParagraph"/>
              <w:spacing w:line="143" w:lineRule="exact"/>
              <w:ind w:left="212"/>
              <w:rPr>
                <w:b/>
                <w:sz w:val="14"/>
              </w:rPr>
            </w:pPr>
            <w:r>
              <w:rPr>
                <w:b/>
                <w:sz w:val="14"/>
              </w:rPr>
              <w:t>Amortization</w:t>
            </w:r>
          </w:p>
        </w:tc>
        <w:tc>
          <w:tcPr>
            <w:tcW w:w="1008" w:type="dxa"/>
            <w:tcBorders>
              <w:bottom w:val="single" w:sz="8" w:space="0" w:color="000000"/>
            </w:tcBorders>
          </w:tcPr>
          <w:p w14:paraId="7326C724" w14:textId="77777777" w:rsidR="00EF3DFB" w:rsidRDefault="00D27C17">
            <w:pPr>
              <w:pStyle w:val="TableParagraph"/>
              <w:spacing w:line="143" w:lineRule="exact"/>
              <w:ind w:left="307"/>
              <w:rPr>
                <w:b/>
                <w:sz w:val="14"/>
              </w:rPr>
            </w:pPr>
            <w:r>
              <w:rPr>
                <w:b/>
                <w:sz w:val="14"/>
              </w:rPr>
              <w:t>Value</w:t>
            </w:r>
          </w:p>
        </w:tc>
        <w:tc>
          <w:tcPr>
            <w:tcW w:w="1023" w:type="dxa"/>
            <w:tcBorders>
              <w:bottom w:val="single" w:sz="8" w:space="0" w:color="000000"/>
            </w:tcBorders>
          </w:tcPr>
          <w:p w14:paraId="7326C725" w14:textId="77777777" w:rsidR="00EF3DFB" w:rsidRDefault="00D27C17">
            <w:pPr>
              <w:pStyle w:val="TableParagraph"/>
              <w:spacing w:line="143" w:lineRule="exact"/>
              <w:ind w:left="309"/>
              <w:rPr>
                <w:b/>
                <w:sz w:val="14"/>
              </w:rPr>
            </w:pPr>
            <w:r>
              <w:rPr>
                <w:b/>
                <w:sz w:val="14"/>
              </w:rPr>
              <w:t>Amount</w:t>
            </w:r>
          </w:p>
        </w:tc>
        <w:tc>
          <w:tcPr>
            <w:tcW w:w="1211" w:type="dxa"/>
            <w:tcBorders>
              <w:bottom w:val="single" w:sz="8" w:space="0" w:color="000000"/>
            </w:tcBorders>
          </w:tcPr>
          <w:p w14:paraId="7326C726" w14:textId="77777777" w:rsidR="00EF3DFB" w:rsidRDefault="00D27C17">
            <w:pPr>
              <w:pStyle w:val="TableParagraph"/>
              <w:spacing w:line="143" w:lineRule="exact"/>
              <w:ind w:left="211"/>
              <w:rPr>
                <w:b/>
                <w:sz w:val="14"/>
              </w:rPr>
            </w:pPr>
            <w:r>
              <w:rPr>
                <w:b/>
                <w:sz w:val="14"/>
              </w:rPr>
              <w:t>Amortization</w:t>
            </w:r>
          </w:p>
        </w:tc>
        <w:tc>
          <w:tcPr>
            <w:tcW w:w="986" w:type="dxa"/>
            <w:tcBorders>
              <w:bottom w:val="single" w:sz="8" w:space="0" w:color="000000"/>
            </w:tcBorders>
          </w:tcPr>
          <w:p w14:paraId="7326C727" w14:textId="77777777" w:rsidR="00EF3DFB" w:rsidRDefault="00D27C17">
            <w:pPr>
              <w:pStyle w:val="TableParagraph"/>
              <w:spacing w:line="143" w:lineRule="exact"/>
              <w:ind w:left="305"/>
              <w:rPr>
                <w:b/>
                <w:sz w:val="14"/>
              </w:rPr>
            </w:pPr>
            <w:r>
              <w:rPr>
                <w:b/>
                <w:sz w:val="14"/>
              </w:rPr>
              <w:t>Value</w:t>
            </w:r>
          </w:p>
        </w:tc>
        <w:tc>
          <w:tcPr>
            <w:tcW w:w="1081" w:type="dxa"/>
            <w:tcBorders>
              <w:bottom w:val="single" w:sz="8" w:space="0" w:color="000000"/>
            </w:tcBorders>
          </w:tcPr>
          <w:p w14:paraId="7326C728" w14:textId="77777777" w:rsidR="00EF3DFB" w:rsidRDefault="00D27C17">
            <w:pPr>
              <w:pStyle w:val="TableParagraph"/>
              <w:spacing w:line="143" w:lineRule="exact"/>
              <w:ind w:right="214"/>
              <w:jc w:val="right"/>
              <w:rPr>
                <w:b/>
                <w:sz w:val="14"/>
              </w:rPr>
            </w:pPr>
            <w:r>
              <w:rPr>
                <w:b/>
                <w:sz w:val="14"/>
              </w:rPr>
              <w:t>(In years)</w:t>
            </w:r>
          </w:p>
        </w:tc>
      </w:tr>
      <w:tr w:rsidR="00EF3DFB" w14:paraId="7326C732" w14:textId="77777777">
        <w:trPr>
          <w:trHeight w:val="290"/>
        </w:trPr>
        <w:tc>
          <w:tcPr>
            <w:tcW w:w="3135" w:type="dxa"/>
            <w:shd w:val="clear" w:color="auto" w:fill="CCEDFF"/>
          </w:tcPr>
          <w:p w14:paraId="7326C72A" w14:textId="77777777" w:rsidR="00EF3DFB" w:rsidRDefault="00D27C17">
            <w:pPr>
              <w:pStyle w:val="TableParagraph"/>
              <w:spacing w:line="224" w:lineRule="exact"/>
              <w:ind w:left="52"/>
              <w:rPr>
                <w:sz w:val="20"/>
              </w:rPr>
            </w:pPr>
            <w:r>
              <w:rPr>
                <w:sz w:val="20"/>
              </w:rPr>
              <w:t>Tradenames - indefinite life</w:t>
            </w:r>
          </w:p>
        </w:tc>
        <w:tc>
          <w:tcPr>
            <w:tcW w:w="970" w:type="dxa"/>
            <w:tcBorders>
              <w:top w:val="single" w:sz="8" w:space="0" w:color="000000"/>
            </w:tcBorders>
            <w:shd w:val="clear" w:color="auto" w:fill="CCEDFF"/>
          </w:tcPr>
          <w:p w14:paraId="7326C72B" w14:textId="77777777" w:rsidR="00EF3DFB" w:rsidRDefault="00D27C17">
            <w:pPr>
              <w:pStyle w:val="TableParagraph"/>
              <w:tabs>
                <w:tab w:val="left" w:pos="420"/>
              </w:tabs>
              <w:spacing w:before="30"/>
              <w:ind w:right="44"/>
              <w:jc w:val="right"/>
              <w:rPr>
                <w:sz w:val="20"/>
              </w:rPr>
            </w:pPr>
            <w:r>
              <w:rPr>
                <w:sz w:val="20"/>
              </w:rPr>
              <w:t>$</w:t>
            </w:r>
            <w:r>
              <w:rPr>
                <w:sz w:val="20"/>
              </w:rPr>
              <w:tab/>
              <w:t>2,331</w:t>
            </w:r>
          </w:p>
        </w:tc>
        <w:tc>
          <w:tcPr>
            <w:tcW w:w="1210" w:type="dxa"/>
            <w:tcBorders>
              <w:top w:val="single" w:sz="8" w:space="0" w:color="000000"/>
            </w:tcBorders>
            <w:shd w:val="clear" w:color="auto" w:fill="CCEDFF"/>
          </w:tcPr>
          <w:p w14:paraId="7326C72C" w14:textId="77777777" w:rsidR="00EF3DFB" w:rsidRDefault="00D27C17">
            <w:pPr>
              <w:pStyle w:val="TableParagraph"/>
              <w:tabs>
                <w:tab w:val="left" w:pos="833"/>
              </w:tabs>
              <w:spacing w:before="30"/>
              <w:ind w:left="162"/>
              <w:rPr>
                <w:sz w:val="20"/>
              </w:rPr>
            </w:pPr>
            <w:r>
              <w:rPr>
                <w:sz w:val="20"/>
              </w:rPr>
              <w:t>$</w:t>
            </w:r>
            <w:r>
              <w:rPr>
                <w:sz w:val="20"/>
              </w:rPr>
              <w:tab/>
              <w:t>—</w:t>
            </w:r>
          </w:p>
        </w:tc>
        <w:tc>
          <w:tcPr>
            <w:tcW w:w="1008" w:type="dxa"/>
            <w:tcBorders>
              <w:top w:val="single" w:sz="8" w:space="0" w:color="000000"/>
            </w:tcBorders>
            <w:shd w:val="clear" w:color="auto" w:fill="CCEDFF"/>
          </w:tcPr>
          <w:p w14:paraId="7326C72D" w14:textId="77777777" w:rsidR="00EF3DFB" w:rsidRDefault="00D27C17">
            <w:pPr>
              <w:pStyle w:val="TableParagraph"/>
              <w:tabs>
                <w:tab w:val="left" w:pos="420"/>
              </w:tabs>
              <w:spacing w:before="30"/>
              <w:ind w:right="102"/>
              <w:jc w:val="right"/>
              <w:rPr>
                <w:sz w:val="20"/>
              </w:rPr>
            </w:pPr>
            <w:r>
              <w:rPr>
                <w:sz w:val="20"/>
              </w:rPr>
              <w:t>$</w:t>
            </w:r>
            <w:r>
              <w:rPr>
                <w:sz w:val="20"/>
              </w:rPr>
              <w:tab/>
              <w:t>2,331</w:t>
            </w:r>
          </w:p>
        </w:tc>
        <w:tc>
          <w:tcPr>
            <w:tcW w:w="1023" w:type="dxa"/>
            <w:tcBorders>
              <w:top w:val="single" w:sz="8" w:space="0" w:color="000000"/>
            </w:tcBorders>
            <w:shd w:val="clear" w:color="auto" w:fill="CCEDFF"/>
          </w:tcPr>
          <w:p w14:paraId="7326C72E" w14:textId="77777777" w:rsidR="00EF3DFB" w:rsidRDefault="00D27C17">
            <w:pPr>
              <w:pStyle w:val="TableParagraph"/>
              <w:tabs>
                <w:tab w:val="left" w:pos="420"/>
              </w:tabs>
              <w:spacing w:before="30"/>
              <w:ind w:right="45"/>
              <w:jc w:val="right"/>
              <w:rPr>
                <w:sz w:val="20"/>
              </w:rPr>
            </w:pPr>
            <w:r>
              <w:rPr>
                <w:sz w:val="20"/>
              </w:rPr>
              <w:t>$</w:t>
            </w:r>
            <w:r>
              <w:rPr>
                <w:sz w:val="20"/>
              </w:rPr>
              <w:tab/>
              <w:t>3,560</w:t>
            </w:r>
          </w:p>
        </w:tc>
        <w:tc>
          <w:tcPr>
            <w:tcW w:w="1211" w:type="dxa"/>
            <w:tcBorders>
              <w:top w:val="single" w:sz="8" w:space="0" w:color="000000"/>
            </w:tcBorders>
            <w:shd w:val="clear" w:color="auto" w:fill="CCEDFF"/>
          </w:tcPr>
          <w:p w14:paraId="7326C72F" w14:textId="77777777" w:rsidR="00EF3DFB" w:rsidRDefault="00D27C17">
            <w:pPr>
              <w:pStyle w:val="TableParagraph"/>
              <w:tabs>
                <w:tab w:val="left" w:pos="832"/>
              </w:tabs>
              <w:spacing w:before="30"/>
              <w:ind w:left="161"/>
              <w:rPr>
                <w:sz w:val="20"/>
              </w:rPr>
            </w:pPr>
            <w:r>
              <w:rPr>
                <w:sz w:val="20"/>
              </w:rPr>
              <w:t>$</w:t>
            </w:r>
            <w:r>
              <w:rPr>
                <w:sz w:val="20"/>
              </w:rPr>
              <w:tab/>
              <w:t>—</w:t>
            </w:r>
          </w:p>
        </w:tc>
        <w:tc>
          <w:tcPr>
            <w:tcW w:w="986" w:type="dxa"/>
            <w:tcBorders>
              <w:top w:val="single" w:sz="8" w:space="0" w:color="000000"/>
            </w:tcBorders>
            <w:shd w:val="clear" w:color="auto" w:fill="CCEDFF"/>
          </w:tcPr>
          <w:p w14:paraId="7326C730" w14:textId="77777777" w:rsidR="00EF3DFB" w:rsidRDefault="00D27C17">
            <w:pPr>
              <w:pStyle w:val="TableParagraph"/>
              <w:tabs>
                <w:tab w:val="left" w:pos="420"/>
              </w:tabs>
              <w:spacing w:before="30"/>
              <w:ind w:right="82"/>
              <w:jc w:val="right"/>
              <w:rPr>
                <w:sz w:val="20"/>
              </w:rPr>
            </w:pPr>
            <w:r>
              <w:rPr>
                <w:sz w:val="20"/>
              </w:rPr>
              <w:t>$</w:t>
            </w:r>
            <w:r>
              <w:rPr>
                <w:sz w:val="20"/>
              </w:rPr>
              <w:tab/>
              <w:t>3,560</w:t>
            </w:r>
          </w:p>
        </w:tc>
        <w:tc>
          <w:tcPr>
            <w:tcW w:w="1081" w:type="dxa"/>
            <w:tcBorders>
              <w:top w:val="single" w:sz="8" w:space="0" w:color="000000"/>
            </w:tcBorders>
            <w:shd w:val="clear" w:color="auto" w:fill="CCEDFF"/>
          </w:tcPr>
          <w:p w14:paraId="7326C731" w14:textId="77777777" w:rsidR="00EF3DFB" w:rsidRDefault="00D27C17">
            <w:pPr>
              <w:pStyle w:val="TableParagraph"/>
              <w:spacing w:before="30"/>
              <w:ind w:left="402"/>
              <w:rPr>
                <w:sz w:val="20"/>
              </w:rPr>
            </w:pPr>
            <w:r>
              <w:rPr>
                <w:sz w:val="20"/>
              </w:rPr>
              <w:t>N/A</w:t>
            </w:r>
          </w:p>
        </w:tc>
      </w:tr>
      <w:tr w:rsidR="00EF3DFB" w14:paraId="7326C73B" w14:textId="77777777">
        <w:trPr>
          <w:trHeight w:val="300"/>
        </w:trPr>
        <w:tc>
          <w:tcPr>
            <w:tcW w:w="3135" w:type="dxa"/>
          </w:tcPr>
          <w:p w14:paraId="7326C733" w14:textId="77777777" w:rsidR="00EF3DFB" w:rsidRDefault="00D27C17">
            <w:pPr>
              <w:pStyle w:val="TableParagraph"/>
              <w:spacing w:before="4"/>
              <w:ind w:left="52"/>
              <w:rPr>
                <w:sz w:val="20"/>
              </w:rPr>
            </w:pPr>
            <w:r>
              <w:rPr>
                <w:sz w:val="20"/>
              </w:rPr>
              <w:t>Tradenames - other</w:t>
            </w:r>
          </w:p>
        </w:tc>
        <w:tc>
          <w:tcPr>
            <w:tcW w:w="970" w:type="dxa"/>
          </w:tcPr>
          <w:p w14:paraId="7326C734" w14:textId="77777777" w:rsidR="00EF3DFB" w:rsidRDefault="00D27C17">
            <w:pPr>
              <w:pStyle w:val="TableParagraph"/>
              <w:spacing w:before="40"/>
              <w:ind w:right="44"/>
              <w:jc w:val="right"/>
              <w:rPr>
                <w:sz w:val="20"/>
              </w:rPr>
            </w:pPr>
            <w:r>
              <w:rPr>
                <w:sz w:val="20"/>
              </w:rPr>
              <w:t>157</w:t>
            </w:r>
          </w:p>
        </w:tc>
        <w:tc>
          <w:tcPr>
            <w:tcW w:w="1210" w:type="dxa"/>
          </w:tcPr>
          <w:p w14:paraId="7326C735" w14:textId="77777777" w:rsidR="00EF3DFB" w:rsidRDefault="00D27C17">
            <w:pPr>
              <w:pStyle w:val="TableParagraph"/>
              <w:spacing w:before="40"/>
              <w:ind w:right="109"/>
              <w:jc w:val="right"/>
              <w:rPr>
                <w:sz w:val="20"/>
              </w:rPr>
            </w:pPr>
            <w:r>
              <w:rPr>
                <w:sz w:val="20"/>
              </w:rPr>
              <w:t>(55)</w:t>
            </w:r>
          </w:p>
        </w:tc>
        <w:tc>
          <w:tcPr>
            <w:tcW w:w="1008" w:type="dxa"/>
          </w:tcPr>
          <w:p w14:paraId="7326C736" w14:textId="77777777" w:rsidR="00EF3DFB" w:rsidRDefault="00D27C17">
            <w:pPr>
              <w:pStyle w:val="TableParagraph"/>
              <w:spacing w:before="40"/>
              <w:ind w:right="102"/>
              <w:jc w:val="right"/>
              <w:rPr>
                <w:sz w:val="20"/>
              </w:rPr>
            </w:pPr>
            <w:r>
              <w:rPr>
                <w:sz w:val="20"/>
              </w:rPr>
              <w:t>102</w:t>
            </w:r>
          </w:p>
        </w:tc>
        <w:tc>
          <w:tcPr>
            <w:tcW w:w="1023" w:type="dxa"/>
          </w:tcPr>
          <w:p w14:paraId="7326C737" w14:textId="77777777" w:rsidR="00EF3DFB" w:rsidRDefault="00D27C17">
            <w:pPr>
              <w:pStyle w:val="TableParagraph"/>
              <w:spacing w:before="40"/>
              <w:ind w:right="45"/>
              <w:jc w:val="right"/>
              <w:rPr>
                <w:sz w:val="20"/>
              </w:rPr>
            </w:pPr>
            <w:r>
              <w:rPr>
                <w:sz w:val="20"/>
              </w:rPr>
              <w:t>169</w:t>
            </w:r>
          </w:p>
        </w:tc>
        <w:tc>
          <w:tcPr>
            <w:tcW w:w="1211" w:type="dxa"/>
          </w:tcPr>
          <w:p w14:paraId="7326C738" w14:textId="77777777" w:rsidR="00EF3DFB" w:rsidRDefault="00D27C17">
            <w:pPr>
              <w:pStyle w:val="TableParagraph"/>
              <w:spacing w:before="40"/>
              <w:ind w:right="111"/>
              <w:jc w:val="right"/>
              <w:rPr>
                <w:sz w:val="20"/>
              </w:rPr>
            </w:pPr>
            <w:r>
              <w:rPr>
                <w:sz w:val="20"/>
              </w:rPr>
              <w:t>(50)</w:t>
            </w:r>
          </w:p>
        </w:tc>
        <w:tc>
          <w:tcPr>
            <w:tcW w:w="986" w:type="dxa"/>
          </w:tcPr>
          <w:p w14:paraId="7326C739" w14:textId="77777777" w:rsidR="00EF3DFB" w:rsidRDefault="00D27C17">
            <w:pPr>
              <w:pStyle w:val="TableParagraph"/>
              <w:spacing w:before="40"/>
              <w:ind w:right="82"/>
              <w:jc w:val="right"/>
              <w:rPr>
                <w:sz w:val="20"/>
              </w:rPr>
            </w:pPr>
            <w:r>
              <w:rPr>
                <w:sz w:val="20"/>
              </w:rPr>
              <w:t>119</w:t>
            </w:r>
          </w:p>
        </w:tc>
        <w:tc>
          <w:tcPr>
            <w:tcW w:w="1081" w:type="dxa"/>
          </w:tcPr>
          <w:p w14:paraId="7326C73A" w14:textId="77777777" w:rsidR="00EF3DFB" w:rsidRDefault="00D27C17">
            <w:pPr>
              <w:pStyle w:val="TableParagraph"/>
              <w:spacing w:before="40"/>
              <w:ind w:right="271"/>
              <w:jc w:val="right"/>
              <w:rPr>
                <w:sz w:val="20"/>
              </w:rPr>
            </w:pPr>
            <w:r>
              <w:rPr>
                <w:sz w:val="20"/>
              </w:rPr>
              <w:t>2 - 15</w:t>
            </w:r>
          </w:p>
        </w:tc>
      </w:tr>
      <w:tr w:rsidR="00EF3DFB" w14:paraId="7326C744" w14:textId="77777777">
        <w:trPr>
          <w:trHeight w:val="300"/>
        </w:trPr>
        <w:tc>
          <w:tcPr>
            <w:tcW w:w="3135" w:type="dxa"/>
            <w:shd w:val="clear" w:color="auto" w:fill="CCEDFF"/>
          </w:tcPr>
          <w:p w14:paraId="7326C73C" w14:textId="77777777" w:rsidR="00EF3DFB" w:rsidRDefault="00D27C17">
            <w:pPr>
              <w:pStyle w:val="TableParagraph"/>
              <w:spacing w:before="4"/>
              <w:ind w:left="52"/>
              <w:rPr>
                <w:sz w:val="20"/>
              </w:rPr>
            </w:pPr>
            <w:r>
              <w:rPr>
                <w:sz w:val="20"/>
              </w:rPr>
              <w:t>Capitalized software</w:t>
            </w:r>
          </w:p>
        </w:tc>
        <w:tc>
          <w:tcPr>
            <w:tcW w:w="970" w:type="dxa"/>
            <w:shd w:val="clear" w:color="auto" w:fill="CCEDFF"/>
          </w:tcPr>
          <w:p w14:paraId="7326C73D" w14:textId="77777777" w:rsidR="00EF3DFB" w:rsidRDefault="00D27C17">
            <w:pPr>
              <w:pStyle w:val="TableParagraph"/>
              <w:spacing w:before="40"/>
              <w:ind w:right="44"/>
              <w:jc w:val="right"/>
              <w:rPr>
                <w:sz w:val="20"/>
              </w:rPr>
            </w:pPr>
            <w:r>
              <w:rPr>
                <w:sz w:val="20"/>
              </w:rPr>
              <w:t>625</w:t>
            </w:r>
          </w:p>
        </w:tc>
        <w:tc>
          <w:tcPr>
            <w:tcW w:w="1210" w:type="dxa"/>
            <w:shd w:val="clear" w:color="auto" w:fill="CCEDFF"/>
          </w:tcPr>
          <w:p w14:paraId="7326C73E" w14:textId="77777777" w:rsidR="00EF3DFB" w:rsidRDefault="00D27C17">
            <w:pPr>
              <w:pStyle w:val="TableParagraph"/>
              <w:spacing w:before="40"/>
              <w:ind w:right="109"/>
              <w:jc w:val="right"/>
              <w:rPr>
                <w:sz w:val="20"/>
              </w:rPr>
            </w:pPr>
            <w:r>
              <w:rPr>
                <w:sz w:val="20"/>
              </w:rPr>
              <w:t>(486)</w:t>
            </w:r>
          </w:p>
        </w:tc>
        <w:tc>
          <w:tcPr>
            <w:tcW w:w="1008" w:type="dxa"/>
            <w:shd w:val="clear" w:color="auto" w:fill="CCEDFF"/>
          </w:tcPr>
          <w:p w14:paraId="7326C73F" w14:textId="77777777" w:rsidR="00EF3DFB" w:rsidRDefault="00D27C17">
            <w:pPr>
              <w:pStyle w:val="TableParagraph"/>
              <w:spacing w:before="40"/>
              <w:ind w:right="102"/>
              <w:jc w:val="right"/>
              <w:rPr>
                <w:sz w:val="20"/>
              </w:rPr>
            </w:pPr>
            <w:r>
              <w:rPr>
                <w:sz w:val="20"/>
              </w:rPr>
              <w:t>139</w:t>
            </w:r>
          </w:p>
        </w:tc>
        <w:tc>
          <w:tcPr>
            <w:tcW w:w="1023" w:type="dxa"/>
            <w:shd w:val="clear" w:color="auto" w:fill="CCEDFF"/>
          </w:tcPr>
          <w:p w14:paraId="7326C740" w14:textId="77777777" w:rsidR="00EF3DFB" w:rsidRDefault="00D27C17">
            <w:pPr>
              <w:pStyle w:val="TableParagraph"/>
              <w:spacing w:before="40"/>
              <w:ind w:right="45"/>
              <w:jc w:val="right"/>
              <w:rPr>
                <w:sz w:val="20"/>
              </w:rPr>
            </w:pPr>
            <w:r>
              <w:rPr>
                <w:sz w:val="20"/>
              </w:rPr>
              <w:t>587</w:t>
            </w:r>
          </w:p>
        </w:tc>
        <w:tc>
          <w:tcPr>
            <w:tcW w:w="1211" w:type="dxa"/>
            <w:shd w:val="clear" w:color="auto" w:fill="CCEDFF"/>
          </w:tcPr>
          <w:p w14:paraId="7326C741" w14:textId="77777777" w:rsidR="00EF3DFB" w:rsidRDefault="00D27C17">
            <w:pPr>
              <w:pStyle w:val="TableParagraph"/>
              <w:spacing w:before="40"/>
              <w:ind w:right="111"/>
              <w:jc w:val="right"/>
              <w:rPr>
                <w:sz w:val="20"/>
              </w:rPr>
            </w:pPr>
            <w:r>
              <w:rPr>
                <w:sz w:val="20"/>
              </w:rPr>
              <w:t>(435)</w:t>
            </w:r>
          </w:p>
        </w:tc>
        <w:tc>
          <w:tcPr>
            <w:tcW w:w="986" w:type="dxa"/>
            <w:shd w:val="clear" w:color="auto" w:fill="CCEDFF"/>
          </w:tcPr>
          <w:p w14:paraId="7326C742" w14:textId="77777777" w:rsidR="00EF3DFB" w:rsidRDefault="00D27C17">
            <w:pPr>
              <w:pStyle w:val="TableParagraph"/>
              <w:spacing w:before="40"/>
              <w:ind w:right="82"/>
              <w:jc w:val="right"/>
              <w:rPr>
                <w:sz w:val="20"/>
              </w:rPr>
            </w:pPr>
            <w:r>
              <w:rPr>
                <w:sz w:val="20"/>
              </w:rPr>
              <w:t>152</w:t>
            </w:r>
          </w:p>
        </w:tc>
        <w:tc>
          <w:tcPr>
            <w:tcW w:w="1081" w:type="dxa"/>
            <w:shd w:val="clear" w:color="auto" w:fill="CCEDFF"/>
          </w:tcPr>
          <w:p w14:paraId="7326C743" w14:textId="77777777" w:rsidR="00EF3DFB" w:rsidRDefault="00D27C17">
            <w:pPr>
              <w:pStyle w:val="TableParagraph"/>
              <w:spacing w:before="40"/>
              <w:ind w:right="271"/>
              <w:jc w:val="right"/>
              <w:rPr>
                <w:sz w:val="20"/>
              </w:rPr>
            </w:pPr>
            <w:r>
              <w:rPr>
                <w:sz w:val="20"/>
              </w:rPr>
              <w:t>3 - 12</w:t>
            </w:r>
          </w:p>
        </w:tc>
      </w:tr>
      <w:tr w:rsidR="00EF3DFB" w14:paraId="7326C74D" w14:textId="77777777">
        <w:trPr>
          <w:trHeight w:val="300"/>
        </w:trPr>
        <w:tc>
          <w:tcPr>
            <w:tcW w:w="3135" w:type="dxa"/>
          </w:tcPr>
          <w:p w14:paraId="7326C745" w14:textId="77777777" w:rsidR="00EF3DFB" w:rsidRDefault="00D27C17">
            <w:pPr>
              <w:pStyle w:val="TableParagraph"/>
              <w:spacing w:before="4"/>
              <w:ind w:left="52"/>
              <w:rPr>
                <w:sz w:val="20"/>
              </w:rPr>
            </w:pPr>
            <w:r>
              <w:rPr>
                <w:sz w:val="20"/>
              </w:rPr>
              <w:t>Patents and intellectual property</w:t>
            </w:r>
          </w:p>
        </w:tc>
        <w:tc>
          <w:tcPr>
            <w:tcW w:w="970" w:type="dxa"/>
          </w:tcPr>
          <w:p w14:paraId="7326C746" w14:textId="77777777" w:rsidR="00EF3DFB" w:rsidRDefault="00D27C17">
            <w:pPr>
              <w:pStyle w:val="TableParagraph"/>
              <w:spacing w:before="40"/>
              <w:ind w:right="44"/>
              <w:jc w:val="right"/>
              <w:rPr>
                <w:sz w:val="20"/>
              </w:rPr>
            </w:pPr>
            <w:r>
              <w:rPr>
                <w:sz w:val="20"/>
              </w:rPr>
              <w:t>67</w:t>
            </w:r>
          </w:p>
        </w:tc>
        <w:tc>
          <w:tcPr>
            <w:tcW w:w="1210" w:type="dxa"/>
          </w:tcPr>
          <w:p w14:paraId="7326C747" w14:textId="77777777" w:rsidR="00EF3DFB" w:rsidRDefault="00D27C17">
            <w:pPr>
              <w:pStyle w:val="TableParagraph"/>
              <w:spacing w:before="40"/>
              <w:ind w:right="109"/>
              <w:jc w:val="right"/>
              <w:rPr>
                <w:sz w:val="20"/>
              </w:rPr>
            </w:pPr>
            <w:r>
              <w:rPr>
                <w:sz w:val="20"/>
              </w:rPr>
              <w:t>(52)</w:t>
            </w:r>
          </w:p>
        </w:tc>
        <w:tc>
          <w:tcPr>
            <w:tcW w:w="1008" w:type="dxa"/>
          </w:tcPr>
          <w:p w14:paraId="7326C748" w14:textId="77777777" w:rsidR="00EF3DFB" w:rsidRDefault="00D27C17">
            <w:pPr>
              <w:pStyle w:val="TableParagraph"/>
              <w:spacing w:before="40"/>
              <w:ind w:right="102"/>
              <w:jc w:val="right"/>
              <w:rPr>
                <w:sz w:val="20"/>
              </w:rPr>
            </w:pPr>
            <w:r>
              <w:rPr>
                <w:sz w:val="20"/>
              </w:rPr>
              <w:t>15</w:t>
            </w:r>
          </w:p>
        </w:tc>
        <w:tc>
          <w:tcPr>
            <w:tcW w:w="1023" w:type="dxa"/>
          </w:tcPr>
          <w:p w14:paraId="7326C749" w14:textId="77777777" w:rsidR="00EF3DFB" w:rsidRDefault="00D27C17">
            <w:pPr>
              <w:pStyle w:val="TableParagraph"/>
              <w:spacing w:before="40"/>
              <w:ind w:right="45"/>
              <w:jc w:val="right"/>
              <w:rPr>
                <w:sz w:val="20"/>
              </w:rPr>
            </w:pPr>
            <w:r>
              <w:rPr>
                <w:sz w:val="20"/>
              </w:rPr>
              <w:t>135</w:t>
            </w:r>
          </w:p>
        </w:tc>
        <w:tc>
          <w:tcPr>
            <w:tcW w:w="1211" w:type="dxa"/>
          </w:tcPr>
          <w:p w14:paraId="7326C74A" w14:textId="77777777" w:rsidR="00EF3DFB" w:rsidRDefault="00D27C17">
            <w:pPr>
              <w:pStyle w:val="TableParagraph"/>
              <w:spacing w:before="40"/>
              <w:ind w:right="111"/>
              <w:jc w:val="right"/>
              <w:rPr>
                <w:sz w:val="20"/>
              </w:rPr>
            </w:pPr>
            <w:r>
              <w:rPr>
                <w:sz w:val="20"/>
              </w:rPr>
              <w:t>(102)</w:t>
            </w:r>
          </w:p>
        </w:tc>
        <w:tc>
          <w:tcPr>
            <w:tcW w:w="986" w:type="dxa"/>
          </w:tcPr>
          <w:p w14:paraId="7326C74B" w14:textId="77777777" w:rsidR="00EF3DFB" w:rsidRDefault="00D27C17">
            <w:pPr>
              <w:pStyle w:val="TableParagraph"/>
              <w:spacing w:before="40"/>
              <w:ind w:right="82"/>
              <w:jc w:val="right"/>
              <w:rPr>
                <w:sz w:val="20"/>
              </w:rPr>
            </w:pPr>
            <w:r>
              <w:rPr>
                <w:sz w:val="20"/>
              </w:rPr>
              <w:t>33</w:t>
            </w:r>
          </w:p>
        </w:tc>
        <w:tc>
          <w:tcPr>
            <w:tcW w:w="1081" w:type="dxa"/>
          </w:tcPr>
          <w:p w14:paraId="7326C74C" w14:textId="77777777" w:rsidR="00EF3DFB" w:rsidRDefault="00D27C17">
            <w:pPr>
              <w:pStyle w:val="TableParagraph"/>
              <w:spacing w:before="40"/>
              <w:ind w:right="271"/>
              <w:jc w:val="right"/>
              <w:rPr>
                <w:sz w:val="20"/>
              </w:rPr>
            </w:pPr>
            <w:r>
              <w:rPr>
                <w:sz w:val="20"/>
              </w:rPr>
              <w:t>3 - 14</w:t>
            </w:r>
          </w:p>
        </w:tc>
      </w:tr>
      <w:tr w:rsidR="00EF3DFB" w14:paraId="7326C75D" w14:textId="77777777">
        <w:trPr>
          <w:trHeight w:val="495"/>
        </w:trPr>
        <w:tc>
          <w:tcPr>
            <w:tcW w:w="3135" w:type="dxa"/>
            <w:shd w:val="clear" w:color="auto" w:fill="CCEDFF"/>
          </w:tcPr>
          <w:p w14:paraId="7326C74E" w14:textId="77777777" w:rsidR="00EF3DFB" w:rsidRDefault="00D27C17">
            <w:pPr>
              <w:pStyle w:val="TableParagraph"/>
              <w:spacing w:before="28" w:line="208" w:lineRule="auto"/>
              <w:ind w:left="52" w:right="874"/>
              <w:rPr>
                <w:sz w:val="20"/>
              </w:rPr>
            </w:pPr>
            <w:r>
              <w:rPr>
                <w:sz w:val="20"/>
              </w:rPr>
              <w:t>Customer relationships and distributor channels</w:t>
            </w:r>
          </w:p>
        </w:tc>
        <w:tc>
          <w:tcPr>
            <w:tcW w:w="970" w:type="dxa"/>
            <w:shd w:val="clear" w:color="auto" w:fill="CCEDFF"/>
          </w:tcPr>
          <w:p w14:paraId="7326C74F" w14:textId="77777777" w:rsidR="00EF3DFB" w:rsidRDefault="00EF3DFB">
            <w:pPr>
              <w:pStyle w:val="TableParagraph"/>
              <w:spacing w:before="5"/>
              <w:rPr>
                <w:sz w:val="20"/>
              </w:rPr>
            </w:pPr>
          </w:p>
          <w:p w14:paraId="7326C750" w14:textId="77777777" w:rsidR="00EF3DFB" w:rsidRDefault="00D27C17">
            <w:pPr>
              <w:pStyle w:val="TableParagraph"/>
              <w:ind w:right="44"/>
              <w:jc w:val="right"/>
              <w:rPr>
                <w:sz w:val="20"/>
              </w:rPr>
            </w:pPr>
            <w:r>
              <w:rPr>
                <w:sz w:val="20"/>
              </w:rPr>
              <w:t>1,259</w:t>
            </w:r>
          </w:p>
        </w:tc>
        <w:tc>
          <w:tcPr>
            <w:tcW w:w="1210" w:type="dxa"/>
            <w:shd w:val="clear" w:color="auto" w:fill="CCEDFF"/>
          </w:tcPr>
          <w:p w14:paraId="7326C751" w14:textId="77777777" w:rsidR="00EF3DFB" w:rsidRDefault="00EF3DFB">
            <w:pPr>
              <w:pStyle w:val="TableParagraph"/>
              <w:spacing w:before="5"/>
              <w:rPr>
                <w:sz w:val="20"/>
              </w:rPr>
            </w:pPr>
          </w:p>
          <w:p w14:paraId="7326C752" w14:textId="77777777" w:rsidR="00EF3DFB" w:rsidRDefault="00D27C17">
            <w:pPr>
              <w:pStyle w:val="TableParagraph"/>
              <w:ind w:right="109"/>
              <w:jc w:val="right"/>
              <w:rPr>
                <w:sz w:val="20"/>
              </w:rPr>
            </w:pPr>
            <w:r>
              <w:rPr>
                <w:sz w:val="20"/>
              </w:rPr>
              <w:t>(282)</w:t>
            </w:r>
          </w:p>
        </w:tc>
        <w:tc>
          <w:tcPr>
            <w:tcW w:w="1008" w:type="dxa"/>
            <w:shd w:val="clear" w:color="auto" w:fill="CCEDFF"/>
          </w:tcPr>
          <w:p w14:paraId="7326C753" w14:textId="77777777" w:rsidR="00EF3DFB" w:rsidRDefault="00EF3DFB">
            <w:pPr>
              <w:pStyle w:val="TableParagraph"/>
              <w:spacing w:before="5"/>
              <w:rPr>
                <w:sz w:val="20"/>
              </w:rPr>
            </w:pPr>
          </w:p>
          <w:p w14:paraId="7326C754" w14:textId="77777777" w:rsidR="00EF3DFB" w:rsidRDefault="00D27C17">
            <w:pPr>
              <w:pStyle w:val="TableParagraph"/>
              <w:ind w:right="102"/>
              <w:jc w:val="right"/>
              <w:rPr>
                <w:sz w:val="20"/>
              </w:rPr>
            </w:pPr>
            <w:r>
              <w:rPr>
                <w:sz w:val="20"/>
              </w:rPr>
              <w:t>977</w:t>
            </w:r>
          </w:p>
        </w:tc>
        <w:tc>
          <w:tcPr>
            <w:tcW w:w="1023" w:type="dxa"/>
            <w:shd w:val="clear" w:color="auto" w:fill="CCEDFF"/>
          </w:tcPr>
          <w:p w14:paraId="7326C755" w14:textId="77777777" w:rsidR="00EF3DFB" w:rsidRDefault="00EF3DFB">
            <w:pPr>
              <w:pStyle w:val="TableParagraph"/>
              <w:spacing w:before="5"/>
              <w:rPr>
                <w:sz w:val="20"/>
              </w:rPr>
            </w:pPr>
          </w:p>
          <w:p w14:paraId="7326C756" w14:textId="77777777" w:rsidR="00EF3DFB" w:rsidRDefault="00D27C17">
            <w:pPr>
              <w:pStyle w:val="TableParagraph"/>
              <w:ind w:right="45"/>
              <w:jc w:val="right"/>
              <w:rPr>
                <w:sz w:val="20"/>
              </w:rPr>
            </w:pPr>
            <w:r>
              <w:rPr>
                <w:sz w:val="20"/>
              </w:rPr>
              <w:t>1,328</w:t>
            </w:r>
          </w:p>
        </w:tc>
        <w:tc>
          <w:tcPr>
            <w:tcW w:w="1211" w:type="dxa"/>
            <w:shd w:val="clear" w:color="auto" w:fill="CCEDFF"/>
          </w:tcPr>
          <w:p w14:paraId="7326C757" w14:textId="77777777" w:rsidR="00EF3DFB" w:rsidRDefault="00EF3DFB">
            <w:pPr>
              <w:pStyle w:val="TableParagraph"/>
              <w:spacing w:before="5"/>
              <w:rPr>
                <w:sz w:val="20"/>
              </w:rPr>
            </w:pPr>
          </w:p>
          <w:p w14:paraId="7326C758" w14:textId="77777777" w:rsidR="00EF3DFB" w:rsidRDefault="00D27C17">
            <w:pPr>
              <w:pStyle w:val="TableParagraph"/>
              <w:ind w:right="111"/>
              <w:jc w:val="right"/>
              <w:rPr>
                <w:sz w:val="20"/>
              </w:rPr>
            </w:pPr>
            <w:r>
              <w:rPr>
                <w:sz w:val="20"/>
              </w:rPr>
              <w:t>(283)</w:t>
            </w:r>
          </w:p>
        </w:tc>
        <w:tc>
          <w:tcPr>
            <w:tcW w:w="986" w:type="dxa"/>
            <w:shd w:val="clear" w:color="auto" w:fill="CCEDFF"/>
          </w:tcPr>
          <w:p w14:paraId="7326C759" w14:textId="77777777" w:rsidR="00EF3DFB" w:rsidRDefault="00EF3DFB">
            <w:pPr>
              <w:pStyle w:val="TableParagraph"/>
              <w:spacing w:before="5"/>
              <w:rPr>
                <w:sz w:val="20"/>
              </w:rPr>
            </w:pPr>
          </w:p>
          <w:p w14:paraId="7326C75A" w14:textId="77777777" w:rsidR="00EF3DFB" w:rsidRDefault="00D27C17">
            <w:pPr>
              <w:pStyle w:val="TableParagraph"/>
              <w:ind w:right="82"/>
              <w:jc w:val="right"/>
              <w:rPr>
                <w:sz w:val="20"/>
              </w:rPr>
            </w:pPr>
            <w:r>
              <w:rPr>
                <w:sz w:val="20"/>
              </w:rPr>
              <w:t>1,045</w:t>
            </w:r>
          </w:p>
        </w:tc>
        <w:tc>
          <w:tcPr>
            <w:tcW w:w="1081" w:type="dxa"/>
            <w:shd w:val="clear" w:color="auto" w:fill="CCEDFF"/>
          </w:tcPr>
          <w:p w14:paraId="7326C75B" w14:textId="77777777" w:rsidR="00EF3DFB" w:rsidRDefault="00EF3DFB">
            <w:pPr>
              <w:pStyle w:val="TableParagraph"/>
              <w:spacing w:before="5"/>
              <w:rPr>
                <w:sz w:val="20"/>
              </w:rPr>
            </w:pPr>
          </w:p>
          <w:p w14:paraId="7326C75C" w14:textId="77777777" w:rsidR="00EF3DFB" w:rsidRDefault="00D27C17">
            <w:pPr>
              <w:pStyle w:val="TableParagraph"/>
              <w:ind w:right="271"/>
              <w:jc w:val="right"/>
              <w:rPr>
                <w:sz w:val="20"/>
              </w:rPr>
            </w:pPr>
            <w:r>
              <w:rPr>
                <w:sz w:val="20"/>
              </w:rPr>
              <w:t>3 - 30</w:t>
            </w:r>
          </w:p>
        </w:tc>
      </w:tr>
      <w:tr w:rsidR="00EF3DFB" w14:paraId="7326C766" w14:textId="77777777">
        <w:trPr>
          <w:trHeight w:val="425"/>
        </w:trPr>
        <w:tc>
          <w:tcPr>
            <w:tcW w:w="3135" w:type="dxa"/>
          </w:tcPr>
          <w:p w14:paraId="7326C75E" w14:textId="77777777" w:rsidR="00EF3DFB" w:rsidRDefault="00D27C17">
            <w:pPr>
              <w:pStyle w:val="TableParagraph"/>
              <w:spacing w:before="4"/>
              <w:ind w:left="52"/>
              <w:rPr>
                <w:sz w:val="20"/>
              </w:rPr>
            </w:pPr>
            <w:r>
              <w:rPr>
                <w:sz w:val="20"/>
              </w:rPr>
              <w:t>Other</w:t>
            </w:r>
          </w:p>
        </w:tc>
        <w:tc>
          <w:tcPr>
            <w:tcW w:w="970" w:type="dxa"/>
            <w:tcBorders>
              <w:bottom w:val="single" w:sz="8" w:space="0" w:color="000000"/>
            </w:tcBorders>
          </w:tcPr>
          <w:p w14:paraId="7326C75F" w14:textId="77777777" w:rsidR="00EF3DFB" w:rsidRDefault="00D27C17">
            <w:pPr>
              <w:pStyle w:val="TableParagraph"/>
              <w:spacing w:before="40"/>
              <w:ind w:right="44"/>
              <w:jc w:val="right"/>
              <w:rPr>
                <w:sz w:val="20"/>
              </w:rPr>
            </w:pPr>
            <w:r>
              <w:rPr>
                <w:sz w:val="20"/>
              </w:rPr>
              <w:t>—</w:t>
            </w:r>
          </w:p>
        </w:tc>
        <w:tc>
          <w:tcPr>
            <w:tcW w:w="1210" w:type="dxa"/>
            <w:tcBorders>
              <w:bottom w:val="single" w:sz="8" w:space="0" w:color="000000"/>
            </w:tcBorders>
          </w:tcPr>
          <w:p w14:paraId="7326C760" w14:textId="77777777" w:rsidR="00EF3DFB" w:rsidRDefault="00D27C17">
            <w:pPr>
              <w:pStyle w:val="TableParagraph"/>
              <w:spacing w:before="40"/>
              <w:ind w:right="174"/>
              <w:jc w:val="right"/>
              <w:rPr>
                <w:sz w:val="20"/>
              </w:rPr>
            </w:pPr>
            <w:r>
              <w:rPr>
                <w:sz w:val="20"/>
              </w:rPr>
              <w:t>—</w:t>
            </w:r>
          </w:p>
        </w:tc>
        <w:tc>
          <w:tcPr>
            <w:tcW w:w="1008" w:type="dxa"/>
            <w:tcBorders>
              <w:bottom w:val="single" w:sz="8" w:space="0" w:color="000000"/>
            </w:tcBorders>
          </w:tcPr>
          <w:p w14:paraId="7326C761" w14:textId="77777777" w:rsidR="00EF3DFB" w:rsidRDefault="00D27C17">
            <w:pPr>
              <w:pStyle w:val="TableParagraph"/>
              <w:spacing w:before="40"/>
              <w:ind w:right="102"/>
              <w:jc w:val="right"/>
              <w:rPr>
                <w:sz w:val="20"/>
              </w:rPr>
            </w:pPr>
            <w:r>
              <w:rPr>
                <w:sz w:val="20"/>
              </w:rPr>
              <w:t>—</w:t>
            </w:r>
          </w:p>
        </w:tc>
        <w:tc>
          <w:tcPr>
            <w:tcW w:w="1023" w:type="dxa"/>
            <w:tcBorders>
              <w:bottom w:val="single" w:sz="8" w:space="0" w:color="000000"/>
            </w:tcBorders>
          </w:tcPr>
          <w:p w14:paraId="7326C762" w14:textId="77777777" w:rsidR="00EF3DFB" w:rsidRDefault="00D27C17">
            <w:pPr>
              <w:pStyle w:val="TableParagraph"/>
              <w:spacing w:before="40"/>
              <w:ind w:right="45"/>
              <w:jc w:val="right"/>
              <w:rPr>
                <w:sz w:val="20"/>
              </w:rPr>
            </w:pPr>
            <w:r>
              <w:rPr>
                <w:sz w:val="20"/>
              </w:rPr>
              <w:t>109</w:t>
            </w:r>
          </w:p>
        </w:tc>
        <w:tc>
          <w:tcPr>
            <w:tcW w:w="1211" w:type="dxa"/>
            <w:tcBorders>
              <w:bottom w:val="single" w:sz="8" w:space="0" w:color="000000"/>
            </w:tcBorders>
          </w:tcPr>
          <w:p w14:paraId="7326C763" w14:textId="77777777" w:rsidR="00EF3DFB" w:rsidRDefault="00D27C17">
            <w:pPr>
              <w:pStyle w:val="TableParagraph"/>
              <w:spacing w:before="40"/>
              <w:ind w:right="111"/>
              <w:jc w:val="right"/>
              <w:rPr>
                <w:sz w:val="20"/>
              </w:rPr>
            </w:pPr>
            <w:r>
              <w:rPr>
                <w:sz w:val="20"/>
              </w:rPr>
              <w:t>(102)</w:t>
            </w:r>
          </w:p>
        </w:tc>
        <w:tc>
          <w:tcPr>
            <w:tcW w:w="986" w:type="dxa"/>
            <w:tcBorders>
              <w:bottom w:val="single" w:sz="8" w:space="0" w:color="000000"/>
            </w:tcBorders>
          </w:tcPr>
          <w:p w14:paraId="7326C764" w14:textId="77777777" w:rsidR="00EF3DFB" w:rsidRDefault="00D27C17">
            <w:pPr>
              <w:pStyle w:val="TableParagraph"/>
              <w:spacing w:before="40"/>
              <w:ind w:right="82"/>
              <w:jc w:val="right"/>
              <w:rPr>
                <w:sz w:val="20"/>
              </w:rPr>
            </w:pPr>
            <w:r>
              <w:rPr>
                <w:sz w:val="20"/>
              </w:rPr>
              <w:t>7</w:t>
            </w:r>
          </w:p>
        </w:tc>
        <w:tc>
          <w:tcPr>
            <w:tcW w:w="1081" w:type="dxa"/>
          </w:tcPr>
          <w:p w14:paraId="7326C765" w14:textId="77777777" w:rsidR="00EF3DFB" w:rsidRDefault="00D27C17">
            <w:pPr>
              <w:pStyle w:val="TableParagraph"/>
              <w:spacing w:before="40"/>
              <w:ind w:left="391"/>
              <w:rPr>
                <w:sz w:val="20"/>
              </w:rPr>
            </w:pPr>
            <w:r>
              <w:rPr>
                <w:sz w:val="20"/>
              </w:rPr>
              <w:t>3 - 5</w:t>
            </w:r>
          </w:p>
        </w:tc>
      </w:tr>
      <w:tr w:rsidR="00EF3DFB" w14:paraId="7326C76F" w14:textId="77777777">
        <w:trPr>
          <w:trHeight w:val="300"/>
        </w:trPr>
        <w:tc>
          <w:tcPr>
            <w:tcW w:w="3135" w:type="dxa"/>
            <w:shd w:val="clear" w:color="auto" w:fill="CCEDFF"/>
          </w:tcPr>
          <w:p w14:paraId="7326C767" w14:textId="77777777" w:rsidR="00EF3DFB" w:rsidRDefault="00EF3DFB">
            <w:pPr>
              <w:pStyle w:val="TableParagraph"/>
              <w:rPr>
                <w:sz w:val="18"/>
              </w:rPr>
            </w:pPr>
          </w:p>
        </w:tc>
        <w:tc>
          <w:tcPr>
            <w:tcW w:w="970" w:type="dxa"/>
            <w:tcBorders>
              <w:top w:val="single" w:sz="8" w:space="0" w:color="000000"/>
              <w:bottom w:val="single" w:sz="8" w:space="0" w:color="000000"/>
            </w:tcBorders>
            <w:shd w:val="clear" w:color="auto" w:fill="CCEDFF"/>
          </w:tcPr>
          <w:p w14:paraId="7326C768" w14:textId="77777777" w:rsidR="00EF3DFB" w:rsidRDefault="00D27C17">
            <w:pPr>
              <w:pStyle w:val="TableParagraph"/>
              <w:tabs>
                <w:tab w:val="left" w:pos="420"/>
              </w:tabs>
              <w:spacing w:before="30"/>
              <w:ind w:right="44"/>
              <w:jc w:val="right"/>
              <w:rPr>
                <w:sz w:val="20"/>
              </w:rPr>
            </w:pPr>
            <w:r>
              <w:rPr>
                <w:sz w:val="20"/>
                <w:u w:val="single"/>
              </w:rPr>
              <w:t>$</w:t>
            </w:r>
            <w:r>
              <w:rPr>
                <w:sz w:val="20"/>
                <w:u w:val="single"/>
              </w:rPr>
              <w:tab/>
              <w:t>4,439</w:t>
            </w:r>
          </w:p>
        </w:tc>
        <w:tc>
          <w:tcPr>
            <w:tcW w:w="1210" w:type="dxa"/>
            <w:tcBorders>
              <w:top w:val="single" w:sz="8" w:space="0" w:color="000000"/>
              <w:bottom w:val="single" w:sz="8" w:space="0" w:color="000000"/>
            </w:tcBorders>
            <w:shd w:val="clear" w:color="auto" w:fill="CCEDFF"/>
          </w:tcPr>
          <w:p w14:paraId="7326C769" w14:textId="77777777" w:rsidR="00EF3DFB" w:rsidRDefault="00D27C17">
            <w:pPr>
              <w:pStyle w:val="TableParagraph"/>
              <w:tabs>
                <w:tab w:val="left" w:pos="666"/>
              </w:tabs>
              <w:spacing w:before="30"/>
              <w:ind w:left="162"/>
              <w:rPr>
                <w:sz w:val="20"/>
              </w:rPr>
            </w:pPr>
            <w:r>
              <w:rPr>
                <w:sz w:val="20"/>
                <w:u w:val="single"/>
              </w:rPr>
              <w:t>$</w:t>
            </w:r>
            <w:r>
              <w:rPr>
                <w:sz w:val="20"/>
                <w:u w:val="single"/>
              </w:rPr>
              <w:tab/>
              <w:t>(875)</w:t>
            </w:r>
          </w:p>
        </w:tc>
        <w:tc>
          <w:tcPr>
            <w:tcW w:w="1008" w:type="dxa"/>
            <w:tcBorders>
              <w:top w:val="single" w:sz="8" w:space="0" w:color="000000"/>
              <w:bottom w:val="single" w:sz="8" w:space="0" w:color="000000"/>
            </w:tcBorders>
            <w:shd w:val="clear" w:color="auto" w:fill="CCEDFF"/>
          </w:tcPr>
          <w:p w14:paraId="7326C76A" w14:textId="77777777" w:rsidR="00EF3DFB" w:rsidRDefault="00D27C17">
            <w:pPr>
              <w:pStyle w:val="TableParagraph"/>
              <w:tabs>
                <w:tab w:val="left" w:pos="420"/>
              </w:tabs>
              <w:spacing w:before="30"/>
              <w:ind w:right="102"/>
              <w:jc w:val="right"/>
              <w:rPr>
                <w:sz w:val="20"/>
              </w:rPr>
            </w:pPr>
            <w:r>
              <w:rPr>
                <w:sz w:val="20"/>
                <w:u w:val="single"/>
              </w:rPr>
              <w:t>$</w:t>
            </w:r>
            <w:r>
              <w:rPr>
                <w:sz w:val="20"/>
                <w:u w:val="single"/>
              </w:rPr>
              <w:tab/>
              <w:t>3,564</w:t>
            </w:r>
          </w:p>
        </w:tc>
        <w:tc>
          <w:tcPr>
            <w:tcW w:w="1023" w:type="dxa"/>
            <w:tcBorders>
              <w:top w:val="single" w:sz="8" w:space="0" w:color="000000"/>
              <w:bottom w:val="single" w:sz="8" w:space="0" w:color="000000"/>
            </w:tcBorders>
            <w:shd w:val="clear" w:color="auto" w:fill="CCEDFF"/>
          </w:tcPr>
          <w:p w14:paraId="7326C76B" w14:textId="77777777" w:rsidR="00EF3DFB" w:rsidRDefault="00D27C17">
            <w:pPr>
              <w:pStyle w:val="TableParagraph"/>
              <w:tabs>
                <w:tab w:val="left" w:pos="420"/>
              </w:tabs>
              <w:spacing w:before="30"/>
              <w:ind w:right="45"/>
              <w:jc w:val="right"/>
              <w:rPr>
                <w:sz w:val="20"/>
              </w:rPr>
            </w:pPr>
            <w:r>
              <w:rPr>
                <w:sz w:val="20"/>
                <w:u w:val="single"/>
              </w:rPr>
              <w:t>$</w:t>
            </w:r>
            <w:r>
              <w:rPr>
                <w:sz w:val="20"/>
                <w:u w:val="single"/>
              </w:rPr>
              <w:tab/>
              <w:t>5,888</w:t>
            </w:r>
          </w:p>
        </w:tc>
        <w:tc>
          <w:tcPr>
            <w:tcW w:w="1211" w:type="dxa"/>
            <w:tcBorders>
              <w:top w:val="single" w:sz="8" w:space="0" w:color="000000"/>
              <w:bottom w:val="single" w:sz="8" w:space="0" w:color="000000"/>
            </w:tcBorders>
            <w:shd w:val="clear" w:color="auto" w:fill="CCEDFF"/>
          </w:tcPr>
          <w:p w14:paraId="7326C76C" w14:textId="77777777" w:rsidR="00EF3DFB" w:rsidRDefault="00D27C17">
            <w:pPr>
              <w:pStyle w:val="TableParagraph"/>
              <w:tabs>
                <w:tab w:val="left" w:pos="665"/>
              </w:tabs>
              <w:spacing w:before="30"/>
              <w:ind w:left="161"/>
              <w:rPr>
                <w:sz w:val="20"/>
              </w:rPr>
            </w:pPr>
            <w:r>
              <w:rPr>
                <w:sz w:val="20"/>
                <w:u w:val="single"/>
              </w:rPr>
              <w:t>$</w:t>
            </w:r>
            <w:r>
              <w:rPr>
                <w:sz w:val="20"/>
                <w:u w:val="single"/>
              </w:rPr>
              <w:tab/>
              <w:t>(972)</w:t>
            </w:r>
          </w:p>
        </w:tc>
        <w:tc>
          <w:tcPr>
            <w:tcW w:w="986" w:type="dxa"/>
            <w:tcBorders>
              <w:top w:val="single" w:sz="8" w:space="0" w:color="000000"/>
              <w:bottom w:val="single" w:sz="8" w:space="0" w:color="000000"/>
            </w:tcBorders>
            <w:shd w:val="clear" w:color="auto" w:fill="CCEDFF"/>
          </w:tcPr>
          <w:p w14:paraId="7326C76D" w14:textId="77777777" w:rsidR="00EF3DFB" w:rsidRDefault="00D27C17">
            <w:pPr>
              <w:pStyle w:val="TableParagraph"/>
              <w:tabs>
                <w:tab w:val="left" w:pos="420"/>
              </w:tabs>
              <w:spacing w:before="30"/>
              <w:ind w:right="82"/>
              <w:jc w:val="right"/>
              <w:rPr>
                <w:sz w:val="20"/>
              </w:rPr>
            </w:pPr>
            <w:r>
              <w:rPr>
                <w:sz w:val="20"/>
                <w:u w:val="single"/>
              </w:rPr>
              <w:t>$</w:t>
            </w:r>
            <w:r>
              <w:rPr>
                <w:sz w:val="20"/>
                <w:u w:val="single"/>
              </w:rPr>
              <w:tab/>
              <w:t>4,916</w:t>
            </w:r>
          </w:p>
        </w:tc>
        <w:tc>
          <w:tcPr>
            <w:tcW w:w="1081" w:type="dxa"/>
            <w:shd w:val="clear" w:color="auto" w:fill="CCEDFF"/>
          </w:tcPr>
          <w:p w14:paraId="7326C76E" w14:textId="77777777" w:rsidR="00EF3DFB" w:rsidRDefault="00EF3DFB">
            <w:pPr>
              <w:pStyle w:val="TableParagraph"/>
              <w:rPr>
                <w:sz w:val="18"/>
              </w:rPr>
            </w:pPr>
          </w:p>
        </w:tc>
      </w:tr>
    </w:tbl>
    <w:p w14:paraId="7326C770" w14:textId="77777777" w:rsidR="00EF3DFB" w:rsidRDefault="00EF3DFB">
      <w:pPr>
        <w:pStyle w:val="BodyText"/>
        <w:spacing w:before="10"/>
        <w:rPr>
          <w:sz w:val="21"/>
        </w:rPr>
      </w:pPr>
    </w:p>
    <w:p w14:paraId="7326C771" w14:textId="77777777" w:rsidR="00EF3DFB" w:rsidRDefault="00D27C17">
      <w:pPr>
        <w:pStyle w:val="BodyText"/>
        <w:spacing w:line="249" w:lineRule="auto"/>
        <w:ind w:left="190" w:right="168"/>
        <w:jc w:val="both"/>
      </w:pPr>
      <w:r>
        <w:t>Amortization expense for intangible assets for continuing operations was $157 million, $192 million and $189 million in 2020, 2019 and 2018, respectively. Amortization expense for intangible assets prior to being classified as discontinued operations was $</w:t>
      </w:r>
      <w:r>
        <w:t>43 million in 2018. A</w:t>
      </w:r>
      <w:r>
        <w:rPr>
          <w:color w:val="202528"/>
        </w:rPr>
        <w:t>mortization expense for assets held for sale was nil for 2020 and 2019 as the Company ceased amortizing other finite-lived intangible assets relating to businesses which satisfied the criteria to be classified as held for sale during t</w:t>
      </w:r>
      <w:r>
        <w:rPr>
          <w:color w:val="202528"/>
        </w:rPr>
        <w:t xml:space="preserve">he second quarter of </w:t>
      </w:r>
      <w:r>
        <w:t>2018</w:t>
      </w:r>
      <w:r>
        <w:rPr>
          <w:color w:val="202528"/>
        </w:rPr>
        <w:t>.</w:t>
      </w:r>
    </w:p>
    <w:p w14:paraId="7326C772" w14:textId="77777777" w:rsidR="00EF3DFB" w:rsidRDefault="00EF3DFB">
      <w:pPr>
        <w:pStyle w:val="BodyText"/>
        <w:spacing w:before="3"/>
        <w:rPr>
          <w:sz w:val="21"/>
        </w:rPr>
      </w:pPr>
    </w:p>
    <w:p w14:paraId="7326C773" w14:textId="77777777" w:rsidR="00EF3DFB" w:rsidRDefault="00D27C17">
      <w:pPr>
        <w:pStyle w:val="BodyText"/>
        <w:spacing w:line="249" w:lineRule="auto"/>
        <w:ind w:left="190" w:right="168"/>
        <w:jc w:val="both"/>
      </w:pPr>
      <w:r>
        <w:t>In 2018, as part of the ATP, the Company approved a plan to market for sale the Commercial Business and classified it as held for sale in the Company's historical Consolidated Balance Sheets. During 2019, the Company decided not</w:t>
      </w:r>
      <w:r>
        <w:t xml:space="preserve"> to sell this business and measured the business at the lower of its (i) carrying amount before it was classified as held for sale, adjusted for depreciation and amortization expense that would have been recognized had the Commercial Business been continuo</w:t>
      </w:r>
      <w:r>
        <w:t>usly classified as held and used, or (ii) fair value at the date the decision not to sell was made as it no longer satisfied the requirements to be classified as held for sale in the Company's Consolidated Balance Sheet at December 31, 2019. Accordingly, t</w:t>
      </w:r>
      <w:r>
        <w:t>he Company recorded a charge of $7 million in 2019 reflecting to the amount of amortization expense that would have been recorded in prior periods had the Commercial Business been continuously classified as held and</w:t>
      </w:r>
      <w:r>
        <w:rPr>
          <w:spacing w:val="-6"/>
        </w:rPr>
        <w:t xml:space="preserve"> </w:t>
      </w:r>
      <w:r>
        <w:t>used.</w:t>
      </w:r>
    </w:p>
    <w:p w14:paraId="7326C774" w14:textId="77777777" w:rsidR="00EF3DFB" w:rsidRDefault="00EF3DFB">
      <w:pPr>
        <w:pStyle w:val="BodyText"/>
        <w:spacing w:before="5"/>
        <w:rPr>
          <w:sz w:val="21"/>
        </w:rPr>
      </w:pPr>
    </w:p>
    <w:p w14:paraId="7326C775" w14:textId="77777777" w:rsidR="00EF3DFB" w:rsidRDefault="00D27C17">
      <w:pPr>
        <w:pStyle w:val="BodyText"/>
        <w:spacing w:line="249" w:lineRule="auto"/>
        <w:ind w:left="190" w:right="169"/>
        <w:jc w:val="both"/>
      </w:pPr>
      <w:r>
        <w:t>At December 31, 2020, the aggrega</w:t>
      </w:r>
      <w:r>
        <w:t>te estimated intangible amortization amounts for the succeeding five years are as follows (in millions):</w:t>
      </w:r>
    </w:p>
    <w:p w14:paraId="7326C776" w14:textId="77777777" w:rsidR="00EF3DFB" w:rsidRDefault="00EF3DFB">
      <w:pPr>
        <w:pStyle w:val="BodyText"/>
        <w:spacing w:before="10"/>
        <w:rPr>
          <w:sz w:val="15"/>
        </w:rPr>
      </w:pPr>
    </w:p>
    <w:tbl>
      <w:tblPr>
        <w:tblW w:w="0" w:type="auto"/>
        <w:tblInd w:w="190" w:type="dxa"/>
        <w:tblLayout w:type="fixed"/>
        <w:tblCellMar>
          <w:left w:w="0" w:type="dxa"/>
          <w:right w:w="0" w:type="dxa"/>
        </w:tblCellMar>
        <w:tblLook w:val="01E0" w:firstRow="1" w:lastRow="1" w:firstColumn="1" w:lastColumn="1" w:noHBand="0" w:noVBand="0"/>
      </w:tblPr>
      <w:tblGrid>
        <w:gridCol w:w="5700"/>
        <w:gridCol w:w="4920"/>
      </w:tblGrid>
      <w:tr w:rsidR="00EF3DFB" w14:paraId="7326C779" w14:textId="77777777">
        <w:trPr>
          <w:trHeight w:val="196"/>
        </w:trPr>
        <w:tc>
          <w:tcPr>
            <w:tcW w:w="5700" w:type="dxa"/>
          </w:tcPr>
          <w:p w14:paraId="7326C777" w14:textId="77777777" w:rsidR="00EF3DFB" w:rsidRDefault="00D27C17">
            <w:pPr>
              <w:pStyle w:val="TableParagraph"/>
              <w:spacing w:line="177" w:lineRule="exact"/>
              <w:ind w:left="52"/>
              <w:rPr>
                <w:b/>
                <w:sz w:val="16"/>
              </w:rPr>
            </w:pPr>
            <w:r>
              <w:rPr>
                <w:b/>
                <w:sz w:val="16"/>
                <w:u w:val="single"/>
              </w:rPr>
              <w:t>Years ending December 31</w:t>
            </w:r>
            <w:r>
              <w:rPr>
                <w:b/>
                <w:sz w:val="16"/>
              </w:rPr>
              <w:t>,</w:t>
            </w:r>
          </w:p>
        </w:tc>
        <w:tc>
          <w:tcPr>
            <w:tcW w:w="4920" w:type="dxa"/>
            <w:tcBorders>
              <w:bottom w:val="single" w:sz="8" w:space="0" w:color="000000"/>
            </w:tcBorders>
          </w:tcPr>
          <w:p w14:paraId="7326C778" w14:textId="77777777" w:rsidR="00EF3DFB" w:rsidRDefault="00D27C17">
            <w:pPr>
              <w:pStyle w:val="TableParagraph"/>
              <w:spacing w:line="177" w:lineRule="exact"/>
              <w:ind w:right="318"/>
              <w:jc w:val="right"/>
              <w:rPr>
                <w:b/>
                <w:sz w:val="16"/>
              </w:rPr>
            </w:pPr>
            <w:r>
              <w:rPr>
                <w:b/>
                <w:sz w:val="16"/>
              </w:rPr>
              <w:t>Amount</w:t>
            </w:r>
          </w:p>
        </w:tc>
      </w:tr>
      <w:tr w:rsidR="00EF3DFB" w14:paraId="7326C77C" w14:textId="77777777">
        <w:trPr>
          <w:trHeight w:val="275"/>
        </w:trPr>
        <w:tc>
          <w:tcPr>
            <w:tcW w:w="5700" w:type="dxa"/>
            <w:shd w:val="clear" w:color="auto" w:fill="CCEDFF"/>
          </w:tcPr>
          <w:p w14:paraId="7326C77A" w14:textId="77777777" w:rsidR="00EF3DFB" w:rsidRDefault="00D27C17">
            <w:pPr>
              <w:pStyle w:val="TableParagraph"/>
              <w:spacing w:before="15"/>
              <w:ind w:left="52"/>
              <w:rPr>
                <w:sz w:val="20"/>
              </w:rPr>
            </w:pPr>
            <w:r>
              <w:rPr>
                <w:sz w:val="20"/>
              </w:rPr>
              <w:t>2021</w:t>
            </w:r>
          </w:p>
        </w:tc>
        <w:tc>
          <w:tcPr>
            <w:tcW w:w="4920" w:type="dxa"/>
            <w:tcBorders>
              <w:top w:val="single" w:sz="8" w:space="0" w:color="000000"/>
            </w:tcBorders>
            <w:shd w:val="clear" w:color="auto" w:fill="CCEDFF"/>
          </w:tcPr>
          <w:p w14:paraId="7326C77B" w14:textId="77777777" w:rsidR="00EF3DFB" w:rsidRDefault="00D27C17">
            <w:pPr>
              <w:pStyle w:val="TableParagraph"/>
              <w:tabs>
                <w:tab w:val="left" w:pos="765"/>
              </w:tabs>
              <w:spacing w:before="15"/>
              <w:ind w:right="79"/>
              <w:jc w:val="right"/>
              <w:rPr>
                <w:sz w:val="20"/>
              </w:rPr>
            </w:pPr>
            <w:r>
              <w:rPr>
                <w:sz w:val="20"/>
              </w:rPr>
              <w:t>$</w:t>
            </w:r>
            <w:r>
              <w:rPr>
                <w:sz w:val="20"/>
              </w:rPr>
              <w:tab/>
              <w:t>120</w:t>
            </w:r>
          </w:p>
        </w:tc>
      </w:tr>
      <w:tr w:rsidR="00EF3DFB" w14:paraId="7326C77F" w14:textId="77777777">
        <w:trPr>
          <w:trHeight w:val="285"/>
        </w:trPr>
        <w:tc>
          <w:tcPr>
            <w:tcW w:w="5700" w:type="dxa"/>
          </w:tcPr>
          <w:p w14:paraId="7326C77D" w14:textId="77777777" w:rsidR="00EF3DFB" w:rsidRDefault="00D27C17">
            <w:pPr>
              <w:pStyle w:val="TableParagraph"/>
              <w:spacing w:before="25"/>
              <w:ind w:left="52"/>
              <w:rPr>
                <w:sz w:val="20"/>
              </w:rPr>
            </w:pPr>
            <w:r>
              <w:rPr>
                <w:sz w:val="20"/>
              </w:rPr>
              <w:t>2022</w:t>
            </w:r>
          </w:p>
        </w:tc>
        <w:tc>
          <w:tcPr>
            <w:tcW w:w="4920" w:type="dxa"/>
          </w:tcPr>
          <w:p w14:paraId="7326C77E" w14:textId="77777777" w:rsidR="00EF3DFB" w:rsidRDefault="00D27C17">
            <w:pPr>
              <w:pStyle w:val="TableParagraph"/>
              <w:spacing w:before="25"/>
              <w:ind w:right="79"/>
              <w:jc w:val="right"/>
              <w:rPr>
                <w:sz w:val="20"/>
              </w:rPr>
            </w:pPr>
            <w:r>
              <w:rPr>
                <w:sz w:val="20"/>
              </w:rPr>
              <w:t>105</w:t>
            </w:r>
          </w:p>
        </w:tc>
      </w:tr>
      <w:tr w:rsidR="00EF3DFB" w14:paraId="7326C782" w14:textId="77777777">
        <w:trPr>
          <w:trHeight w:val="285"/>
        </w:trPr>
        <w:tc>
          <w:tcPr>
            <w:tcW w:w="5700" w:type="dxa"/>
            <w:shd w:val="clear" w:color="auto" w:fill="CCEDFF"/>
          </w:tcPr>
          <w:p w14:paraId="7326C780" w14:textId="77777777" w:rsidR="00EF3DFB" w:rsidRDefault="00D27C17">
            <w:pPr>
              <w:pStyle w:val="TableParagraph"/>
              <w:spacing w:before="25"/>
              <w:ind w:left="52"/>
              <w:rPr>
                <w:sz w:val="20"/>
              </w:rPr>
            </w:pPr>
            <w:r>
              <w:rPr>
                <w:sz w:val="20"/>
              </w:rPr>
              <w:t>2023</w:t>
            </w:r>
          </w:p>
        </w:tc>
        <w:tc>
          <w:tcPr>
            <w:tcW w:w="4920" w:type="dxa"/>
            <w:shd w:val="clear" w:color="auto" w:fill="CCEDFF"/>
          </w:tcPr>
          <w:p w14:paraId="7326C781" w14:textId="77777777" w:rsidR="00EF3DFB" w:rsidRDefault="00D27C17">
            <w:pPr>
              <w:pStyle w:val="TableParagraph"/>
              <w:spacing w:before="25"/>
              <w:ind w:right="79"/>
              <w:jc w:val="right"/>
              <w:rPr>
                <w:sz w:val="20"/>
              </w:rPr>
            </w:pPr>
            <w:r>
              <w:rPr>
                <w:sz w:val="20"/>
              </w:rPr>
              <w:t>95</w:t>
            </w:r>
          </w:p>
        </w:tc>
      </w:tr>
      <w:tr w:rsidR="00EF3DFB" w14:paraId="7326C785" w14:textId="77777777">
        <w:trPr>
          <w:trHeight w:val="285"/>
        </w:trPr>
        <w:tc>
          <w:tcPr>
            <w:tcW w:w="5700" w:type="dxa"/>
          </w:tcPr>
          <w:p w14:paraId="7326C783" w14:textId="77777777" w:rsidR="00EF3DFB" w:rsidRDefault="00D27C17">
            <w:pPr>
              <w:pStyle w:val="TableParagraph"/>
              <w:spacing w:before="25"/>
              <w:ind w:left="52"/>
              <w:rPr>
                <w:sz w:val="20"/>
              </w:rPr>
            </w:pPr>
            <w:r>
              <w:rPr>
                <w:sz w:val="20"/>
              </w:rPr>
              <w:t>2024</w:t>
            </w:r>
          </w:p>
        </w:tc>
        <w:tc>
          <w:tcPr>
            <w:tcW w:w="4920" w:type="dxa"/>
          </w:tcPr>
          <w:p w14:paraId="7326C784" w14:textId="77777777" w:rsidR="00EF3DFB" w:rsidRDefault="00D27C17">
            <w:pPr>
              <w:pStyle w:val="TableParagraph"/>
              <w:spacing w:before="25"/>
              <w:ind w:right="79"/>
              <w:jc w:val="right"/>
              <w:rPr>
                <w:sz w:val="20"/>
              </w:rPr>
            </w:pPr>
            <w:r>
              <w:rPr>
                <w:sz w:val="20"/>
              </w:rPr>
              <w:t>88</w:t>
            </w:r>
          </w:p>
        </w:tc>
      </w:tr>
      <w:tr w:rsidR="00EF3DFB" w14:paraId="7326C788" w14:textId="77777777">
        <w:trPr>
          <w:trHeight w:val="285"/>
        </w:trPr>
        <w:tc>
          <w:tcPr>
            <w:tcW w:w="5700" w:type="dxa"/>
            <w:shd w:val="clear" w:color="auto" w:fill="CCEDFF"/>
          </w:tcPr>
          <w:p w14:paraId="7326C786" w14:textId="77777777" w:rsidR="00EF3DFB" w:rsidRDefault="00D27C17">
            <w:pPr>
              <w:pStyle w:val="TableParagraph"/>
              <w:spacing w:before="25"/>
              <w:ind w:left="52"/>
              <w:rPr>
                <w:sz w:val="20"/>
              </w:rPr>
            </w:pPr>
            <w:r>
              <w:rPr>
                <w:sz w:val="20"/>
              </w:rPr>
              <w:t>2025</w:t>
            </w:r>
          </w:p>
        </w:tc>
        <w:tc>
          <w:tcPr>
            <w:tcW w:w="4920" w:type="dxa"/>
            <w:shd w:val="clear" w:color="auto" w:fill="CCEDFF"/>
          </w:tcPr>
          <w:p w14:paraId="7326C787" w14:textId="77777777" w:rsidR="00EF3DFB" w:rsidRDefault="00D27C17">
            <w:pPr>
              <w:pStyle w:val="TableParagraph"/>
              <w:spacing w:before="25"/>
              <w:ind w:right="79"/>
              <w:jc w:val="right"/>
              <w:rPr>
                <w:sz w:val="20"/>
              </w:rPr>
            </w:pPr>
            <w:r>
              <w:rPr>
                <w:sz w:val="20"/>
              </w:rPr>
              <w:t>80</w:t>
            </w:r>
          </w:p>
        </w:tc>
      </w:tr>
      <w:tr w:rsidR="00EF3DFB" w14:paraId="7326C78B" w14:textId="77777777">
        <w:trPr>
          <w:trHeight w:val="255"/>
        </w:trPr>
        <w:tc>
          <w:tcPr>
            <w:tcW w:w="5700" w:type="dxa"/>
          </w:tcPr>
          <w:p w14:paraId="7326C789" w14:textId="77777777" w:rsidR="00EF3DFB" w:rsidRDefault="00D27C17">
            <w:pPr>
              <w:pStyle w:val="TableParagraph"/>
              <w:spacing w:before="4"/>
              <w:ind w:left="52"/>
              <w:rPr>
                <w:sz w:val="20"/>
              </w:rPr>
            </w:pPr>
            <w:r>
              <w:rPr>
                <w:sz w:val="20"/>
              </w:rPr>
              <w:t>Thereafter</w:t>
            </w:r>
          </w:p>
        </w:tc>
        <w:tc>
          <w:tcPr>
            <w:tcW w:w="4920" w:type="dxa"/>
          </w:tcPr>
          <w:p w14:paraId="7326C78A" w14:textId="77777777" w:rsidR="00EF3DFB" w:rsidRDefault="00D27C17">
            <w:pPr>
              <w:pStyle w:val="TableParagraph"/>
              <w:spacing w:before="25" w:line="210" w:lineRule="exact"/>
              <w:ind w:right="79"/>
              <w:jc w:val="right"/>
              <w:rPr>
                <w:sz w:val="20"/>
              </w:rPr>
            </w:pPr>
            <w:r>
              <w:rPr>
                <w:sz w:val="20"/>
              </w:rPr>
              <w:t>745</w:t>
            </w:r>
          </w:p>
        </w:tc>
      </w:tr>
    </w:tbl>
    <w:p w14:paraId="7326C78C" w14:textId="77777777" w:rsidR="00EF3DFB" w:rsidRDefault="00EF3DFB">
      <w:pPr>
        <w:spacing w:line="210" w:lineRule="exact"/>
        <w:jc w:val="right"/>
        <w:rPr>
          <w:sz w:val="20"/>
        </w:rPr>
        <w:sectPr w:rsidR="00EF3DFB">
          <w:pgSz w:w="12240" w:h="15840"/>
          <w:pgMar w:top="60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7220"/>
        <w:gridCol w:w="1715"/>
        <w:gridCol w:w="434"/>
        <w:gridCol w:w="841"/>
        <w:gridCol w:w="411"/>
      </w:tblGrid>
      <w:tr w:rsidR="00EF3DFB" w14:paraId="7326C791" w14:textId="77777777">
        <w:trPr>
          <w:trHeight w:val="800"/>
        </w:trPr>
        <w:tc>
          <w:tcPr>
            <w:tcW w:w="7220" w:type="dxa"/>
          </w:tcPr>
          <w:p w14:paraId="7326C78D" w14:textId="77777777" w:rsidR="00EF3DFB" w:rsidRDefault="00D27C17">
            <w:pPr>
              <w:pStyle w:val="TableParagraph"/>
              <w:spacing w:line="219" w:lineRule="exact"/>
              <w:rPr>
                <w:b/>
                <w:sz w:val="20"/>
              </w:rPr>
            </w:pPr>
            <w:bookmarkStart w:id="56" w:name="Footnote_8_—_Other_Accrued_Liabilities"/>
            <w:bookmarkEnd w:id="56"/>
            <w:r>
              <w:rPr>
                <w:b/>
                <w:sz w:val="20"/>
              </w:rPr>
              <w:lastRenderedPageBreak/>
              <w:t>Footnote 8 — Other Accrued Liabilities</w:t>
            </w:r>
          </w:p>
          <w:p w14:paraId="7326C78E" w14:textId="77777777" w:rsidR="00EF3DFB" w:rsidRDefault="00EF3DFB">
            <w:pPr>
              <w:pStyle w:val="TableParagraph"/>
            </w:pPr>
          </w:p>
          <w:p w14:paraId="7326C78F" w14:textId="77777777" w:rsidR="00EF3DFB" w:rsidRDefault="00D27C17">
            <w:pPr>
              <w:pStyle w:val="TableParagraph"/>
              <w:rPr>
                <w:sz w:val="20"/>
              </w:rPr>
            </w:pPr>
            <w:r>
              <w:rPr>
                <w:sz w:val="20"/>
              </w:rPr>
              <w:t>Other accrued liabilities included the following at December 31, (in millions):</w:t>
            </w:r>
          </w:p>
        </w:tc>
        <w:tc>
          <w:tcPr>
            <w:tcW w:w="3401" w:type="dxa"/>
            <w:gridSpan w:val="4"/>
          </w:tcPr>
          <w:p w14:paraId="7326C790" w14:textId="77777777" w:rsidR="00EF3DFB" w:rsidRDefault="00EF3DFB">
            <w:pPr>
              <w:pStyle w:val="TableParagraph"/>
              <w:rPr>
                <w:sz w:val="18"/>
              </w:rPr>
            </w:pPr>
          </w:p>
        </w:tc>
      </w:tr>
      <w:tr w:rsidR="00EF3DFB" w14:paraId="7326C797" w14:textId="77777777">
        <w:trPr>
          <w:trHeight w:val="292"/>
        </w:trPr>
        <w:tc>
          <w:tcPr>
            <w:tcW w:w="7220" w:type="dxa"/>
          </w:tcPr>
          <w:p w14:paraId="7326C792" w14:textId="77777777" w:rsidR="00EF3DFB" w:rsidRDefault="00EF3DFB">
            <w:pPr>
              <w:pStyle w:val="TableParagraph"/>
              <w:rPr>
                <w:sz w:val="18"/>
              </w:rPr>
            </w:pPr>
          </w:p>
        </w:tc>
        <w:tc>
          <w:tcPr>
            <w:tcW w:w="1715" w:type="dxa"/>
            <w:tcBorders>
              <w:bottom w:val="single" w:sz="8" w:space="0" w:color="000000"/>
            </w:tcBorders>
          </w:tcPr>
          <w:p w14:paraId="7326C793" w14:textId="77777777" w:rsidR="00EF3DFB" w:rsidRDefault="00D27C17">
            <w:pPr>
              <w:pStyle w:val="TableParagraph"/>
              <w:spacing w:before="86"/>
              <w:ind w:right="29"/>
              <w:jc w:val="right"/>
              <w:rPr>
                <w:b/>
                <w:sz w:val="16"/>
              </w:rPr>
            </w:pPr>
            <w:r>
              <w:rPr>
                <w:b/>
                <w:sz w:val="16"/>
              </w:rPr>
              <w:t>2020</w:t>
            </w:r>
          </w:p>
        </w:tc>
        <w:tc>
          <w:tcPr>
            <w:tcW w:w="434" w:type="dxa"/>
            <w:tcBorders>
              <w:bottom w:val="single" w:sz="8" w:space="0" w:color="000000"/>
            </w:tcBorders>
          </w:tcPr>
          <w:p w14:paraId="7326C794" w14:textId="77777777" w:rsidR="00EF3DFB" w:rsidRDefault="00EF3DFB">
            <w:pPr>
              <w:pStyle w:val="TableParagraph"/>
              <w:rPr>
                <w:sz w:val="18"/>
              </w:rPr>
            </w:pPr>
          </w:p>
        </w:tc>
        <w:tc>
          <w:tcPr>
            <w:tcW w:w="841" w:type="dxa"/>
            <w:tcBorders>
              <w:bottom w:val="single" w:sz="8" w:space="0" w:color="000000"/>
            </w:tcBorders>
          </w:tcPr>
          <w:p w14:paraId="7326C795" w14:textId="77777777" w:rsidR="00EF3DFB" w:rsidRDefault="00D27C17">
            <w:pPr>
              <w:pStyle w:val="TableParagraph"/>
              <w:spacing w:before="86"/>
              <w:ind w:left="491"/>
              <w:rPr>
                <w:b/>
                <w:sz w:val="16"/>
              </w:rPr>
            </w:pPr>
            <w:r>
              <w:rPr>
                <w:b/>
                <w:sz w:val="16"/>
              </w:rPr>
              <w:t>2019</w:t>
            </w:r>
          </w:p>
        </w:tc>
        <w:tc>
          <w:tcPr>
            <w:tcW w:w="411" w:type="dxa"/>
            <w:tcBorders>
              <w:bottom w:val="single" w:sz="8" w:space="0" w:color="000000"/>
            </w:tcBorders>
          </w:tcPr>
          <w:p w14:paraId="7326C796" w14:textId="77777777" w:rsidR="00EF3DFB" w:rsidRDefault="00EF3DFB">
            <w:pPr>
              <w:pStyle w:val="TableParagraph"/>
              <w:rPr>
                <w:sz w:val="18"/>
              </w:rPr>
            </w:pPr>
          </w:p>
        </w:tc>
      </w:tr>
      <w:tr w:rsidR="00EF3DFB" w14:paraId="7326C79D" w14:textId="77777777">
        <w:trPr>
          <w:trHeight w:val="275"/>
        </w:trPr>
        <w:tc>
          <w:tcPr>
            <w:tcW w:w="7220" w:type="dxa"/>
            <w:shd w:val="clear" w:color="auto" w:fill="CCEDFF"/>
          </w:tcPr>
          <w:p w14:paraId="7326C798" w14:textId="77777777" w:rsidR="00EF3DFB" w:rsidRDefault="00D27C17">
            <w:pPr>
              <w:pStyle w:val="TableParagraph"/>
              <w:spacing w:line="222" w:lineRule="exact"/>
              <w:ind w:left="52"/>
              <w:rPr>
                <w:sz w:val="20"/>
              </w:rPr>
            </w:pPr>
            <w:r>
              <w:rPr>
                <w:sz w:val="20"/>
              </w:rPr>
              <w:t>Customer accruals</w:t>
            </w:r>
          </w:p>
        </w:tc>
        <w:tc>
          <w:tcPr>
            <w:tcW w:w="1715" w:type="dxa"/>
            <w:tcBorders>
              <w:top w:val="single" w:sz="8" w:space="0" w:color="000000"/>
            </w:tcBorders>
            <w:shd w:val="clear" w:color="auto" w:fill="CCEDFF"/>
          </w:tcPr>
          <w:p w14:paraId="7326C799" w14:textId="77777777" w:rsidR="00EF3DFB" w:rsidRDefault="00D27C17">
            <w:pPr>
              <w:pStyle w:val="TableParagraph"/>
              <w:spacing w:before="12"/>
              <w:ind w:left="340"/>
              <w:jc w:val="center"/>
              <w:rPr>
                <w:sz w:val="20"/>
              </w:rPr>
            </w:pPr>
            <w:r>
              <w:rPr>
                <w:sz w:val="20"/>
              </w:rPr>
              <w:t>$</w:t>
            </w:r>
          </w:p>
        </w:tc>
        <w:tc>
          <w:tcPr>
            <w:tcW w:w="434" w:type="dxa"/>
            <w:tcBorders>
              <w:top w:val="single" w:sz="8" w:space="0" w:color="000000"/>
            </w:tcBorders>
            <w:shd w:val="clear" w:color="auto" w:fill="CCEDFF"/>
          </w:tcPr>
          <w:p w14:paraId="7326C79A" w14:textId="77777777" w:rsidR="00EF3DFB" w:rsidRDefault="00D27C17">
            <w:pPr>
              <w:pStyle w:val="TableParagraph"/>
              <w:spacing w:before="12"/>
              <w:ind w:right="103"/>
              <w:jc w:val="right"/>
              <w:rPr>
                <w:sz w:val="20"/>
              </w:rPr>
            </w:pPr>
            <w:r>
              <w:rPr>
                <w:sz w:val="20"/>
              </w:rPr>
              <w:t>683</w:t>
            </w:r>
          </w:p>
        </w:tc>
        <w:tc>
          <w:tcPr>
            <w:tcW w:w="841" w:type="dxa"/>
            <w:tcBorders>
              <w:top w:val="single" w:sz="8" w:space="0" w:color="000000"/>
            </w:tcBorders>
            <w:shd w:val="clear" w:color="auto" w:fill="CCEDFF"/>
          </w:tcPr>
          <w:p w14:paraId="7326C79B" w14:textId="77777777" w:rsidR="00EF3DFB" w:rsidRDefault="00D27C17">
            <w:pPr>
              <w:pStyle w:val="TableParagraph"/>
              <w:spacing w:before="12"/>
              <w:ind w:left="103"/>
              <w:rPr>
                <w:sz w:val="20"/>
              </w:rPr>
            </w:pPr>
            <w:r>
              <w:rPr>
                <w:sz w:val="20"/>
              </w:rPr>
              <w:t>$</w:t>
            </w:r>
          </w:p>
        </w:tc>
        <w:tc>
          <w:tcPr>
            <w:tcW w:w="411" w:type="dxa"/>
            <w:tcBorders>
              <w:top w:val="single" w:sz="8" w:space="0" w:color="000000"/>
            </w:tcBorders>
            <w:shd w:val="clear" w:color="auto" w:fill="CCEDFF"/>
          </w:tcPr>
          <w:p w14:paraId="7326C79C" w14:textId="77777777" w:rsidR="00EF3DFB" w:rsidRDefault="00D27C17">
            <w:pPr>
              <w:pStyle w:val="TableParagraph"/>
              <w:spacing w:before="12"/>
              <w:ind w:right="80"/>
              <w:jc w:val="right"/>
              <w:rPr>
                <w:sz w:val="20"/>
              </w:rPr>
            </w:pPr>
            <w:r>
              <w:rPr>
                <w:sz w:val="20"/>
              </w:rPr>
              <w:t>605</w:t>
            </w:r>
          </w:p>
        </w:tc>
      </w:tr>
      <w:tr w:rsidR="00EF3DFB" w14:paraId="7326C7A3" w14:textId="77777777">
        <w:trPr>
          <w:trHeight w:val="285"/>
        </w:trPr>
        <w:tc>
          <w:tcPr>
            <w:tcW w:w="7220" w:type="dxa"/>
          </w:tcPr>
          <w:p w14:paraId="7326C79E" w14:textId="77777777" w:rsidR="00EF3DFB" w:rsidRDefault="00D27C17">
            <w:pPr>
              <w:pStyle w:val="TableParagraph"/>
              <w:spacing w:before="1"/>
              <w:ind w:left="52"/>
              <w:rPr>
                <w:sz w:val="20"/>
              </w:rPr>
            </w:pPr>
            <w:r>
              <w:rPr>
                <w:sz w:val="20"/>
              </w:rPr>
              <w:t>Operating lease liabilities</w:t>
            </w:r>
          </w:p>
        </w:tc>
        <w:tc>
          <w:tcPr>
            <w:tcW w:w="1715" w:type="dxa"/>
          </w:tcPr>
          <w:p w14:paraId="7326C79F" w14:textId="77777777" w:rsidR="00EF3DFB" w:rsidRDefault="00EF3DFB">
            <w:pPr>
              <w:pStyle w:val="TableParagraph"/>
              <w:rPr>
                <w:sz w:val="18"/>
              </w:rPr>
            </w:pPr>
          </w:p>
        </w:tc>
        <w:tc>
          <w:tcPr>
            <w:tcW w:w="434" w:type="dxa"/>
          </w:tcPr>
          <w:p w14:paraId="7326C7A0" w14:textId="77777777" w:rsidR="00EF3DFB" w:rsidRDefault="00D27C17">
            <w:pPr>
              <w:pStyle w:val="TableParagraph"/>
              <w:spacing w:before="22"/>
              <w:ind w:right="103"/>
              <w:jc w:val="right"/>
              <w:rPr>
                <w:sz w:val="20"/>
              </w:rPr>
            </w:pPr>
            <w:r>
              <w:rPr>
                <w:sz w:val="20"/>
              </w:rPr>
              <w:t>129</w:t>
            </w:r>
          </w:p>
        </w:tc>
        <w:tc>
          <w:tcPr>
            <w:tcW w:w="841" w:type="dxa"/>
          </w:tcPr>
          <w:p w14:paraId="7326C7A1" w14:textId="77777777" w:rsidR="00EF3DFB" w:rsidRDefault="00EF3DFB">
            <w:pPr>
              <w:pStyle w:val="TableParagraph"/>
              <w:rPr>
                <w:sz w:val="18"/>
              </w:rPr>
            </w:pPr>
          </w:p>
        </w:tc>
        <w:tc>
          <w:tcPr>
            <w:tcW w:w="411" w:type="dxa"/>
          </w:tcPr>
          <w:p w14:paraId="7326C7A2" w14:textId="77777777" w:rsidR="00EF3DFB" w:rsidRDefault="00D27C17">
            <w:pPr>
              <w:pStyle w:val="TableParagraph"/>
              <w:spacing w:before="22"/>
              <w:ind w:right="80"/>
              <w:jc w:val="right"/>
              <w:rPr>
                <w:sz w:val="20"/>
              </w:rPr>
            </w:pPr>
            <w:r>
              <w:rPr>
                <w:sz w:val="20"/>
              </w:rPr>
              <w:t>132</w:t>
            </w:r>
          </w:p>
        </w:tc>
      </w:tr>
      <w:tr w:rsidR="00EF3DFB" w14:paraId="7326C7A9" w14:textId="77777777">
        <w:trPr>
          <w:trHeight w:val="285"/>
        </w:trPr>
        <w:tc>
          <w:tcPr>
            <w:tcW w:w="7220" w:type="dxa"/>
            <w:shd w:val="clear" w:color="auto" w:fill="CCEDFF"/>
          </w:tcPr>
          <w:p w14:paraId="7326C7A4" w14:textId="77777777" w:rsidR="00EF3DFB" w:rsidRDefault="00D27C17">
            <w:pPr>
              <w:pStyle w:val="TableParagraph"/>
              <w:spacing w:before="1"/>
              <w:ind w:left="52"/>
              <w:rPr>
                <w:sz w:val="20"/>
              </w:rPr>
            </w:pPr>
            <w:r>
              <w:rPr>
                <w:sz w:val="20"/>
              </w:rPr>
              <w:t>Accrued self-insurance liabilities, contingencies and warranty</w:t>
            </w:r>
          </w:p>
        </w:tc>
        <w:tc>
          <w:tcPr>
            <w:tcW w:w="1715" w:type="dxa"/>
            <w:shd w:val="clear" w:color="auto" w:fill="CCEDFF"/>
          </w:tcPr>
          <w:p w14:paraId="7326C7A5" w14:textId="77777777" w:rsidR="00EF3DFB" w:rsidRDefault="00EF3DFB">
            <w:pPr>
              <w:pStyle w:val="TableParagraph"/>
              <w:rPr>
                <w:sz w:val="18"/>
              </w:rPr>
            </w:pPr>
          </w:p>
        </w:tc>
        <w:tc>
          <w:tcPr>
            <w:tcW w:w="434" w:type="dxa"/>
            <w:shd w:val="clear" w:color="auto" w:fill="CCEDFF"/>
          </w:tcPr>
          <w:p w14:paraId="7326C7A6" w14:textId="77777777" w:rsidR="00EF3DFB" w:rsidRDefault="00D27C17">
            <w:pPr>
              <w:pStyle w:val="TableParagraph"/>
              <w:spacing w:before="22"/>
              <w:ind w:right="103"/>
              <w:jc w:val="right"/>
              <w:rPr>
                <w:sz w:val="20"/>
              </w:rPr>
            </w:pPr>
            <w:r>
              <w:rPr>
                <w:sz w:val="20"/>
              </w:rPr>
              <w:t>113</w:t>
            </w:r>
          </w:p>
        </w:tc>
        <w:tc>
          <w:tcPr>
            <w:tcW w:w="841" w:type="dxa"/>
            <w:shd w:val="clear" w:color="auto" w:fill="CCEDFF"/>
          </w:tcPr>
          <w:p w14:paraId="7326C7A7" w14:textId="77777777" w:rsidR="00EF3DFB" w:rsidRDefault="00EF3DFB">
            <w:pPr>
              <w:pStyle w:val="TableParagraph"/>
              <w:rPr>
                <w:sz w:val="18"/>
              </w:rPr>
            </w:pPr>
          </w:p>
        </w:tc>
        <w:tc>
          <w:tcPr>
            <w:tcW w:w="411" w:type="dxa"/>
            <w:shd w:val="clear" w:color="auto" w:fill="CCEDFF"/>
          </w:tcPr>
          <w:p w14:paraId="7326C7A8" w14:textId="77777777" w:rsidR="00EF3DFB" w:rsidRDefault="00D27C17">
            <w:pPr>
              <w:pStyle w:val="TableParagraph"/>
              <w:spacing w:before="22"/>
              <w:ind w:right="80"/>
              <w:jc w:val="right"/>
              <w:rPr>
                <w:sz w:val="20"/>
              </w:rPr>
            </w:pPr>
            <w:r>
              <w:rPr>
                <w:sz w:val="20"/>
              </w:rPr>
              <w:t>124</w:t>
            </w:r>
          </w:p>
        </w:tc>
      </w:tr>
      <w:tr w:rsidR="00EF3DFB" w14:paraId="7326C7AF" w14:textId="77777777">
        <w:trPr>
          <w:trHeight w:val="285"/>
        </w:trPr>
        <w:tc>
          <w:tcPr>
            <w:tcW w:w="7220" w:type="dxa"/>
          </w:tcPr>
          <w:p w14:paraId="7326C7AA" w14:textId="77777777" w:rsidR="00EF3DFB" w:rsidRDefault="00D27C17">
            <w:pPr>
              <w:pStyle w:val="TableParagraph"/>
              <w:spacing w:before="1"/>
              <w:ind w:left="52"/>
              <w:rPr>
                <w:sz w:val="20"/>
              </w:rPr>
            </w:pPr>
            <w:r>
              <w:rPr>
                <w:sz w:val="20"/>
              </w:rPr>
              <w:t>Accrued income taxes</w:t>
            </w:r>
          </w:p>
        </w:tc>
        <w:tc>
          <w:tcPr>
            <w:tcW w:w="1715" w:type="dxa"/>
          </w:tcPr>
          <w:p w14:paraId="7326C7AB" w14:textId="77777777" w:rsidR="00EF3DFB" w:rsidRDefault="00EF3DFB">
            <w:pPr>
              <w:pStyle w:val="TableParagraph"/>
              <w:rPr>
                <w:sz w:val="18"/>
              </w:rPr>
            </w:pPr>
          </w:p>
        </w:tc>
        <w:tc>
          <w:tcPr>
            <w:tcW w:w="434" w:type="dxa"/>
          </w:tcPr>
          <w:p w14:paraId="7326C7AC" w14:textId="77777777" w:rsidR="00EF3DFB" w:rsidRDefault="00D27C17">
            <w:pPr>
              <w:pStyle w:val="TableParagraph"/>
              <w:spacing w:before="22"/>
              <w:ind w:right="103"/>
              <w:jc w:val="right"/>
              <w:rPr>
                <w:sz w:val="20"/>
              </w:rPr>
            </w:pPr>
            <w:r>
              <w:rPr>
                <w:sz w:val="20"/>
              </w:rPr>
              <w:t>66</w:t>
            </w:r>
          </w:p>
        </w:tc>
        <w:tc>
          <w:tcPr>
            <w:tcW w:w="841" w:type="dxa"/>
          </w:tcPr>
          <w:p w14:paraId="7326C7AD" w14:textId="77777777" w:rsidR="00EF3DFB" w:rsidRDefault="00EF3DFB">
            <w:pPr>
              <w:pStyle w:val="TableParagraph"/>
              <w:rPr>
                <w:sz w:val="18"/>
              </w:rPr>
            </w:pPr>
          </w:p>
        </w:tc>
        <w:tc>
          <w:tcPr>
            <w:tcW w:w="411" w:type="dxa"/>
          </w:tcPr>
          <w:p w14:paraId="7326C7AE" w14:textId="77777777" w:rsidR="00EF3DFB" w:rsidRDefault="00D27C17">
            <w:pPr>
              <w:pStyle w:val="TableParagraph"/>
              <w:spacing w:before="22"/>
              <w:ind w:right="80"/>
              <w:jc w:val="right"/>
              <w:rPr>
                <w:sz w:val="20"/>
              </w:rPr>
            </w:pPr>
            <w:r>
              <w:rPr>
                <w:sz w:val="20"/>
              </w:rPr>
              <w:t>114</w:t>
            </w:r>
          </w:p>
        </w:tc>
      </w:tr>
      <w:tr w:rsidR="00EF3DFB" w14:paraId="7326C7B5" w14:textId="77777777">
        <w:trPr>
          <w:trHeight w:val="285"/>
        </w:trPr>
        <w:tc>
          <w:tcPr>
            <w:tcW w:w="7220" w:type="dxa"/>
            <w:shd w:val="clear" w:color="auto" w:fill="CCEDFF"/>
          </w:tcPr>
          <w:p w14:paraId="7326C7B0" w14:textId="77777777" w:rsidR="00EF3DFB" w:rsidRDefault="00D27C17">
            <w:pPr>
              <w:pStyle w:val="TableParagraph"/>
              <w:spacing w:before="1"/>
              <w:ind w:left="52"/>
              <w:rPr>
                <w:sz w:val="20"/>
              </w:rPr>
            </w:pPr>
            <w:r>
              <w:rPr>
                <w:sz w:val="20"/>
              </w:rPr>
              <w:t>Accrued interest expense</w:t>
            </w:r>
          </w:p>
        </w:tc>
        <w:tc>
          <w:tcPr>
            <w:tcW w:w="1715" w:type="dxa"/>
            <w:shd w:val="clear" w:color="auto" w:fill="CCEDFF"/>
          </w:tcPr>
          <w:p w14:paraId="7326C7B1" w14:textId="77777777" w:rsidR="00EF3DFB" w:rsidRDefault="00EF3DFB">
            <w:pPr>
              <w:pStyle w:val="TableParagraph"/>
              <w:rPr>
                <w:sz w:val="18"/>
              </w:rPr>
            </w:pPr>
          </w:p>
        </w:tc>
        <w:tc>
          <w:tcPr>
            <w:tcW w:w="434" w:type="dxa"/>
            <w:shd w:val="clear" w:color="auto" w:fill="CCEDFF"/>
          </w:tcPr>
          <w:p w14:paraId="7326C7B2" w14:textId="77777777" w:rsidR="00EF3DFB" w:rsidRDefault="00D27C17">
            <w:pPr>
              <w:pStyle w:val="TableParagraph"/>
              <w:spacing w:before="22"/>
              <w:ind w:right="103"/>
              <w:jc w:val="right"/>
              <w:rPr>
                <w:sz w:val="20"/>
              </w:rPr>
            </w:pPr>
            <w:r>
              <w:rPr>
                <w:sz w:val="20"/>
              </w:rPr>
              <w:t>60</w:t>
            </w:r>
          </w:p>
        </w:tc>
        <w:tc>
          <w:tcPr>
            <w:tcW w:w="841" w:type="dxa"/>
            <w:shd w:val="clear" w:color="auto" w:fill="CCEDFF"/>
          </w:tcPr>
          <w:p w14:paraId="7326C7B3" w14:textId="77777777" w:rsidR="00EF3DFB" w:rsidRDefault="00EF3DFB">
            <w:pPr>
              <w:pStyle w:val="TableParagraph"/>
              <w:rPr>
                <w:sz w:val="18"/>
              </w:rPr>
            </w:pPr>
          </w:p>
        </w:tc>
        <w:tc>
          <w:tcPr>
            <w:tcW w:w="411" w:type="dxa"/>
            <w:shd w:val="clear" w:color="auto" w:fill="CCEDFF"/>
          </w:tcPr>
          <w:p w14:paraId="7326C7B4" w14:textId="77777777" w:rsidR="00EF3DFB" w:rsidRDefault="00D27C17">
            <w:pPr>
              <w:pStyle w:val="TableParagraph"/>
              <w:spacing w:before="22"/>
              <w:ind w:right="80"/>
              <w:jc w:val="right"/>
              <w:rPr>
                <w:sz w:val="20"/>
              </w:rPr>
            </w:pPr>
            <w:r>
              <w:rPr>
                <w:sz w:val="20"/>
              </w:rPr>
              <w:t>63</w:t>
            </w:r>
          </w:p>
        </w:tc>
      </w:tr>
      <w:tr w:rsidR="00EF3DFB" w14:paraId="7326C7BB" w14:textId="77777777">
        <w:trPr>
          <w:trHeight w:val="285"/>
        </w:trPr>
        <w:tc>
          <w:tcPr>
            <w:tcW w:w="7220" w:type="dxa"/>
          </w:tcPr>
          <w:p w14:paraId="7326C7B6" w14:textId="77777777" w:rsidR="00EF3DFB" w:rsidRDefault="00D27C17">
            <w:pPr>
              <w:pStyle w:val="TableParagraph"/>
              <w:spacing w:before="1"/>
              <w:ind w:left="52"/>
              <w:rPr>
                <w:sz w:val="20"/>
              </w:rPr>
            </w:pPr>
            <w:r>
              <w:rPr>
                <w:sz w:val="20"/>
              </w:rPr>
              <w:t>Accruals for manufacturing, marketing and freight expenses</w:t>
            </w:r>
          </w:p>
        </w:tc>
        <w:tc>
          <w:tcPr>
            <w:tcW w:w="1715" w:type="dxa"/>
          </w:tcPr>
          <w:p w14:paraId="7326C7B7" w14:textId="77777777" w:rsidR="00EF3DFB" w:rsidRDefault="00EF3DFB">
            <w:pPr>
              <w:pStyle w:val="TableParagraph"/>
              <w:rPr>
                <w:sz w:val="18"/>
              </w:rPr>
            </w:pPr>
          </w:p>
        </w:tc>
        <w:tc>
          <w:tcPr>
            <w:tcW w:w="434" w:type="dxa"/>
          </w:tcPr>
          <w:p w14:paraId="7326C7B8" w14:textId="77777777" w:rsidR="00EF3DFB" w:rsidRDefault="00D27C17">
            <w:pPr>
              <w:pStyle w:val="TableParagraph"/>
              <w:spacing w:before="22"/>
              <w:ind w:right="103"/>
              <w:jc w:val="right"/>
              <w:rPr>
                <w:sz w:val="20"/>
              </w:rPr>
            </w:pPr>
            <w:r>
              <w:rPr>
                <w:sz w:val="20"/>
              </w:rPr>
              <w:t>57</w:t>
            </w:r>
          </w:p>
        </w:tc>
        <w:tc>
          <w:tcPr>
            <w:tcW w:w="841" w:type="dxa"/>
          </w:tcPr>
          <w:p w14:paraId="7326C7B9" w14:textId="77777777" w:rsidR="00EF3DFB" w:rsidRDefault="00EF3DFB">
            <w:pPr>
              <w:pStyle w:val="TableParagraph"/>
              <w:rPr>
                <w:sz w:val="18"/>
              </w:rPr>
            </w:pPr>
          </w:p>
        </w:tc>
        <w:tc>
          <w:tcPr>
            <w:tcW w:w="411" w:type="dxa"/>
          </w:tcPr>
          <w:p w14:paraId="7326C7BA" w14:textId="77777777" w:rsidR="00EF3DFB" w:rsidRDefault="00D27C17">
            <w:pPr>
              <w:pStyle w:val="TableParagraph"/>
              <w:spacing w:before="22"/>
              <w:ind w:right="80"/>
              <w:jc w:val="right"/>
              <w:rPr>
                <w:sz w:val="20"/>
              </w:rPr>
            </w:pPr>
            <w:r>
              <w:rPr>
                <w:sz w:val="20"/>
              </w:rPr>
              <w:t>50</w:t>
            </w:r>
          </w:p>
        </w:tc>
      </w:tr>
      <w:tr w:rsidR="00EF3DFB" w14:paraId="7326C7C1" w14:textId="77777777">
        <w:trPr>
          <w:trHeight w:val="275"/>
        </w:trPr>
        <w:tc>
          <w:tcPr>
            <w:tcW w:w="7220" w:type="dxa"/>
            <w:shd w:val="clear" w:color="auto" w:fill="CCEDFF"/>
          </w:tcPr>
          <w:p w14:paraId="7326C7BC" w14:textId="77777777" w:rsidR="00EF3DFB" w:rsidRDefault="00D27C17">
            <w:pPr>
              <w:pStyle w:val="TableParagraph"/>
              <w:spacing w:before="1"/>
              <w:ind w:left="52"/>
              <w:rPr>
                <w:sz w:val="20"/>
              </w:rPr>
            </w:pPr>
            <w:r>
              <w:rPr>
                <w:sz w:val="20"/>
              </w:rPr>
              <w:t>Other</w:t>
            </w:r>
          </w:p>
        </w:tc>
        <w:tc>
          <w:tcPr>
            <w:tcW w:w="1715" w:type="dxa"/>
            <w:tcBorders>
              <w:bottom w:val="single" w:sz="8" w:space="0" w:color="000000"/>
            </w:tcBorders>
            <w:shd w:val="clear" w:color="auto" w:fill="CCEDFF"/>
          </w:tcPr>
          <w:p w14:paraId="7326C7BD" w14:textId="77777777" w:rsidR="00EF3DFB" w:rsidRDefault="00EF3DFB">
            <w:pPr>
              <w:pStyle w:val="TableParagraph"/>
              <w:rPr>
                <w:sz w:val="18"/>
              </w:rPr>
            </w:pPr>
          </w:p>
        </w:tc>
        <w:tc>
          <w:tcPr>
            <w:tcW w:w="434" w:type="dxa"/>
            <w:tcBorders>
              <w:bottom w:val="single" w:sz="8" w:space="0" w:color="000000"/>
            </w:tcBorders>
            <w:shd w:val="clear" w:color="auto" w:fill="CCEDFF"/>
          </w:tcPr>
          <w:p w14:paraId="7326C7BE" w14:textId="77777777" w:rsidR="00EF3DFB" w:rsidRDefault="00D27C17">
            <w:pPr>
              <w:pStyle w:val="TableParagraph"/>
              <w:spacing w:before="22"/>
              <w:ind w:right="103"/>
              <w:jc w:val="right"/>
              <w:rPr>
                <w:sz w:val="20"/>
              </w:rPr>
            </w:pPr>
            <w:r>
              <w:rPr>
                <w:sz w:val="20"/>
              </w:rPr>
              <w:t>285</w:t>
            </w:r>
          </w:p>
        </w:tc>
        <w:tc>
          <w:tcPr>
            <w:tcW w:w="841" w:type="dxa"/>
            <w:tcBorders>
              <w:bottom w:val="single" w:sz="8" w:space="0" w:color="000000"/>
            </w:tcBorders>
            <w:shd w:val="clear" w:color="auto" w:fill="CCEDFF"/>
          </w:tcPr>
          <w:p w14:paraId="7326C7BF" w14:textId="77777777" w:rsidR="00EF3DFB" w:rsidRDefault="00EF3DFB">
            <w:pPr>
              <w:pStyle w:val="TableParagraph"/>
              <w:rPr>
                <w:sz w:val="18"/>
              </w:rPr>
            </w:pPr>
          </w:p>
        </w:tc>
        <w:tc>
          <w:tcPr>
            <w:tcW w:w="411" w:type="dxa"/>
            <w:tcBorders>
              <w:bottom w:val="single" w:sz="8" w:space="0" w:color="000000"/>
            </w:tcBorders>
            <w:shd w:val="clear" w:color="auto" w:fill="CCEDFF"/>
          </w:tcPr>
          <w:p w14:paraId="7326C7C0" w14:textId="77777777" w:rsidR="00EF3DFB" w:rsidRDefault="00D27C17">
            <w:pPr>
              <w:pStyle w:val="TableParagraph"/>
              <w:spacing w:before="22"/>
              <w:ind w:right="80"/>
              <w:jc w:val="right"/>
              <w:rPr>
                <w:sz w:val="20"/>
              </w:rPr>
            </w:pPr>
            <w:r>
              <w:rPr>
                <w:sz w:val="20"/>
              </w:rPr>
              <w:t>252</w:t>
            </w:r>
          </w:p>
        </w:tc>
      </w:tr>
    </w:tbl>
    <w:p w14:paraId="7326C7C2" w14:textId="25DD1996" w:rsidR="00EF3DFB" w:rsidRDefault="00D27C17">
      <w:pPr>
        <w:pStyle w:val="BodyText"/>
        <w:tabs>
          <w:tab w:val="left" w:pos="615"/>
          <w:tab w:val="left" w:pos="1274"/>
          <w:tab w:val="left" w:pos="1890"/>
        </w:tabs>
        <w:spacing w:before="2"/>
        <w:ind w:right="249"/>
        <w:jc w:val="right"/>
      </w:pPr>
      <w:r>
        <w:rPr>
          <w:noProof/>
        </w:rPr>
        <mc:AlternateContent>
          <mc:Choice Requires="wps">
            <w:drawing>
              <wp:anchor distT="0" distB="0" distL="0" distR="0" simplePos="0" relativeHeight="3040" behindDoc="0" locked="0" layoutInCell="1" allowOverlap="1" wp14:anchorId="7326D73A" wp14:editId="5BE2C645">
                <wp:simplePos x="0" y="0"/>
                <wp:positionH relativeFrom="page">
                  <wp:posOffset>5686425</wp:posOffset>
                </wp:positionH>
                <wp:positionV relativeFrom="paragraph">
                  <wp:posOffset>179070</wp:posOffset>
                </wp:positionV>
                <wp:extent cx="762000" cy="0"/>
                <wp:effectExtent l="9525" t="12065" r="9525" b="6985"/>
                <wp:wrapTopAndBottom/>
                <wp:docPr id="340"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1B36" id="Line 323" o:spid="_x0000_s1026" style="position:absolute;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75pt,14.1pt" to="507.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" strokeweight="1pt">
                <w10:wrap type="topAndBottom" anchorx="page"/>
              </v:line>
            </w:pict>
          </mc:Fallback>
        </mc:AlternateContent>
      </w:r>
      <w:r>
        <w:rPr>
          <w:noProof/>
        </w:rPr>
        <mc:AlternateContent>
          <mc:Choice Requires="wps">
            <w:drawing>
              <wp:anchor distT="0" distB="0" distL="0" distR="0" simplePos="0" relativeHeight="3064" behindDoc="0" locked="0" layoutInCell="1" allowOverlap="1" wp14:anchorId="7326D73B" wp14:editId="291FCD0A">
                <wp:simplePos x="0" y="0"/>
                <wp:positionH relativeFrom="page">
                  <wp:posOffset>6496050</wp:posOffset>
                </wp:positionH>
                <wp:positionV relativeFrom="paragraph">
                  <wp:posOffset>179070</wp:posOffset>
                </wp:positionV>
                <wp:extent cx="762000" cy="0"/>
                <wp:effectExtent l="9525" t="12065" r="9525" b="6985"/>
                <wp:wrapTopAndBottom/>
                <wp:docPr id="339"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A2E7" id="Line 322" o:spid="_x0000_s1026" style="position:absolute;z-index:3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5pt,14.1pt" to="57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" strokeweight="1pt">
                <w10:wrap type="topAndBottom" anchorx="page"/>
              </v:line>
            </w:pict>
          </mc:Fallback>
        </mc:AlternateContent>
      </w:r>
      <w:r>
        <w:rPr>
          <w:u w:val="single"/>
        </w:rPr>
        <w:t>$</w:t>
      </w:r>
      <w:r>
        <w:rPr>
          <w:u w:val="single"/>
        </w:rPr>
        <w:tab/>
        <w:t>1,393</w:t>
      </w:r>
      <w:r>
        <w:tab/>
      </w:r>
      <w:r>
        <w:rPr>
          <w:u w:val="single"/>
        </w:rPr>
        <w:t>$</w:t>
      </w:r>
      <w:r>
        <w:rPr>
          <w:u w:val="single"/>
        </w:rPr>
        <w:tab/>
        <w:t>1,340</w:t>
      </w:r>
    </w:p>
    <w:p w14:paraId="7326C7C3" w14:textId="77777777" w:rsidR="00EF3DFB" w:rsidRDefault="00EF3DFB">
      <w:pPr>
        <w:pStyle w:val="BodyText"/>
        <w:spacing w:before="3"/>
        <w:rPr>
          <w:sz w:val="12"/>
        </w:rPr>
      </w:pPr>
    </w:p>
    <w:p w14:paraId="7326C7C4" w14:textId="77777777" w:rsidR="00EF3DFB" w:rsidRDefault="00D27C17">
      <w:pPr>
        <w:pStyle w:val="BodyText"/>
        <w:spacing w:before="92" w:line="249" w:lineRule="auto"/>
        <w:ind w:left="190" w:right="168"/>
        <w:jc w:val="both"/>
      </w:pPr>
      <w:r>
        <w:t>Customer accruals are promotional allowances and rebates, including cooperative advertising, given to customers in exchange for their selling efforts and volume purchased, as well as allowances for returns. Payments for annual rebates and other customer pr</w:t>
      </w:r>
      <w:r>
        <w:t>ograms are generally made in the first quarter of the year. Self-insurance liabilities relate to casualty liabilities such as workers’ compensation, general and product liability and auto liability and are estimated based upon historical loss experience co</w:t>
      </w:r>
      <w:r>
        <w:t>mbined with actuarial evaluation methods, review of significant individual files and the application of risk transfer programs.</w:t>
      </w:r>
    </w:p>
    <w:p w14:paraId="7326C7C5" w14:textId="77777777" w:rsidR="00EF3DFB" w:rsidRDefault="00EF3DFB">
      <w:pPr>
        <w:pStyle w:val="BodyText"/>
        <w:spacing w:before="7" w:after="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6864"/>
        <w:gridCol w:w="1496"/>
        <w:gridCol w:w="635"/>
        <w:gridCol w:w="1036"/>
        <w:gridCol w:w="587"/>
      </w:tblGrid>
      <w:tr w:rsidR="00EF3DFB" w14:paraId="7326C7CA" w14:textId="77777777">
        <w:trPr>
          <w:trHeight w:val="800"/>
        </w:trPr>
        <w:tc>
          <w:tcPr>
            <w:tcW w:w="6864" w:type="dxa"/>
          </w:tcPr>
          <w:p w14:paraId="7326C7C6" w14:textId="77777777" w:rsidR="00EF3DFB" w:rsidRDefault="00D27C17">
            <w:pPr>
              <w:pStyle w:val="TableParagraph"/>
              <w:spacing w:line="221" w:lineRule="exact"/>
              <w:rPr>
                <w:b/>
                <w:sz w:val="20"/>
              </w:rPr>
            </w:pPr>
            <w:bookmarkStart w:id="57" w:name="Footnote_9_—_Debt"/>
            <w:bookmarkEnd w:id="57"/>
            <w:r>
              <w:rPr>
                <w:b/>
                <w:sz w:val="20"/>
              </w:rPr>
              <w:t>Footnote 9 — Debt</w:t>
            </w:r>
          </w:p>
          <w:p w14:paraId="7326C7C7" w14:textId="77777777" w:rsidR="00EF3DFB" w:rsidRDefault="00EF3DFB">
            <w:pPr>
              <w:pStyle w:val="TableParagraph"/>
            </w:pPr>
          </w:p>
          <w:p w14:paraId="7326C7C8" w14:textId="77777777" w:rsidR="00EF3DFB" w:rsidRDefault="00D27C17">
            <w:pPr>
              <w:pStyle w:val="TableParagraph"/>
              <w:rPr>
                <w:sz w:val="20"/>
              </w:rPr>
            </w:pPr>
            <w:r>
              <w:rPr>
                <w:sz w:val="20"/>
              </w:rPr>
              <w:t>The following is a summary of outstanding debt at December 31, (in millions):</w:t>
            </w:r>
          </w:p>
        </w:tc>
        <w:tc>
          <w:tcPr>
            <w:tcW w:w="3754" w:type="dxa"/>
            <w:gridSpan w:val="4"/>
          </w:tcPr>
          <w:p w14:paraId="7326C7C9" w14:textId="77777777" w:rsidR="00EF3DFB" w:rsidRDefault="00EF3DFB">
            <w:pPr>
              <w:pStyle w:val="TableParagraph"/>
              <w:rPr>
                <w:sz w:val="18"/>
              </w:rPr>
            </w:pPr>
          </w:p>
        </w:tc>
      </w:tr>
      <w:tr w:rsidR="00EF3DFB" w14:paraId="7326C7D0" w14:textId="77777777">
        <w:trPr>
          <w:trHeight w:val="292"/>
        </w:trPr>
        <w:tc>
          <w:tcPr>
            <w:tcW w:w="6864" w:type="dxa"/>
          </w:tcPr>
          <w:p w14:paraId="7326C7CB" w14:textId="77777777" w:rsidR="00EF3DFB" w:rsidRDefault="00EF3DFB">
            <w:pPr>
              <w:pStyle w:val="TableParagraph"/>
              <w:rPr>
                <w:sz w:val="18"/>
              </w:rPr>
            </w:pPr>
          </w:p>
        </w:tc>
        <w:tc>
          <w:tcPr>
            <w:tcW w:w="1496" w:type="dxa"/>
            <w:tcBorders>
              <w:bottom w:val="single" w:sz="8" w:space="0" w:color="000000"/>
            </w:tcBorders>
          </w:tcPr>
          <w:p w14:paraId="7326C7CC" w14:textId="77777777" w:rsidR="00EF3DFB" w:rsidRDefault="00D27C17">
            <w:pPr>
              <w:pStyle w:val="TableParagraph"/>
              <w:spacing w:before="88" w:line="184" w:lineRule="exact"/>
              <w:ind w:right="45"/>
              <w:jc w:val="right"/>
              <w:rPr>
                <w:b/>
                <w:sz w:val="16"/>
              </w:rPr>
            </w:pPr>
            <w:r>
              <w:rPr>
                <w:b/>
                <w:sz w:val="16"/>
              </w:rPr>
              <w:t>2020</w:t>
            </w:r>
          </w:p>
        </w:tc>
        <w:tc>
          <w:tcPr>
            <w:tcW w:w="635" w:type="dxa"/>
            <w:tcBorders>
              <w:bottom w:val="single" w:sz="8" w:space="0" w:color="000000"/>
            </w:tcBorders>
          </w:tcPr>
          <w:p w14:paraId="7326C7CD" w14:textId="77777777" w:rsidR="00EF3DFB" w:rsidRDefault="00EF3DFB">
            <w:pPr>
              <w:pStyle w:val="TableParagraph"/>
              <w:rPr>
                <w:sz w:val="18"/>
              </w:rPr>
            </w:pPr>
          </w:p>
        </w:tc>
        <w:tc>
          <w:tcPr>
            <w:tcW w:w="1036" w:type="dxa"/>
            <w:tcBorders>
              <w:bottom w:val="single" w:sz="8" w:space="0" w:color="000000"/>
            </w:tcBorders>
          </w:tcPr>
          <w:p w14:paraId="7326C7CE" w14:textId="77777777" w:rsidR="00EF3DFB" w:rsidRDefault="00D27C17">
            <w:pPr>
              <w:pStyle w:val="TableParagraph"/>
              <w:spacing w:before="88" w:line="184" w:lineRule="exact"/>
              <w:ind w:left="662"/>
              <w:rPr>
                <w:b/>
                <w:sz w:val="16"/>
              </w:rPr>
            </w:pPr>
            <w:r>
              <w:rPr>
                <w:b/>
                <w:sz w:val="16"/>
              </w:rPr>
              <w:t>2019</w:t>
            </w:r>
          </w:p>
        </w:tc>
        <w:tc>
          <w:tcPr>
            <w:tcW w:w="587" w:type="dxa"/>
            <w:tcBorders>
              <w:bottom w:val="single" w:sz="8" w:space="0" w:color="000000"/>
            </w:tcBorders>
          </w:tcPr>
          <w:p w14:paraId="7326C7CF" w14:textId="77777777" w:rsidR="00EF3DFB" w:rsidRDefault="00EF3DFB">
            <w:pPr>
              <w:pStyle w:val="TableParagraph"/>
              <w:rPr>
                <w:sz w:val="18"/>
              </w:rPr>
            </w:pPr>
          </w:p>
        </w:tc>
      </w:tr>
      <w:tr w:rsidR="00EF3DFB" w14:paraId="7326C7D6" w14:textId="77777777">
        <w:trPr>
          <w:trHeight w:val="275"/>
        </w:trPr>
        <w:tc>
          <w:tcPr>
            <w:tcW w:w="6864" w:type="dxa"/>
            <w:shd w:val="clear" w:color="auto" w:fill="CCEDFF"/>
          </w:tcPr>
          <w:p w14:paraId="7326C7D1" w14:textId="77777777" w:rsidR="00EF3DFB" w:rsidRDefault="00D27C17">
            <w:pPr>
              <w:pStyle w:val="TableParagraph"/>
              <w:spacing w:line="224" w:lineRule="exact"/>
              <w:ind w:left="52"/>
              <w:rPr>
                <w:sz w:val="20"/>
              </w:rPr>
            </w:pPr>
            <w:r>
              <w:rPr>
                <w:sz w:val="20"/>
              </w:rPr>
              <w:t>4.70% senior notes due 2020</w:t>
            </w:r>
          </w:p>
        </w:tc>
        <w:tc>
          <w:tcPr>
            <w:tcW w:w="1496" w:type="dxa"/>
            <w:tcBorders>
              <w:top w:val="single" w:sz="8" w:space="0" w:color="000000"/>
            </w:tcBorders>
            <w:shd w:val="clear" w:color="auto" w:fill="CCEDFF"/>
          </w:tcPr>
          <w:p w14:paraId="7326C7D2" w14:textId="77777777" w:rsidR="00EF3DFB" w:rsidRDefault="00D27C17">
            <w:pPr>
              <w:pStyle w:val="TableParagraph"/>
              <w:spacing w:before="15"/>
              <w:ind w:right="286"/>
              <w:jc w:val="center"/>
              <w:rPr>
                <w:sz w:val="20"/>
              </w:rPr>
            </w:pPr>
            <w:r>
              <w:rPr>
                <w:sz w:val="20"/>
              </w:rPr>
              <w:t>$</w:t>
            </w:r>
          </w:p>
        </w:tc>
        <w:tc>
          <w:tcPr>
            <w:tcW w:w="635" w:type="dxa"/>
            <w:tcBorders>
              <w:top w:val="single" w:sz="8" w:space="0" w:color="000000"/>
            </w:tcBorders>
            <w:shd w:val="clear" w:color="auto" w:fill="CCEDFF"/>
          </w:tcPr>
          <w:p w14:paraId="7326C7D3" w14:textId="77777777" w:rsidR="00EF3DFB" w:rsidRDefault="00D27C17">
            <w:pPr>
              <w:pStyle w:val="TableParagraph"/>
              <w:spacing w:before="15"/>
              <w:ind w:left="298"/>
              <w:rPr>
                <w:sz w:val="20"/>
              </w:rPr>
            </w:pPr>
            <w:r>
              <w:rPr>
                <w:sz w:val="20"/>
              </w:rPr>
              <w:t>—</w:t>
            </w:r>
          </w:p>
        </w:tc>
        <w:tc>
          <w:tcPr>
            <w:tcW w:w="1036" w:type="dxa"/>
            <w:tcBorders>
              <w:top w:val="single" w:sz="8" w:space="0" w:color="000000"/>
            </w:tcBorders>
            <w:shd w:val="clear" w:color="auto" w:fill="CCEDFF"/>
          </w:tcPr>
          <w:p w14:paraId="7326C7D4" w14:textId="77777777" w:rsidR="00EF3DFB" w:rsidRDefault="00D27C17">
            <w:pPr>
              <w:pStyle w:val="TableParagraph"/>
              <w:spacing w:before="15"/>
              <w:ind w:left="72"/>
              <w:rPr>
                <w:sz w:val="20"/>
              </w:rPr>
            </w:pPr>
            <w:r>
              <w:rPr>
                <w:sz w:val="20"/>
              </w:rPr>
              <w:t>$</w:t>
            </w:r>
          </w:p>
        </w:tc>
        <w:tc>
          <w:tcPr>
            <w:tcW w:w="587" w:type="dxa"/>
            <w:tcBorders>
              <w:top w:val="single" w:sz="8" w:space="0" w:color="000000"/>
            </w:tcBorders>
            <w:shd w:val="clear" w:color="auto" w:fill="CCEDFF"/>
          </w:tcPr>
          <w:p w14:paraId="7326C7D5" w14:textId="77777777" w:rsidR="00EF3DFB" w:rsidRDefault="00D27C17">
            <w:pPr>
              <w:pStyle w:val="TableParagraph"/>
              <w:spacing w:before="15"/>
              <w:ind w:left="207"/>
              <w:rPr>
                <w:sz w:val="20"/>
              </w:rPr>
            </w:pPr>
            <w:r>
              <w:rPr>
                <w:sz w:val="20"/>
              </w:rPr>
              <w:t>305</w:t>
            </w:r>
          </w:p>
        </w:tc>
      </w:tr>
      <w:tr w:rsidR="00EF3DFB" w14:paraId="7326C7DC" w14:textId="77777777">
        <w:trPr>
          <w:trHeight w:val="285"/>
        </w:trPr>
        <w:tc>
          <w:tcPr>
            <w:tcW w:w="6864" w:type="dxa"/>
          </w:tcPr>
          <w:p w14:paraId="7326C7D7" w14:textId="77777777" w:rsidR="00EF3DFB" w:rsidRDefault="00D27C17">
            <w:pPr>
              <w:pStyle w:val="TableParagraph"/>
              <w:spacing w:before="4"/>
              <w:ind w:left="52"/>
              <w:rPr>
                <w:sz w:val="20"/>
              </w:rPr>
            </w:pPr>
            <w:r>
              <w:rPr>
                <w:sz w:val="20"/>
              </w:rPr>
              <w:t>3.15% senior notes due 2021</w:t>
            </w:r>
          </w:p>
        </w:tc>
        <w:tc>
          <w:tcPr>
            <w:tcW w:w="1496" w:type="dxa"/>
          </w:tcPr>
          <w:p w14:paraId="7326C7D8" w14:textId="77777777" w:rsidR="00EF3DFB" w:rsidRDefault="00EF3DFB">
            <w:pPr>
              <w:pStyle w:val="TableParagraph"/>
              <w:rPr>
                <w:sz w:val="18"/>
              </w:rPr>
            </w:pPr>
          </w:p>
        </w:tc>
        <w:tc>
          <w:tcPr>
            <w:tcW w:w="635" w:type="dxa"/>
          </w:tcPr>
          <w:p w14:paraId="7326C7D9" w14:textId="77777777" w:rsidR="00EF3DFB" w:rsidRDefault="00D27C17">
            <w:pPr>
              <w:pStyle w:val="TableParagraph"/>
              <w:spacing w:before="25"/>
              <w:ind w:left="298"/>
              <w:rPr>
                <w:sz w:val="20"/>
              </w:rPr>
            </w:pPr>
            <w:r>
              <w:rPr>
                <w:sz w:val="20"/>
              </w:rPr>
              <w:t>94</w:t>
            </w:r>
          </w:p>
        </w:tc>
        <w:tc>
          <w:tcPr>
            <w:tcW w:w="1036" w:type="dxa"/>
          </w:tcPr>
          <w:p w14:paraId="7326C7DA" w14:textId="77777777" w:rsidR="00EF3DFB" w:rsidRDefault="00EF3DFB">
            <w:pPr>
              <w:pStyle w:val="TableParagraph"/>
              <w:rPr>
                <w:sz w:val="18"/>
              </w:rPr>
            </w:pPr>
          </w:p>
        </w:tc>
        <w:tc>
          <w:tcPr>
            <w:tcW w:w="587" w:type="dxa"/>
          </w:tcPr>
          <w:p w14:paraId="7326C7DB" w14:textId="77777777" w:rsidR="00EF3DFB" w:rsidRDefault="00D27C17">
            <w:pPr>
              <w:pStyle w:val="TableParagraph"/>
              <w:spacing w:before="25"/>
              <w:ind w:left="307"/>
              <w:rPr>
                <w:sz w:val="20"/>
              </w:rPr>
            </w:pPr>
            <w:r>
              <w:rPr>
                <w:sz w:val="20"/>
              </w:rPr>
              <w:t>94</w:t>
            </w:r>
          </w:p>
        </w:tc>
      </w:tr>
      <w:tr w:rsidR="00EF3DFB" w14:paraId="7326C7E2" w14:textId="77777777">
        <w:trPr>
          <w:trHeight w:val="285"/>
        </w:trPr>
        <w:tc>
          <w:tcPr>
            <w:tcW w:w="6864" w:type="dxa"/>
            <w:shd w:val="clear" w:color="auto" w:fill="CCEDFF"/>
          </w:tcPr>
          <w:p w14:paraId="7326C7DD" w14:textId="77777777" w:rsidR="00EF3DFB" w:rsidRDefault="00D27C17">
            <w:pPr>
              <w:pStyle w:val="TableParagraph"/>
              <w:spacing w:before="4"/>
              <w:ind w:left="52"/>
              <w:rPr>
                <w:sz w:val="20"/>
              </w:rPr>
            </w:pPr>
            <w:r>
              <w:rPr>
                <w:sz w:val="20"/>
              </w:rPr>
              <w:t>3.75% senior notes due 2021</w:t>
            </w:r>
          </w:p>
        </w:tc>
        <w:tc>
          <w:tcPr>
            <w:tcW w:w="1496" w:type="dxa"/>
            <w:shd w:val="clear" w:color="auto" w:fill="CCEDFF"/>
          </w:tcPr>
          <w:p w14:paraId="7326C7DE" w14:textId="77777777" w:rsidR="00EF3DFB" w:rsidRDefault="00EF3DFB">
            <w:pPr>
              <w:pStyle w:val="TableParagraph"/>
              <w:rPr>
                <w:sz w:val="18"/>
              </w:rPr>
            </w:pPr>
          </w:p>
        </w:tc>
        <w:tc>
          <w:tcPr>
            <w:tcW w:w="635" w:type="dxa"/>
            <w:shd w:val="clear" w:color="auto" w:fill="CCEDFF"/>
          </w:tcPr>
          <w:p w14:paraId="7326C7DF" w14:textId="77777777" w:rsidR="00EF3DFB" w:rsidRDefault="00D27C17">
            <w:pPr>
              <w:pStyle w:val="TableParagraph"/>
              <w:spacing w:before="25"/>
              <w:ind w:left="198"/>
              <w:rPr>
                <w:sz w:val="20"/>
              </w:rPr>
            </w:pPr>
            <w:r>
              <w:rPr>
                <w:sz w:val="20"/>
              </w:rPr>
              <w:t>369</w:t>
            </w:r>
          </w:p>
        </w:tc>
        <w:tc>
          <w:tcPr>
            <w:tcW w:w="1036" w:type="dxa"/>
            <w:shd w:val="clear" w:color="auto" w:fill="CCEDFF"/>
          </w:tcPr>
          <w:p w14:paraId="7326C7E0" w14:textId="77777777" w:rsidR="00EF3DFB" w:rsidRDefault="00EF3DFB">
            <w:pPr>
              <w:pStyle w:val="TableParagraph"/>
              <w:rPr>
                <w:sz w:val="18"/>
              </w:rPr>
            </w:pPr>
          </w:p>
        </w:tc>
        <w:tc>
          <w:tcPr>
            <w:tcW w:w="587" w:type="dxa"/>
            <w:shd w:val="clear" w:color="auto" w:fill="CCEDFF"/>
          </w:tcPr>
          <w:p w14:paraId="7326C7E1" w14:textId="77777777" w:rsidR="00EF3DFB" w:rsidRDefault="00D27C17">
            <w:pPr>
              <w:pStyle w:val="TableParagraph"/>
              <w:spacing w:before="25"/>
              <w:ind w:left="207"/>
              <w:rPr>
                <w:sz w:val="20"/>
              </w:rPr>
            </w:pPr>
            <w:r>
              <w:rPr>
                <w:sz w:val="20"/>
              </w:rPr>
              <w:t>342</w:t>
            </w:r>
          </w:p>
        </w:tc>
      </w:tr>
      <w:tr w:rsidR="00EF3DFB" w14:paraId="7326C7E8" w14:textId="77777777">
        <w:trPr>
          <w:trHeight w:val="285"/>
        </w:trPr>
        <w:tc>
          <w:tcPr>
            <w:tcW w:w="6864" w:type="dxa"/>
          </w:tcPr>
          <w:p w14:paraId="7326C7E3" w14:textId="77777777" w:rsidR="00EF3DFB" w:rsidRDefault="00D27C17">
            <w:pPr>
              <w:pStyle w:val="TableParagraph"/>
              <w:spacing w:before="4"/>
              <w:ind w:left="52"/>
              <w:rPr>
                <w:sz w:val="20"/>
              </w:rPr>
            </w:pPr>
            <w:r>
              <w:rPr>
                <w:sz w:val="20"/>
              </w:rPr>
              <w:t>4.00% senior notes due 2022</w:t>
            </w:r>
          </w:p>
        </w:tc>
        <w:tc>
          <w:tcPr>
            <w:tcW w:w="1496" w:type="dxa"/>
          </w:tcPr>
          <w:p w14:paraId="7326C7E4" w14:textId="77777777" w:rsidR="00EF3DFB" w:rsidRDefault="00EF3DFB">
            <w:pPr>
              <w:pStyle w:val="TableParagraph"/>
              <w:rPr>
                <w:sz w:val="18"/>
              </w:rPr>
            </w:pPr>
          </w:p>
        </w:tc>
        <w:tc>
          <w:tcPr>
            <w:tcW w:w="635" w:type="dxa"/>
          </w:tcPr>
          <w:p w14:paraId="7326C7E5" w14:textId="77777777" w:rsidR="00EF3DFB" w:rsidRDefault="00D27C17">
            <w:pPr>
              <w:pStyle w:val="TableParagraph"/>
              <w:spacing w:before="25"/>
              <w:ind w:left="198"/>
              <w:rPr>
                <w:sz w:val="20"/>
              </w:rPr>
            </w:pPr>
            <w:r>
              <w:rPr>
                <w:sz w:val="20"/>
              </w:rPr>
              <w:t>250</w:t>
            </w:r>
          </w:p>
        </w:tc>
        <w:tc>
          <w:tcPr>
            <w:tcW w:w="1036" w:type="dxa"/>
          </w:tcPr>
          <w:p w14:paraId="7326C7E6" w14:textId="77777777" w:rsidR="00EF3DFB" w:rsidRDefault="00EF3DFB">
            <w:pPr>
              <w:pStyle w:val="TableParagraph"/>
              <w:rPr>
                <w:sz w:val="18"/>
              </w:rPr>
            </w:pPr>
          </w:p>
        </w:tc>
        <w:tc>
          <w:tcPr>
            <w:tcW w:w="587" w:type="dxa"/>
          </w:tcPr>
          <w:p w14:paraId="7326C7E7" w14:textId="77777777" w:rsidR="00EF3DFB" w:rsidRDefault="00D27C17">
            <w:pPr>
              <w:pStyle w:val="TableParagraph"/>
              <w:spacing w:before="25"/>
              <w:ind w:left="207"/>
              <w:rPr>
                <w:sz w:val="20"/>
              </w:rPr>
            </w:pPr>
            <w:r>
              <w:rPr>
                <w:sz w:val="20"/>
              </w:rPr>
              <w:t>249</w:t>
            </w:r>
          </w:p>
        </w:tc>
      </w:tr>
      <w:tr w:rsidR="00EF3DFB" w14:paraId="7326C7EE" w14:textId="77777777">
        <w:trPr>
          <w:trHeight w:val="285"/>
        </w:trPr>
        <w:tc>
          <w:tcPr>
            <w:tcW w:w="6864" w:type="dxa"/>
            <w:shd w:val="clear" w:color="auto" w:fill="CCEDFF"/>
          </w:tcPr>
          <w:p w14:paraId="7326C7E9" w14:textId="77777777" w:rsidR="00EF3DFB" w:rsidRDefault="00D27C17">
            <w:pPr>
              <w:pStyle w:val="TableParagraph"/>
              <w:spacing w:before="4"/>
              <w:ind w:left="52"/>
              <w:rPr>
                <w:sz w:val="20"/>
              </w:rPr>
            </w:pPr>
            <w:r>
              <w:rPr>
                <w:sz w:val="20"/>
              </w:rPr>
              <w:t>3.85% senior notes due 2023</w:t>
            </w:r>
          </w:p>
        </w:tc>
        <w:tc>
          <w:tcPr>
            <w:tcW w:w="1496" w:type="dxa"/>
            <w:shd w:val="clear" w:color="auto" w:fill="CCEDFF"/>
          </w:tcPr>
          <w:p w14:paraId="7326C7EA" w14:textId="77777777" w:rsidR="00EF3DFB" w:rsidRDefault="00EF3DFB">
            <w:pPr>
              <w:pStyle w:val="TableParagraph"/>
              <w:rPr>
                <w:sz w:val="18"/>
              </w:rPr>
            </w:pPr>
          </w:p>
        </w:tc>
        <w:tc>
          <w:tcPr>
            <w:tcW w:w="635" w:type="dxa"/>
            <w:shd w:val="clear" w:color="auto" w:fill="CCEDFF"/>
          </w:tcPr>
          <w:p w14:paraId="7326C7EB" w14:textId="77777777" w:rsidR="00EF3DFB" w:rsidRDefault="00D27C17">
            <w:pPr>
              <w:pStyle w:val="TableParagraph"/>
              <w:spacing w:before="25"/>
              <w:ind w:left="48"/>
              <w:rPr>
                <w:sz w:val="20"/>
              </w:rPr>
            </w:pPr>
            <w:r>
              <w:rPr>
                <w:sz w:val="20"/>
              </w:rPr>
              <w:t>1,090</w:t>
            </w:r>
          </w:p>
        </w:tc>
        <w:tc>
          <w:tcPr>
            <w:tcW w:w="1036" w:type="dxa"/>
            <w:shd w:val="clear" w:color="auto" w:fill="CCEDFF"/>
          </w:tcPr>
          <w:p w14:paraId="7326C7EC" w14:textId="77777777" w:rsidR="00EF3DFB" w:rsidRDefault="00EF3DFB">
            <w:pPr>
              <w:pStyle w:val="TableParagraph"/>
              <w:rPr>
                <w:sz w:val="18"/>
              </w:rPr>
            </w:pPr>
          </w:p>
        </w:tc>
        <w:tc>
          <w:tcPr>
            <w:tcW w:w="587" w:type="dxa"/>
            <w:shd w:val="clear" w:color="auto" w:fill="CCEDFF"/>
          </w:tcPr>
          <w:p w14:paraId="7326C7ED" w14:textId="77777777" w:rsidR="00EF3DFB" w:rsidRDefault="00D27C17">
            <w:pPr>
              <w:pStyle w:val="TableParagraph"/>
              <w:spacing w:before="25"/>
              <w:ind w:left="57"/>
              <w:rPr>
                <w:sz w:val="20"/>
              </w:rPr>
            </w:pPr>
            <w:r>
              <w:rPr>
                <w:sz w:val="20"/>
              </w:rPr>
              <w:t>1,388</w:t>
            </w:r>
          </w:p>
        </w:tc>
      </w:tr>
      <w:tr w:rsidR="00EF3DFB" w14:paraId="7326C7F4" w14:textId="77777777">
        <w:trPr>
          <w:trHeight w:val="285"/>
        </w:trPr>
        <w:tc>
          <w:tcPr>
            <w:tcW w:w="6864" w:type="dxa"/>
          </w:tcPr>
          <w:p w14:paraId="7326C7EF" w14:textId="77777777" w:rsidR="00EF3DFB" w:rsidRDefault="00D27C17">
            <w:pPr>
              <w:pStyle w:val="TableParagraph"/>
              <w:spacing w:before="4"/>
              <w:ind w:left="52"/>
              <w:rPr>
                <w:sz w:val="20"/>
              </w:rPr>
            </w:pPr>
            <w:r>
              <w:rPr>
                <w:sz w:val="20"/>
              </w:rPr>
              <w:t>4.00% senior notes due 2024</w:t>
            </w:r>
          </w:p>
        </w:tc>
        <w:tc>
          <w:tcPr>
            <w:tcW w:w="1496" w:type="dxa"/>
          </w:tcPr>
          <w:p w14:paraId="7326C7F0" w14:textId="77777777" w:rsidR="00EF3DFB" w:rsidRDefault="00EF3DFB">
            <w:pPr>
              <w:pStyle w:val="TableParagraph"/>
              <w:rPr>
                <w:sz w:val="18"/>
              </w:rPr>
            </w:pPr>
          </w:p>
        </w:tc>
        <w:tc>
          <w:tcPr>
            <w:tcW w:w="635" w:type="dxa"/>
          </w:tcPr>
          <w:p w14:paraId="7326C7F1" w14:textId="77777777" w:rsidR="00EF3DFB" w:rsidRDefault="00D27C17">
            <w:pPr>
              <w:pStyle w:val="TableParagraph"/>
              <w:spacing w:before="25"/>
              <w:ind w:left="198"/>
              <w:rPr>
                <w:sz w:val="20"/>
              </w:rPr>
            </w:pPr>
            <w:r>
              <w:rPr>
                <w:sz w:val="20"/>
              </w:rPr>
              <w:t>200</w:t>
            </w:r>
          </w:p>
        </w:tc>
        <w:tc>
          <w:tcPr>
            <w:tcW w:w="1036" w:type="dxa"/>
          </w:tcPr>
          <w:p w14:paraId="7326C7F2" w14:textId="77777777" w:rsidR="00EF3DFB" w:rsidRDefault="00EF3DFB">
            <w:pPr>
              <w:pStyle w:val="TableParagraph"/>
              <w:rPr>
                <w:sz w:val="18"/>
              </w:rPr>
            </w:pPr>
          </w:p>
        </w:tc>
        <w:tc>
          <w:tcPr>
            <w:tcW w:w="587" w:type="dxa"/>
          </w:tcPr>
          <w:p w14:paraId="7326C7F3" w14:textId="77777777" w:rsidR="00EF3DFB" w:rsidRDefault="00D27C17">
            <w:pPr>
              <w:pStyle w:val="TableParagraph"/>
              <w:spacing w:before="25"/>
              <w:ind w:left="207"/>
              <w:rPr>
                <w:sz w:val="20"/>
              </w:rPr>
            </w:pPr>
            <w:r>
              <w:rPr>
                <w:sz w:val="20"/>
              </w:rPr>
              <w:t>199</w:t>
            </w:r>
          </w:p>
        </w:tc>
      </w:tr>
      <w:tr w:rsidR="00EF3DFB" w14:paraId="7326C7FA" w14:textId="77777777">
        <w:trPr>
          <w:trHeight w:val="285"/>
        </w:trPr>
        <w:tc>
          <w:tcPr>
            <w:tcW w:w="6864" w:type="dxa"/>
            <w:shd w:val="clear" w:color="auto" w:fill="CCEDFF"/>
          </w:tcPr>
          <w:p w14:paraId="7326C7F5" w14:textId="77777777" w:rsidR="00EF3DFB" w:rsidRDefault="00D27C17">
            <w:pPr>
              <w:pStyle w:val="TableParagraph"/>
              <w:spacing w:before="4"/>
              <w:ind w:left="52"/>
              <w:rPr>
                <w:sz w:val="20"/>
              </w:rPr>
            </w:pPr>
            <w:r>
              <w:rPr>
                <w:sz w:val="20"/>
              </w:rPr>
              <w:t>4.875% senior notes due 2025</w:t>
            </w:r>
          </w:p>
        </w:tc>
        <w:tc>
          <w:tcPr>
            <w:tcW w:w="1496" w:type="dxa"/>
            <w:shd w:val="clear" w:color="auto" w:fill="CCEDFF"/>
          </w:tcPr>
          <w:p w14:paraId="7326C7F6" w14:textId="77777777" w:rsidR="00EF3DFB" w:rsidRDefault="00EF3DFB">
            <w:pPr>
              <w:pStyle w:val="TableParagraph"/>
              <w:rPr>
                <w:sz w:val="18"/>
              </w:rPr>
            </w:pPr>
          </w:p>
        </w:tc>
        <w:tc>
          <w:tcPr>
            <w:tcW w:w="635" w:type="dxa"/>
            <w:shd w:val="clear" w:color="auto" w:fill="CCEDFF"/>
          </w:tcPr>
          <w:p w14:paraId="7326C7F7" w14:textId="77777777" w:rsidR="00EF3DFB" w:rsidRDefault="00D27C17">
            <w:pPr>
              <w:pStyle w:val="TableParagraph"/>
              <w:spacing w:before="25"/>
              <w:ind w:left="198"/>
              <w:rPr>
                <w:sz w:val="20"/>
              </w:rPr>
            </w:pPr>
            <w:r>
              <w:rPr>
                <w:sz w:val="20"/>
              </w:rPr>
              <w:t>492</w:t>
            </w:r>
          </w:p>
        </w:tc>
        <w:tc>
          <w:tcPr>
            <w:tcW w:w="1036" w:type="dxa"/>
            <w:shd w:val="clear" w:color="auto" w:fill="CCEDFF"/>
          </w:tcPr>
          <w:p w14:paraId="7326C7F8" w14:textId="77777777" w:rsidR="00EF3DFB" w:rsidRDefault="00EF3DFB">
            <w:pPr>
              <w:pStyle w:val="TableParagraph"/>
              <w:rPr>
                <w:sz w:val="18"/>
              </w:rPr>
            </w:pPr>
          </w:p>
        </w:tc>
        <w:tc>
          <w:tcPr>
            <w:tcW w:w="587" w:type="dxa"/>
            <w:shd w:val="clear" w:color="auto" w:fill="CCEDFF"/>
          </w:tcPr>
          <w:p w14:paraId="7326C7F9" w14:textId="77777777" w:rsidR="00EF3DFB" w:rsidRDefault="00D27C17">
            <w:pPr>
              <w:pStyle w:val="TableParagraph"/>
              <w:spacing w:before="25"/>
              <w:ind w:left="307"/>
              <w:rPr>
                <w:sz w:val="20"/>
              </w:rPr>
            </w:pPr>
            <w:r>
              <w:rPr>
                <w:sz w:val="20"/>
              </w:rPr>
              <w:t>—</w:t>
            </w:r>
          </w:p>
        </w:tc>
      </w:tr>
      <w:tr w:rsidR="00EF3DFB" w14:paraId="7326C800" w14:textId="77777777">
        <w:trPr>
          <w:trHeight w:val="285"/>
        </w:trPr>
        <w:tc>
          <w:tcPr>
            <w:tcW w:w="6864" w:type="dxa"/>
          </w:tcPr>
          <w:p w14:paraId="7326C7FB" w14:textId="77777777" w:rsidR="00EF3DFB" w:rsidRDefault="00D27C17">
            <w:pPr>
              <w:pStyle w:val="TableParagraph"/>
              <w:spacing w:before="4"/>
              <w:ind w:left="52"/>
              <w:rPr>
                <w:sz w:val="20"/>
              </w:rPr>
            </w:pPr>
            <w:r>
              <w:rPr>
                <w:sz w:val="20"/>
              </w:rPr>
              <w:t>3.90% senior notes due 2025</w:t>
            </w:r>
          </w:p>
        </w:tc>
        <w:tc>
          <w:tcPr>
            <w:tcW w:w="1496" w:type="dxa"/>
          </w:tcPr>
          <w:p w14:paraId="7326C7FC" w14:textId="77777777" w:rsidR="00EF3DFB" w:rsidRDefault="00EF3DFB">
            <w:pPr>
              <w:pStyle w:val="TableParagraph"/>
              <w:rPr>
                <w:sz w:val="18"/>
              </w:rPr>
            </w:pPr>
          </w:p>
        </w:tc>
        <w:tc>
          <w:tcPr>
            <w:tcW w:w="635" w:type="dxa"/>
          </w:tcPr>
          <w:p w14:paraId="7326C7FD" w14:textId="77777777" w:rsidR="00EF3DFB" w:rsidRDefault="00D27C17">
            <w:pPr>
              <w:pStyle w:val="TableParagraph"/>
              <w:spacing w:before="25"/>
              <w:ind w:left="298"/>
              <w:rPr>
                <w:sz w:val="20"/>
              </w:rPr>
            </w:pPr>
            <w:r>
              <w:rPr>
                <w:sz w:val="20"/>
              </w:rPr>
              <w:t>47</w:t>
            </w:r>
          </w:p>
        </w:tc>
        <w:tc>
          <w:tcPr>
            <w:tcW w:w="1036" w:type="dxa"/>
          </w:tcPr>
          <w:p w14:paraId="7326C7FE" w14:textId="77777777" w:rsidR="00EF3DFB" w:rsidRDefault="00EF3DFB">
            <w:pPr>
              <w:pStyle w:val="TableParagraph"/>
              <w:rPr>
                <w:sz w:val="18"/>
              </w:rPr>
            </w:pPr>
          </w:p>
        </w:tc>
        <w:tc>
          <w:tcPr>
            <w:tcW w:w="587" w:type="dxa"/>
          </w:tcPr>
          <w:p w14:paraId="7326C7FF" w14:textId="77777777" w:rsidR="00EF3DFB" w:rsidRDefault="00D27C17">
            <w:pPr>
              <w:pStyle w:val="TableParagraph"/>
              <w:spacing w:before="25"/>
              <w:ind w:left="307"/>
              <w:rPr>
                <w:sz w:val="20"/>
              </w:rPr>
            </w:pPr>
            <w:r>
              <w:rPr>
                <w:sz w:val="20"/>
              </w:rPr>
              <w:t>47</w:t>
            </w:r>
          </w:p>
        </w:tc>
      </w:tr>
      <w:tr w:rsidR="00EF3DFB" w14:paraId="7326C806" w14:textId="77777777">
        <w:trPr>
          <w:trHeight w:val="285"/>
        </w:trPr>
        <w:tc>
          <w:tcPr>
            <w:tcW w:w="6864" w:type="dxa"/>
            <w:shd w:val="clear" w:color="auto" w:fill="CCEDFF"/>
          </w:tcPr>
          <w:p w14:paraId="7326C801" w14:textId="77777777" w:rsidR="00EF3DFB" w:rsidRDefault="00D27C17">
            <w:pPr>
              <w:pStyle w:val="TableParagraph"/>
              <w:spacing w:before="4"/>
              <w:ind w:left="52"/>
              <w:rPr>
                <w:sz w:val="20"/>
              </w:rPr>
            </w:pPr>
            <w:r>
              <w:rPr>
                <w:sz w:val="20"/>
              </w:rPr>
              <w:t>4.20% senior notes due 2026</w:t>
            </w:r>
          </w:p>
        </w:tc>
        <w:tc>
          <w:tcPr>
            <w:tcW w:w="1496" w:type="dxa"/>
            <w:shd w:val="clear" w:color="auto" w:fill="CCEDFF"/>
          </w:tcPr>
          <w:p w14:paraId="7326C802" w14:textId="77777777" w:rsidR="00EF3DFB" w:rsidRDefault="00EF3DFB">
            <w:pPr>
              <w:pStyle w:val="TableParagraph"/>
              <w:rPr>
                <w:sz w:val="18"/>
              </w:rPr>
            </w:pPr>
          </w:p>
        </w:tc>
        <w:tc>
          <w:tcPr>
            <w:tcW w:w="635" w:type="dxa"/>
            <w:shd w:val="clear" w:color="auto" w:fill="CCEDFF"/>
          </w:tcPr>
          <w:p w14:paraId="7326C803" w14:textId="77777777" w:rsidR="00EF3DFB" w:rsidRDefault="00D27C17">
            <w:pPr>
              <w:pStyle w:val="TableParagraph"/>
              <w:spacing w:before="25"/>
              <w:ind w:left="48"/>
              <w:rPr>
                <w:sz w:val="20"/>
              </w:rPr>
            </w:pPr>
            <w:r>
              <w:rPr>
                <w:sz w:val="20"/>
              </w:rPr>
              <w:t>1,973</w:t>
            </w:r>
          </w:p>
        </w:tc>
        <w:tc>
          <w:tcPr>
            <w:tcW w:w="1036" w:type="dxa"/>
            <w:shd w:val="clear" w:color="auto" w:fill="CCEDFF"/>
          </w:tcPr>
          <w:p w14:paraId="7326C804" w14:textId="77777777" w:rsidR="00EF3DFB" w:rsidRDefault="00EF3DFB">
            <w:pPr>
              <w:pStyle w:val="TableParagraph"/>
              <w:rPr>
                <w:sz w:val="18"/>
              </w:rPr>
            </w:pPr>
          </w:p>
        </w:tc>
        <w:tc>
          <w:tcPr>
            <w:tcW w:w="587" w:type="dxa"/>
            <w:shd w:val="clear" w:color="auto" w:fill="CCEDFF"/>
          </w:tcPr>
          <w:p w14:paraId="7326C805" w14:textId="77777777" w:rsidR="00EF3DFB" w:rsidRDefault="00D27C17">
            <w:pPr>
              <w:pStyle w:val="TableParagraph"/>
              <w:spacing w:before="25"/>
              <w:ind w:left="57"/>
              <w:rPr>
                <w:sz w:val="20"/>
              </w:rPr>
            </w:pPr>
            <w:r>
              <w:rPr>
                <w:sz w:val="20"/>
              </w:rPr>
              <w:t>1,986</w:t>
            </w:r>
          </w:p>
        </w:tc>
      </w:tr>
      <w:tr w:rsidR="00EF3DFB" w14:paraId="7326C80C" w14:textId="77777777">
        <w:trPr>
          <w:trHeight w:val="285"/>
        </w:trPr>
        <w:tc>
          <w:tcPr>
            <w:tcW w:w="6864" w:type="dxa"/>
          </w:tcPr>
          <w:p w14:paraId="7326C807" w14:textId="77777777" w:rsidR="00EF3DFB" w:rsidRDefault="00D27C17">
            <w:pPr>
              <w:pStyle w:val="TableParagraph"/>
              <w:spacing w:before="4"/>
              <w:ind w:left="52"/>
              <w:rPr>
                <w:sz w:val="20"/>
              </w:rPr>
            </w:pPr>
            <w:r>
              <w:rPr>
                <w:sz w:val="20"/>
              </w:rPr>
              <w:t>5.375% senior notes due 2036</w:t>
            </w:r>
          </w:p>
        </w:tc>
        <w:tc>
          <w:tcPr>
            <w:tcW w:w="1496" w:type="dxa"/>
          </w:tcPr>
          <w:p w14:paraId="7326C808" w14:textId="77777777" w:rsidR="00EF3DFB" w:rsidRDefault="00EF3DFB">
            <w:pPr>
              <w:pStyle w:val="TableParagraph"/>
              <w:rPr>
                <w:sz w:val="18"/>
              </w:rPr>
            </w:pPr>
          </w:p>
        </w:tc>
        <w:tc>
          <w:tcPr>
            <w:tcW w:w="635" w:type="dxa"/>
          </w:tcPr>
          <w:p w14:paraId="7326C809" w14:textId="77777777" w:rsidR="00EF3DFB" w:rsidRDefault="00D27C17">
            <w:pPr>
              <w:pStyle w:val="TableParagraph"/>
              <w:spacing w:before="25"/>
              <w:ind w:left="198"/>
              <w:rPr>
                <w:sz w:val="20"/>
              </w:rPr>
            </w:pPr>
            <w:r>
              <w:rPr>
                <w:sz w:val="20"/>
              </w:rPr>
              <w:t>416</w:t>
            </w:r>
          </w:p>
        </w:tc>
        <w:tc>
          <w:tcPr>
            <w:tcW w:w="1036" w:type="dxa"/>
          </w:tcPr>
          <w:p w14:paraId="7326C80A" w14:textId="77777777" w:rsidR="00EF3DFB" w:rsidRDefault="00EF3DFB">
            <w:pPr>
              <w:pStyle w:val="TableParagraph"/>
              <w:rPr>
                <w:sz w:val="18"/>
              </w:rPr>
            </w:pPr>
          </w:p>
        </w:tc>
        <w:tc>
          <w:tcPr>
            <w:tcW w:w="587" w:type="dxa"/>
          </w:tcPr>
          <w:p w14:paraId="7326C80B" w14:textId="77777777" w:rsidR="00EF3DFB" w:rsidRDefault="00D27C17">
            <w:pPr>
              <w:pStyle w:val="TableParagraph"/>
              <w:spacing w:before="25"/>
              <w:ind w:left="207"/>
              <w:rPr>
                <w:sz w:val="20"/>
              </w:rPr>
            </w:pPr>
            <w:r>
              <w:rPr>
                <w:sz w:val="20"/>
              </w:rPr>
              <w:t>416</w:t>
            </w:r>
          </w:p>
        </w:tc>
      </w:tr>
      <w:tr w:rsidR="00EF3DFB" w14:paraId="7326C812" w14:textId="77777777">
        <w:trPr>
          <w:trHeight w:val="285"/>
        </w:trPr>
        <w:tc>
          <w:tcPr>
            <w:tcW w:w="6864" w:type="dxa"/>
            <w:shd w:val="clear" w:color="auto" w:fill="CCEDFF"/>
          </w:tcPr>
          <w:p w14:paraId="7326C80D" w14:textId="77777777" w:rsidR="00EF3DFB" w:rsidRDefault="00D27C17">
            <w:pPr>
              <w:pStyle w:val="TableParagraph"/>
              <w:spacing w:before="4"/>
              <w:ind w:left="52"/>
              <w:rPr>
                <w:sz w:val="20"/>
              </w:rPr>
            </w:pPr>
            <w:r>
              <w:rPr>
                <w:sz w:val="20"/>
              </w:rPr>
              <w:t>5.50% senior notes due 2046</w:t>
            </w:r>
          </w:p>
        </w:tc>
        <w:tc>
          <w:tcPr>
            <w:tcW w:w="1496" w:type="dxa"/>
            <w:shd w:val="clear" w:color="auto" w:fill="CCEDFF"/>
          </w:tcPr>
          <w:p w14:paraId="7326C80E" w14:textId="77777777" w:rsidR="00EF3DFB" w:rsidRDefault="00EF3DFB">
            <w:pPr>
              <w:pStyle w:val="TableParagraph"/>
              <w:rPr>
                <w:sz w:val="18"/>
              </w:rPr>
            </w:pPr>
          </w:p>
        </w:tc>
        <w:tc>
          <w:tcPr>
            <w:tcW w:w="635" w:type="dxa"/>
            <w:shd w:val="clear" w:color="auto" w:fill="CCEDFF"/>
          </w:tcPr>
          <w:p w14:paraId="7326C80F" w14:textId="77777777" w:rsidR="00EF3DFB" w:rsidRDefault="00D27C17">
            <w:pPr>
              <w:pStyle w:val="TableParagraph"/>
              <w:spacing w:before="25"/>
              <w:ind w:left="198"/>
              <w:rPr>
                <w:sz w:val="20"/>
              </w:rPr>
            </w:pPr>
            <w:r>
              <w:rPr>
                <w:sz w:val="20"/>
              </w:rPr>
              <w:t>657</w:t>
            </w:r>
          </w:p>
        </w:tc>
        <w:tc>
          <w:tcPr>
            <w:tcW w:w="1036" w:type="dxa"/>
            <w:shd w:val="clear" w:color="auto" w:fill="CCEDFF"/>
          </w:tcPr>
          <w:p w14:paraId="7326C810" w14:textId="77777777" w:rsidR="00EF3DFB" w:rsidRDefault="00EF3DFB">
            <w:pPr>
              <w:pStyle w:val="TableParagraph"/>
              <w:rPr>
                <w:sz w:val="18"/>
              </w:rPr>
            </w:pPr>
          </w:p>
        </w:tc>
        <w:tc>
          <w:tcPr>
            <w:tcW w:w="587" w:type="dxa"/>
            <w:shd w:val="clear" w:color="auto" w:fill="CCEDFF"/>
          </w:tcPr>
          <w:p w14:paraId="7326C811" w14:textId="77777777" w:rsidR="00EF3DFB" w:rsidRDefault="00D27C17">
            <w:pPr>
              <w:pStyle w:val="TableParagraph"/>
              <w:spacing w:before="25"/>
              <w:ind w:left="207"/>
              <w:rPr>
                <w:sz w:val="20"/>
              </w:rPr>
            </w:pPr>
            <w:r>
              <w:rPr>
                <w:sz w:val="20"/>
              </w:rPr>
              <w:t>657</w:t>
            </w:r>
          </w:p>
        </w:tc>
      </w:tr>
      <w:tr w:rsidR="00EF3DFB" w14:paraId="7326C818" w14:textId="77777777">
        <w:trPr>
          <w:trHeight w:val="285"/>
        </w:trPr>
        <w:tc>
          <w:tcPr>
            <w:tcW w:w="6864" w:type="dxa"/>
          </w:tcPr>
          <w:p w14:paraId="7326C813" w14:textId="77777777" w:rsidR="00EF3DFB" w:rsidRDefault="00D27C17">
            <w:pPr>
              <w:pStyle w:val="TableParagraph"/>
              <w:spacing w:before="4"/>
              <w:ind w:left="52"/>
              <w:rPr>
                <w:sz w:val="20"/>
              </w:rPr>
            </w:pPr>
            <w:r>
              <w:rPr>
                <w:sz w:val="20"/>
              </w:rPr>
              <w:t>Commercial paper</w:t>
            </w:r>
          </w:p>
        </w:tc>
        <w:tc>
          <w:tcPr>
            <w:tcW w:w="1496" w:type="dxa"/>
          </w:tcPr>
          <w:p w14:paraId="7326C814" w14:textId="77777777" w:rsidR="00EF3DFB" w:rsidRDefault="00EF3DFB">
            <w:pPr>
              <w:pStyle w:val="TableParagraph"/>
              <w:rPr>
                <w:sz w:val="18"/>
              </w:rPr>
            </w:pPr>
          </w:p>
        </w:tc>
        <w:tc>
          <w:tcPr>
            <w:tcW w:w="635" w:type="dxa"/>
          </w:tcPr>
          <w:p w14:paraId="7326C815" w14:textId="77777777" w:rsidR="00EF3DFB" w:rsidRDefault="00D27C17">
            <w:pPr>
              <w:pStyle w:val="TableParagraph"/>
              <w:spacing w:before="25"/>
              <w:ind w:left="298"/>
              <w:rPr>
                <w:sz w:val="20"/>
              </w:rPr>
            </w:pPr>
            <w:r>
              <w:rPr>
                <w:sz w:val="20"/>
              </w:rPr>
              <w:t>—</w:t>
            </w:r>
          </w:p>
        </w:tc>
        <w:tc>
          <w:tcPr>
            <w:tcW w:w="1036" w:type="dxa"/>
          </w:tcPr>
          <w:p w14:paraId="7326C816" w14:textId="77777777" w:rsidR="00EF3DFB" w:rsidRDefault="00EF3DFB">
            <w:pPr>
              <w:pStyle w:val="TableParagraph"/>
              <w:rPr>
                <w:sz w:val="18"/>
              </w:rPr>
            </w:pPr>
          </w:p>
        </w:tc>
        <w:tc>
          <w:tcPr>
            <w:tcW w:w="587" w:type="dxa"/>
          </w:tcPr>
          <w:p w14:paraId="7326C817" w14:textId="77777777" w:rsidR="00EF3DFB" w:rsidRDefault="00D27C17">
            <w:pPr>
              <w:pStyle w:val="TableParagraph"/>
              <w:spacing w:before="25"/>
              <w:ind w:left="307"/>
              <w:rPr>
                <w:sz w:val="20"/>
              </w:rPr>
            </w:pPr>
            <w:r>
              <w:rPr>
                <w:sz w:val="20"/>
              </w:rPr>
              <w:t>25</w:t>
            </w:r>
          </w:p>
        </w:tc>
      </w:tr>
      <w:tr w:rsidR="00EF3DFB" w14:paraId="7326C81E" w14:textId="77777777">
        <w:trPr>
          <w:trHeight w:val="275"/>
        </w:trPr>
        <w:tc>
          <w:tcPr>
            <w:tcW w:w="6864" w:type="dxa"/>
            <w:shd w:val="clear" w:color="auto" w:fill="CCEDFF"/>
          </w:tcPr>
          <w:p w14:paraId="7326C819" w14:textId="77777777" w:rsidR="00EF3DFB" w:rsidRDefault="00D27C17">
            <w:pPr>
              <w:pStyle w:val="TableParagraph"/>
              <w:spacing w:before="4"/>
              <w:ind w:left="52"/>
              <w:rPr>
                <w:sz w:val="20"/>
              </w:rPr>
            </w:pPr>
            <w:r>
              <w:rPr>
                <w:sz w:val="20"/>
              </w:rPr>
              <w:t>Other debt</w:t>
            </w:r>
          </w:p>
        </w:tc>
        <w:tc>
          <w:tcPr>
            <w:tcW w:w="1496" w:type="dxa"/>
            <w:tcBorders>
              <w:bottom w:val="single" w:sz="8" w:space="0" w:color="000000"/>
            </w:tcBorders>
            <w:shd w:val="clear" w:color="auto" w:fill="CCEDFF"/>
          </w:tcPr>
          <w:p w14:paraId="7326C81A" w14:textId="77777777" w:rsidR="00EF3DFB" w:rsidRDefault="00EF3DFB">
            <w:pPr>
              <w:pStyle w:val="TableParagraph"/>
              <w:rPr>
                <w:sz w:val="18"/>
              </w:rPr>
            </w:pPr>
          </w:p>
        </w:tc>
        <w:tc>
          <w:tcPr>
            <w:tcW w:w="635" w:type="dxa"/>
            <w:tcBorders>
              <w:bottom w:val="single" w:sz="8" w:space="0" w:color="000000"/>
            </w:tcBorders>
            <w:shd w:val="clear" w:color="auto" w:fill="CCEDFF"/>
          </w:tcPr>
          <w:p w14:paraId="7326C81B" w14:textId="77777777" w:rsidR="00EF3DFB" w:rsidRDefault="00D27C17">
            <w:pPr>
              <w:pStyle w:val="TableParagraph"/>
              <w:spacing w:before="25" w:line="230" w:lineRule="exact"/>
              <w:ind w:left="298"/>
              <w:rPr>
                <w:sz w:val="20"/>
              </w:rPr>
            </w:pPr>
            <w:r>
              <w:rPr>
                <w:sz w:val="20"/>
              </w:rPr>
              <w:t>19</w:t>
            </w:r>
          </w:p>
        </w:tc>
        <w:tc>
          <w:tcPr>
            <w:tcW w:w="1036" w:type="dxa"/>
            <w:tcBorders>
              <w:bottom w:val="single" w:sz="8" w:space="0" w:color="000000"/>
            </w:tcBorders>
            <w:shd w:val="clear" w:color="auto" w:fill="CCEDFF"/>
          </w:tcPr>
          <w:p w14:paraId="7326C81C" w14:textId="77777777" w:rsidR="00EF3DFB" w:rsidRDefault="00EF3DFB">
            <w:pPr>
              <w:pStyle w:val="TableParagraph"/>
              <w:rPr>
                <w:sz w:val="18"/>
              </w:rPr>
            </w:pPr>
          </w:p>
        </w:tc>
        <w:tc>
          <w:tcPr>
            <w:tcW w:w="587" w:type="dxa"/>
            <w:tcBorders>
              <w:bottom w:val="single" w:sz="8" w:space="0" w:color="000000"/>
            </w:tcBorders>
            <w:shd w:val="clear" w:color="auto" w:fill="CCEDFF"/>
          </w:tcPr>
          <w:p w14:paraId="7326C81D" w14:textId="77777777" w:rsidR="00EF3DFB" w:rsidRDefault="00D27C17">
            <w:pPr>
              <w:pStyle w:val="TableParagraph"/>
              <w:spacing w:before="25" w:line="230" w:lineRule="exact"/>
              <w:ind w:left="307"/>
              <w:rPr>
                <w:sz w:val="20"/>
              </w:rPr>
            </w:pPr>
            <w:r>
              <w:rPr>
                <w:sz w:val="20"/>
              </w:rPr>
              <w:t>15</w:t>
            </w:r>
          </w:p>
        </w:tc>
      </w:tr>
      <w:tr w:rsidR="00EF3DFB" w14:paraId="7326C824" w14:textId="77777777">
        <w:trPr>
          <w:trHeight w:val="275"/>
        </w:trPr>
        <w:tc>
          <w:tcPr>
            <w:tcW w:w="6864" w:type="dxa"/>
          </w:tcPr>
          <w:p w14:paraId="7326C81F" w14:textId="77777777" w:rsidR="00EF3DFB" w:rsidRDefault="00D27C17">
            <w:pPr>
              <w:pStyle w:val="TableParagraph"/>
              <w:spacing w:line="224" w:lineRule="exact"/>
              <w:ind w:left="52"/>
              <w:rPr>
                <w:sz w:val="20"/>
              </w:rPr>
            </w:pPr>
            <w:r>
              <w:rPr>
                <w:sz w:val="20"/>
              </w:rPr>
              <w:t>Total debt</w:t>
            </w:r>
          </w:p>
        </w:tc>
        <w:tc>
          <w:tcPr>
            <w:tcW w:w="1496" w:type="dxa"/>
            <w:tcBorders>
              <w:top w:val="single" w:sz="8" w:space="0" w:color="000000"/>
            </w:tcBorders>
          </w:tcPr>
          <w:p w14:paraId="7326C820" w14:textId="77777777" w:rsidR="00EF3DFB" w:rsidRDefault="00EF3DFB">
            <w:pPr>
              <w:pStyle w:val="TableParagraph"/>
              <w:rPr>
                <w:sz w:val="18"/>
              </w:rPr>
            </w:pPr>
          </w:p>
        </w:tc>
        <w:tc>
          <w:tcPr>
            <w:tcW w:w="635" w:type="dxa"/>
            <w:tcBorders>
              <w:top w:val="single" w:sz="8" w:space="0" w:color="000000"/>
            </w:tcBorders>
          </w:tcPr>
          <w:p w14:paraId="7326C821" w14:textId="77777777" w:rsidR="00EF3DFB" w:rsidRDefault="00D27C17">
            <w:pPr>
              <w:pStyle w:val="TableParagraph"/>
              <w:spacing w:before="15"/>
              <w:ind w:left="48"/>
              <w:rPr>
                <w:sz w:val="20"/>
              </w:rPr>
            </w:pPr>
            <w:r>
              <w:rPr>
                <w:sz w:val="20"/>
              </w:rPr>
              <w:t>5,607</w:t>
            </w:r>
          </w:p>
        </w:tc>
        <w:tc>
          <w:tcPr>
            <w:tcW w:w="1036" w:type="dxa"/>
            <w:tcBorders>
              <w:top w:val="single" w:sz="8" w:space="0" w:color="000000"/>
            </w:tcBorders>
          </w:tcPr>
          <w:p w14:paraId="7326C822" w14:textId="77777777" w:rsidR="00EF3DFB" w:rsidRDefault="00EF3DFB">
            <w:pPr>
              <w:pStyle w:val="TableParagraph"/>
              <w:rPr>
                <w:sz w:val="18"/>
              </w:rPr>
            </w:pPr>
          </w:p>
        </w:tc>
        <w:tc>
          <w:tcPr>
            <w:tcW w:w="587" w:type="dxa"/>
            <w:tcBorders>
              <w:top w:val="single" w:sz="8" w:space="0" w:color="000000"/>
            </w:tcBorders>
          </w:tcPr>
          <w:p w14:paraId="7326C823" w14:textId="77777777" w:rsidR="00EF3DFB" w:rsidRDefault="00D27C17">
            <w:pPr>
              <w:pStyle w:val="TableParagraph"/>
              <w:spacing w:before="15"/>
              <w:ind w:left="57"/>
              <w:rPr>
                <w:sz w:val="20"/>
              </w:rPr>
            </w:pPr>
            <w:r>
              <w:rPr>
                <w:sz w:val="20"/>
              </w:rPr>
              <w:t>5,723</w:t>
            </w:r>
          </w:p>
        </w:tc>
      </w:tr>
      <w:tr w:rsidR="00EF3DFB" w14:paraId="7326C82A" w14:textId="77777777">
        <w:trPr>
          <w:trHeight w:val="275"/>
        </w:trPr>
        <w:tc>
          <w:tcPr>
            <w:tcW w:w="6864" w:type="dxa"/>
            <w:shd w:val="clear" w:color="auto" w:fill="CCEDFF"/>
          </w:tcPr>
          <w:p w14:paraId="7326C825" w14:textId="77777777" w:rsidR="00EF3DFB" w:rsidRDefault="00D27C17">
            <w:pPr>
              <w:pStyle w:val="TableParagraph"/>
              <w:spacing w:before="4"/>
              <w:ind w:left="52"/>
              <w:rPr>
                <w:sz w:val="20"/>
              </w:rPr>
            </w:pPr>
            <w:r>
              <w:rPr>
                <w:sz w:val="20"/>
              </w:rPr>
              <w:t>Short-term debt and current portion of long-term debt</w:t>
            </w:r>
          </w:p>
        </w:tc>
        <w:tc>
          <w:tcPr>
            <w:tcW w:w="1496" w:type="dxa"/>
            <w:tcBorders>
              <w:bottom w:val="single" w:sz="8" w:space="0" w:color="000000"/>
            </w:tcBorders>
            <w:shd w:val="clear" w:color="auto" w:fill="CCEDFF"/>
          </w:tcPr>
          <w:p w14:paraId="7326C826" w14:textId="77777777" w:rsidR="00EF3DFB" w:rsidRDefault="00EF3DFB">
            <w:pPr>
              <w:pStyle w:val="TableParagraph"/>
              <w:rPr>
                <w:sz w:val="18"/>
              </w:rPr>
            </w:pPr>
          </w:p>
        </w:tc>
        <w:tc>
          <w:tcPr>
            <w:tcW w:w="635" w:type="dxa"/>
            <w:tcBorders>
              <w:bottom w:val="single" w:sz="8" w:space="0" w:color="000000"/>
            </w:tcBorders>
            <w:shd w:val="clear" w:color="auto" w:fill="CCEDFF"/>
          </w:tcPr>
          <w:p w14:paraId="7326C827" w14:textId="77777777" w:rsidR="00EF3DFB" w:rsidRDefault="00D27C17">
            <w:pPr>
              <w:pStyle w:val="TableParagraph"/>
              <w:spacing w:before="25" w:line="230" w:lineRule="exact"/>
              <w:ind w:left="131"/>
              <w:rPr>
                <w:sz w:val="20"/>
              </w:rPr>
            </w:pPr>
            <w:r>
              <w:rPr>
                <w:sz w:val="20"/>
              </w:rPr>
              <w:t>(466)</w:t>
            </w:r>
          </w:p>
        </w:tc>
        <w:tc>
          <w:tcPr>
            <w:tcW w:w="1036" w:type="dxa"/>
            <w:tcBorders>
              <w:bottom w:val="single" w:sz="8" w:space="0" w:color="000000"/>
            </w:tcBorders>
            <w:shd w:val="clear" w:color="auto" w:fill="CCEDFF"/>
          </w:tcPr>
          <w:p w14:paraId="7326C828" w14:textId="77777777" w:rsidR="00EF3DFB" w:rsidRDefault="00EF3DFB">
            <w:pPr>
              <w:pStyle w:val="TableParagraph"/>
              <w:rPr>
                <w:sz w:val="18"/>
              </w:rPr>
            </w:pPr>
          </w:p>
        </w:tc>
        <w:tc>
          <w:tcPr>
            <w:tcW w:w="587" w:type="dxa"/>
            <w:tcBorders>
              <w:bottom w:val="single" w:sz="8" w:space="0" w:color="000000"/>
            </w:tcBorders>
            <w:shd w:val="clear" w:color="auto" w:fill="CCEDFF"/>
          </w:tcPr>
          <w:p w14:paraId="7326C829" w14:textId="77777777" w:rsidR="00EF3DFB" w:rsidRDefault="00D27C17">
            <w:pPr>
              <w:pStyle w:val="TableParagraph"/>
              <w:spacing w:before="25" w:line="230" w:lineRule="exact"/>
              <w:ind w:left="140"/>
              <w:rPr>
                <w:sz w:val="20"/>
              </w:rPr>
            </w:pPr>
            <w:r>
              <w:rPr>
                <w:sz w:val="20"/>
              </w:rPr>
              <w:t>(332)</w:t>
            </w:r>
          </w:p>
        </w:tc>
      </w:tr>
    </w:tbl>
    <w:p w14:paraId="7326C82B" w14:textId="0269B9C0" w:rsidR="00EF3DFB" w:rsidRDefault="00D27C17">
      <w:pPr>
        <w:pStyle w:val="BodyText"/>
        <w:tabs>
          <w:tab w:val="left" w:pos="7607"/>
          <w:tab w:val="left" w:pos="8598"/>
          <w:tab w:val="left" w:pos="10278"/>
        </w:tabs>
        <w:ind w:left="242"/>
        <w:jc w:val="both"/>
      </w:pPr>
      <w:r>
        <w:rPr>
          <w:noProof/>
        </w:rPr>
        <mc:AlternateContent>
          <mc:Choice Requires="wps">
            <w:drawing>
              <wp:anchor distT="0" distB="0" distL="0" distR="0" simplePos="0" relativeHeight="3088" behindDoc="0" locked="0" layoutInCell="1" allowOverlap="1" wp14:anchorId="7326D73C" wp14:editId="1AA33660">
                <wp:simplePos x="0" y="0"/>
                <wp:positionH relativeFrom="page">
                  <wp:posOffset>5191125</wp:posOffset>
                </wp:positionH>
                <wp:positionV relativeFrom="paragraph">
                  <wp:posOffset>191135</wp:posOffset>
                </wp:positionV>
                <wp:extent cx="1000125" cy="0"/>
                <wp:effectExtent l="9525" t="12700" r="9525" b="6350"/>
                <wp:wrapTopAndBottom/>
                <wp:docPr id="33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39BE" id="Line 321" o:spid="_x0000_s1026" style="position:absolute;z-index: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8.75pt,15.05pt" to="4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" strokeweight="1pt">
                <w10:wrap type="topAndBottom" anchorx="page"/>
              </v:line>
            </w:pict>
          </mc:Fallback>
        </mc:AlternateContent>
      </w:r>
      <w:r>
        <w:rPr>
          <w:noProof/>
        </w:rPr>
        <mc:AlternateContent>
          <mc:Choice Requires="wps">
            <w:drawing>
              <wp:anchor distT="0" distB="0" distL="0" distR="0" simplePos="0" relativeHeight="3112" behindDoc="0" locked="0" layoutInCell="1" allowOverlap="1" wp14:anchorId="7326D73D" wp14:editId="7ABFF02D">
                <wp:simplePos x="0" y="0"/>
                <wp:positionH relativeFrom="page">
                  <wp:posOffset>6238875</wp:posOffset>
                </wp:positionH>
                <wp:positionV relativeFrom="paragraph">
                  <wp:posOffset>191135</wp:posOffset>
                </wp:positionV>
                <wp:extent cx="1019175" cy="0"/>
                <wp:effectExtent l="9525" t="12700" r="9525" b="6350"/>
                <wp:wrapTopAndBottom/>
                <wp:docPr id="33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6ED43" id="Line 320" o:spid="_x0000_s1026" style="position:absolute;z-index:3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1.25pt,15.05pt" to="57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" strokeweight="1pt">
                <w10:wrap type="topAndBottom" anchorx="page"/>
              </v:line>
            </w:pict>
          </mc:Fallback>
        </mc:AlternateContent>
      </w:r>
      <w:r>
        <w:t>Long-term</w:t>
      </w:r>
      <w:r>
        <w:rPr>
          <w:spacing w:val="-3"/>
        </w:rPr>
        <w:t xml:space="preserve"> </w:t>
      </w:r>
      <w:r>
        <w:t>debt</w:t>
      </w:r>
      <w:r>
        <w:tab/>
      </w:r>
      <w:r>
        <w:rPr>
          <w:position w:val="-1"/>
          <w:u w:val="single"/>
        </w:rPr>
        <w:t>$</w:t>
      </w:r>
      <w:r>
        <w:rPr>
          <w:position w:val="-1"/>
          <w:u w:val="single"/>
        </w:rPr>
        <w:tab/>
        <w:t>5,141</w:t>
      </w:r>
      <w:r>
        <w:rPr>
          <w:position w:val="-1"/>
        </w:rPr>
        <w:t xml:space="preserve">   </w:t>
      </w:r>
      <w:r>
        <w:rPr>
          <w:spacing w:val="7"/>
          <w:position w:val="-1"/>
        </w:rPr>
        <w:t xml:space="preserve"> </w:t>
      </w:r>
      <w:r>
        <w:rPr>
          <w:position w:val="-1"/>
          <w:u w:val="single"/>
        </w:rPr>
        <w:t>$</w:t>
      </w:r>
      <w:r>
        <w:rPr>
          <w:position w:val="-1"/>
          <w:u w:val="single"/>
        </w:rPr>
        <w:tab/>
        <w:t>5,391</w:t>
      </w:r>
    </w:p>
    <w:p w14:paraId="7326C82C" w14:textId="77777777" w:rsidR="00EF3DFB" w:rsidRDefault="00EF3DFB">
      <w:pPr>
        <w:pStyle w:val="BodyText"/>
        <w:rPr>
          <w:sz w:val="12"/>
        </w:rPr>
      </w:pPr>
    </w:p>
    <w:p w14:paraId="7326C82D" w14:textId="77777777" w:rsidR="00EF3DFB" w:rsidRDefault="00D27C17">
      <w:pPr>
        <w:pStyle w:val="Heading2"/>
        <w:spacing w:before="91"/>
        <w:jc w:val="left"/>
      </w:pPr>
      <w:r>
        <w:t>Credit Revolver and Commercial Paper</w:t>
      </w:r>
    </w:p>
    <w:p w14:paraId="7326C82E" w14:textId="77777777" w:rsidR="00EF3DFB" w:rsidRDefault="00EF3DFB">
      <w:pPr>
        <w:pStyle w:val="BodyText"/>
        <w:rPr>
          <w:b/>
          <w:sz w:val="22"/>
        </w:rPr>
      </w:pPr>
    </w:p>
    <w:p w14:paraId="7326C82F" w14:textId="77777777" w:rsidR="00EF3DFB" w:rsidRDefault="00D27C17">
      <w:pPr>
        <w:pStyle w:val="BodyText"/>
        <w:spacing w:before="1" w:line="249" w:lineRule="auto"/>
        <w:ind w:left="190" w:right="168"/>
        <w:jc w:val="both"/>
      </w:pPr>
      <w:r>
        <w:t>On November 1, 2019, S&amp;P Global Inc. ("S&amp;P") downgraded the Company’s debt rating to “BB+” as S&amp;P believed the Company would fail to meet S&amp;P’s target debt level for 2019. In addition, on March 9, 2020, Moody’s Corporation ("Moody’s") downgraded the Compan</w:t>
      </w:r>
      <w:r>
        <w:t>y’s debt rating to “Ba1” based on a view that the Company would fail to meet Moody's target debt level for 2020. Subsequently on April 15, 2020, Fitch Ratings ("Fitch") downgraded the Company’s debt rating to "BB" as they believed the Company would fail to</w:t>
      </w:r>
      <w:r>
        <w:t xml:space="preserve"> meet Fitch's target debt level for 2020. As a result of the S&amp;P and Moody's downgrades, the Company could no longer borrow from the commercial paper market on terms it deems acceptable or favorable.</w:t>
      </w:r>
    </w:p>
    <w:p w14:paraId="7326C830" w14:textId="77777777" w:rsidR="00EF3DFB" w:rsidRDefault="00EF3DFB">
      <w:pPr>
        <w:spacing w:line="249" w:lineRule="auto"/>
        <w:jc w:val="both"/>
        <w:sectPr w:rsidR="00EF3DFB">
          <w:pgSz w:w="12240" w:h="15840"/>
          <w:pgMar w:top="920" w:right="640" w:bottom="480" w:left="620" w:header="0" w:footer="291" w:gutter="0"/>
          <w:cols w:space="720"/>
        </w:sectPr>
      </w:pPr>
    </w:p>
    <w:p w14:paraId="7326C831" w14:textId="77777777" w:rsidR="00EF3DFB" w:rsidRDefault="00D27C17">
      <w:pPr>
        <w:pStyle w:val="BodyText"/>
        <w:spacing w:before="72" w:line="249" w:lineRule="auto"/>
        <w:ind w:left="190" w:right="169"/>
        <w:jc w:val="both"/>
      </w:pPr>
      <w:r>
        <w:lastRenderedPageBreak/>
        <w:t xml:space="preserve">Previously, the Company was able to issue </w:t>
      </w:r>
      <w:r>
        <w:t>commercial paper up to a maximum of $800 million provided there was a sufficient amount available for borrowing under the Company’s $1.25 billion revolving credit facility that matures in December 2023 (“the Credit Revolver”). The Company’s ability to borr</w:t>
      </w:r>
      <w:r>
        <w:t>ow under the Credit Revolver was not affected by the downgrades. The interest rate for borrowings under the Credit Revolver is the borrowing period referenced LIBOR rate plus 127.5 basis  points.  At December 31, 2020 and 2019, the Company did not have any</w:t>
      </w:r>
      <w:r>
        <w:t xml:space="preserve"> amounts outstanding under the Credit</w:t>
      </w:r>
      <w:r>
        <w:rPr>
          <w:spacing w:val="-16"/>
        </w:rPr>
        <w:t xml:space="preserve"> </w:t>
      </w:r>
      <w:r>
        <w:t>Revolver.</w:t>
      </w:r>
    </w:p>
    <w:p w14:paraId="7326C832" w14:textId="77777777" w:rsidR="00EF3DFB" w:rsidRDefault="00EF3DFB">
      <w:pPr>
        <w:pStyle w:val="BodyText"/>
        <w:spacing w:before="10"/>
      </w:pPr>
    </w:p>
    <w:p w14:paraId="7326C833" w14:textId="77777777" w:rsidR="00EF3DFB" w:rsidRDefault="00D27C17">
      <w:pPr>
        <w:pStyle w:val="Heading2"/>
        <w:spacing w:before="1"/>
      </w:pPr>
      <w:r>
        <w:t>Senior Notes</w:t>
      </w:r>
    </w:p>
    <w:p w14:paraId="7326C834" w14:textId="77777777" w:rsidR="00EF3DFB" w:rsidRDefault="00EF3DFB">
      <w:pPr>
        <w:pStyle w:val="BodyText"/>
        <w:spacing w:before="8"/>
        <w:rPr>
          <w:b/>
          <w:sz w:val="19"/>
        </w:rPr>
      </w:pPr>
    </w:p>
    <w:p w14:paraId="7326C835" w14:textId="77777777" w:rsidR="00EF3DFB" w:rsidRDefault="00D27C17">
      <w:pPr>
        <w:pStyle w:val="BodyText"/>
        <w:spacing w:line="249" w:lineRule="auto"/>
        <w:ind w:left="190" w:right="168"/>
        <w:jc w:val="both"/>
      </w:pPr>
      <w:r>
        <w:t>In May 2020, the Company completed a registered public offering of $500 million in aggregate principal amount of 4.875% senior notes that mature in June 2025 (the “June 2025 Notes”) and received proceeds of approximately $491 million, net of fees and expen</w:t>
      </w:r>
      <w:r>
        <w:t>ses paid. The June 2025 Notes are subject to similar restrictive and financial covenants as the Company’s existing senior notes, however, they are not subject to the interest rate adjustment or coupon step up provisions of certain other notes described bel</w:t>
      </w:r>
      <w:r>
        <w:t>ow. The June 2025 Notes are redeemable in whole or in part, at the option of the Company (1) at any time prior to one month before the stated maturity at a redemption price equal to the greater of (a) 100% of the principal amount or (b) the discounted pres</w:t>
      </w:r>
      <w:r>
        <w:t>ent value of principal and interest at the Treasury Rate plus 50 basis points, plus accrued interest to but excluding the redemption date; or (2) at any time on or after one month prior to the stated maturity at a price equal to 100% of the principal amoun</w:t>
      </w:r>
      <w:r>
        <w:t>t being redeemed, plus accrued interest to but excluding the redemption date. The Company used the net proceeds from the June 2025 Notes for general corporate purposes, including repayment of outstanding borrowings under the Credit Revolver and accounts re</w:t>
      </w:r>
      <w:r>
        <w:t>ceivable securitization facility, and the redemption of the outstanding 4.70% Senior Notes due in August 2020 at maturity.</w:t>
      </w:r>
    </w:p>
    <w:p w14:paraId="7326C836" w14:textId="77777777" w:rsidR="00EF3DFB" w:rsidRDefault="00EF3DFB">
      <w:pPr>
        <w:pStyle w:val="BodyText"/>
        <w:spacing w:before="8"/>
        <w:rPr>
          <w:sz w:val="21"/>
        </w:rPr>
      </w:pPr>
    </w:p>
    <w:p w14:paraId="7326C837" w14:textId="77777777" w:rsidR="00EF3DFB" w:rsidRDefault="00D27C17">
      <w:pPr>
        <w:pStyle w:val="BodyText"/>
        <w:spacing w:before="1" w:line="249" w:lineRule="auto"/>
        <w:ind w:left="190" w:right="170"/>
        <w:jc w:val="both"/>
      </w:pPr>
      <w:r>
        <w:t>In March 2020, the Company repurchased $15 million of the 4.20% senior notes due 2026 at approximately par value. The total consider</w:t>
      </w:r>
      <w:r>
        <w:t>ation, excluding accrued interest, was approximately $15 million. As a result of the partial debt extinguishment, the Company recorded an immaterial loss.</w:t>
      </w:r>
    </w:p>
    <w:p w14:paraId="7326C838" w14:textId="77777777" w:rsidR="00EF3DFB" w:rsidRDefault="00EF3DFB">
      <w:pPr>
        <w:pStyle w:val="BodyText"/>
        <w:rPr>
          <w:sz w:val="21"/>
        </w:rPr>
      </w:pPr>
    </w:p>
    <w:p w14:paraId="7326C839" w14:textId="77777777" w:rsidR="00EF3DFB" w:rsidRDefault="00D27C17">
      <w:pPr>
        <w:pStyle w:val="BodyText"/>
        <w:spacing w:before="1" w:line="249" w:lineRule="auto"/>
        <w:ind w:left="190" w:right="168"/>
        <w:jc w:val="both"/>
      </w:pPr>
      <w:r>
        <w:t>In November 2020, the Company repurchased $300 million of the 3.85% Senior Notes due 2023 with avail</w:t>
      </w:r>
      <w:r>
        <w:t>able cash on hand. The total consideration, excluding accrued interest, was approximately $318 million. The Company recorded a loss on extinguishment of debt of $20 million as a result of the partial debt repayment.</w:t>
      </w:r>
    </w:p>
    <w:p w14:paraId="7326C83A" w14:textId="77777777" w:rsidR="00EF3DFB" w:rsidRDefault="00EF3DFB">
      <w:pPr>
        <w:pStyle w:val="BodyText"/>
        <w:rPr>
          <w:sz w:val="21"/>
        </w:rPr>
      </w:pPr>
    </w:p>
    <w:p w14:paraId="7326C83B" w14:textId="77777777" w:rsidR="00EF3DFB" w:rsidRDefault="00D27C17">
      <w:pPr>
        <w:pStyle w:val="BodyText"/>
        <w:spacing w:before="1" w:line="249" w:lineRule="auto"/>
        <w:ind w:left="190" w:right="169"/>
        <w:jc w:val="both"/>
      </w:pPr>
      <w:r>
        <w:t>On January 25, 2021, the Company delive</w:t>
      </w:r>
      <w:r>
        <w:t>red a notice of redemption to the holders of the 3.15% senior notes that will mature in April 2021 (the “April 2021 Notes”) that the Company will redeem the April 2021 Notes on March 1, 2021 (the “Redemption Date”) for a redemption price equal to 100% of t</w:t>
      </w:r>
      <w:r>
        <w:t>he current outstanding aggregate principal amount of the notes, plus accrued and unpaid interest to the Redemption</w:t>
      </w:r>
      <w:r>
        <w:rPr>
          <w:spacing w:val="-3"/>
        </w:rPr>
        <w:t xml:space="preserve"> </w:t>
      </w:r>
      <w:r>
        <w:t>Date.</w:t>
      </w:r>
    </w:p>
    <w:p w14:paraId="7326C83C" w14:textId="77777777" w:rsidR="00EF3DFB" w:rsidRDefault="00EF3DFB">
      <w:pPr>
        <w:pStyle w:val="BodyText"/>
        <w:spacing w:before="3"/>
      </w:pPr>
    </w:p>
    <w:p w14:paraId="7326C83D" w14:textId="77777777" w:rsidR="00EF3DFB" w:rsidRDefault="00D27C17">
      <w:pPr>
        <w:pStyle w:val="BodyText"/>
        <w:spacing w:line="249" w:lineRule="auto"/>
        <w:ind w:left="190" w:right="168"/>
        <w:jc w:val="both"/>
      </w:pPr>
      <w:r>
        <w:t>As a result of the aforementioned debt rating downgrades by Moody's and S&amp;P, certain of the Company’s outstanding senior notes aggrega</w:t>
      </w:r>
      <w:r>
        <w:t>ting to approximately $4.3 billion are subject to an interest rate adjustment of 25 basis points as a result of each downgrade, for a total of 50 basis points. This increase to the interest rates of each series of the Company's senior notes subject to adju</w:t>
      </w:r>
      <w:r>
        <w:t>stment, increased the Company’s interest expense for 2020 by approximately $17 million and expected to increase by approximately $21 million thereafter, on an annualized basis. The Fitch downgrade did not impact the interest rates on any of the Company's s</w:t>
      </w:r>
      <w:r>
        <w:t>enior notes.</w:t>
      </w:r>
    </w:p>
    <w:p w14:paraId="7326C83E" w14:textId="77777777" w:rsidR="00EF3DFB" w:rsidRDefault="00EF3DFB">
      <w:pPr>
        <w:pStyle w:val="BodyText"/>
        <w:rPr>
          <w:sz w:val="21"/>
        </w:rPr>
      </w:pPr>
    </w:p>
    <w:p w14:paraId="7326C83F" w14:textId="77777777" w:rsidR="00EF3DFB" w:rsidRDefault="00D27C17">
      <w:pPr>
        <w:pStyle w:val="Heading2"/>
      </w:pPr>
      <w:r>
        <w:t>Receivables Facility</w:t>
      </w:r>
    </w:p>
    <w:p w14:paraId="7326C840" w14:textId="77777777" w:rsidR="00EF3DFB" w:rsidRDefault="00EF3DFB">
      <w:pPr>
        <w:pStyle w:val="BodyText"/>
        <w:rPr>
          <w:b/>
          <w:sz w:val="22"/>
        </w:rPr>
      </w:pPr>
    </w:p>
    <w:p w14:paraId="7326C841" w14:textId="77777777" w:rsidR="00EF3DFB" w:rsidRDefault="00D27C17">
      <w:pPr>
        <w:pStyle w:val="BodyText"/>
        <w:spacing w:line="249" w:lineRule="auto"/>
        <w:ind w:left="190" w:right="168"/>
        <w:jc w:val="both"/>
      </w:pPr>
      <w:r>
        <w:t>The Company maintains an Accounts Receivable Securitization Facility (the “Securitization Facility”). The aggregate commitment under the Securitization Facility is $600 million. The Securitization Facility matures in Oct</w:t>
      </w:r>
      <w:r>
        <w:t>ober 2022 and bears interest at a margin over a variable interest rate. The maximum availability under the Securitization Facility fluctuates based on eligible accounts receivable balances. In March 2020, the Company amended its Securitization Facility wit</w:t>
      </w:r>
      <w:r>
        <w:t>h respect to certain customer receivables and to remove an originator from the Securitization Facility. At December 31, 2020, the Company did not have any amounts outstanding under the Securitization Facility.</w:t>
      </w:r>
    </w:p>
    <w:p w14:paraId="7326C842" w14:textId="77777777" w:rsidR="00EF3DFB" w:rsidRDefault="00EF3DFB">
      <w:pPr>
        <w:pStyle w:val="BodyText"/>
        <w:spacing w:before="9"/>
        <w:rPr>
          <w:sz w:val="18"/>
        </w:rPr>
      </w:pPr>
    </w:p>
    <w:p w14:paraId="7326C843" w14:textId="77777777" w:rsidR="00EF3DFB" w:rsidRDefault="00D27C17">
      <w:pPr>
        <w:pStyle w:val="Heading2"/>
      </w:pPr>
      <w:r>
        <w:t>Future Debt Maturities</w:t>
      </w:r>
    </w:p>
    <w:p w14:paraId="7326C844" w14:textId="77777777" w:rsidR="00EF3DFB" w:rsidRDefault="00EF3DFB">
      <w:pPr>
        <w:pStyle w:val="BodyText"/>
        <w:rPr>
          <w:b/>
          <w:sz w:val="22"/>
        </w:rPr>
      </w:pPr>
    </w:p>
    <w:p w14:paraId="7326C845" w14:textId="067DFE17" w:rsidR="00EF3DFB" w:rsidRDefault="00D27C17">
      <w:pPr>
        <w:pStyle w:val="BodyText"/>
        <w:ind w:left="190"/>
        <w:jc w:val="both"/>
      </w:pPr>
      <w:r>
        <w:rPr>
          <w:noProof/>
        </w:rPr>
        <mc:AlternateContent>
          <mc:Choice Requires="wps">
            <w:drawing>
              <wp:anchor distT="0" distB="0" distL="114300" distR="114300" simplePos="0" relativeHeight="502906712" behindDoc="1" locked="0" layoutInCell="1" allowOverlap="1" wp14:anchorId="7326D73E" wp14:editId="36F23F95">
                <wp:simplePos x="0" y="0"/>
                <wp:positionH relativeFrom="page">
                  <wp:posOffset>514350</wp:posOffset>
                </wp:positionH>
                <wp:positionV relativeFrom="paragraph">
                  <wp:posOffset>487680</wp:posOffset>
                </wp:positionV>
                <wp:extent cx="923925" cy="0"/>
                <wp:effectExtent l="9525" t="12700" r="9525" b="6350"/>
                <wp:wrapNone/>
                <wp:docPr id="33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0B309" id="Line 319" o:spid="_x0000_s1026" style="position:absolute;z-index:-409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38.4pt" to="113.2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" strokeweight="0">
                <w10:wrap anchorx="page"/>
              </v:line>
            </w:pict>
          </mc:Fallback>
        </mc:AlternateContent>
      </w:r>
      <w:r>
        <w:t>The Company’s debt maturities for the five years following December 31, 2020 and thereafter are as follows (in millions):</w:t>
      </w:r>
    </w:p>
    <w:p w14:paraId="7326C846" w14:textId="77777777" w:rsidR="00EF3DFB" w:rsidRDefault="00EF3DFB">
      <w:pPr>
        <w:pStyle w:val="BodyText"/>
        <w:spacing w:before="9" w:after="1"/>
        <w:rPr>
          <w:sz w:val="28"/>
        </w:rPr>
      </w:pPr>
    </w:p>
    <w:tbl>
      <w:tblPr>
        <w:tblW w:w="0" w:type="auto"/>
        <w:tblInd w:w="190" w:type="dxa"/>
        <w:tblLayout w:type="fixed"/>
        <w:tblCellMar>
          <w:left w:w="0" w:type="dxa"/>
          <w:right w:w="0" w:type="dxa"/>
        </w:tblCellMar>
        <w:tblLook w:val="01E0" w:firstRow="1" w:lastRow="1" w:firstColumn="1" w:lastColumn="1" w:noHBand="0" w:noVBand="0"/>
      </w:tblPr>
      <w:tblGrid>
        <w:gridCol w:w="1455"/>
        <w:gridCol w:w="1549"/>
        <w:gridCol w:w="1605"/>
        <w:gridCol w:w="1492"/>
        <w:gridCol w:w="1436"/>
        <w:gridCol w:w="1657"/>
        <w:gridCol w:w="1425"/>
      </w:tblGrid>
      <w:tr w:rsidR="00EF3DFB" w14:paraId="7326C84E" w14:textId="77777777">
        <w:trPr>
          <w:trHeight w:val="196"/>
        </w:trPr>
        <w:tc>
          <w:tcPr>
            <w:tcW w:w="1455" w:type="dxa"/>
            <w:tcBorders>
              <w:bottom w:val="single" w:sz="8" w:space="0" w:color="000000"/>
            </w:tcBorders>
          </w:tcPr>
          <w:p w14:paraId="7326C847" w14:textId="77777777" w:rsidR="00EF3DFB" w:rsidRDefault="00D27C17">
            <w:pPr>
              <w:pStyle w:val="TableParagraph"/>
              <w:spacing w:line="177" w:lineRule="exact"/>
              <w:ind w:left="489" w:right="489"/>
              <w:jc w:val="center"/>
              <w:rPr>
                <w:b/>
                <w:sz w:val="16"/>
              </w:rPr>
            </w:pPr>
            <w:r>
              <w:rPr>
                <w:b/>
                <w:sz w:val="16"/>
              </w:rPr>
              <w:t>2021</w:t>
            </w:r>
          </w:p>
        </w:tc>
        <w:tc>
          <w:tcPr>
            <w:tcW w:w="1549" w:type="dxa"/>
            <w:tcBorders>
              <w:bottom w:val="single" w:sz="8" w:space="0" w:color="000000"/>
            </w:tcBorders>
          </w:tcPr>
          <w:p w14:paraId="7326C848" w14:textId="77777777" w:rsidR="00EF3DFB" w:rsidRDefault="00D27C17">
            <w:pPr>
              <w:pStyle w:val="TableParagraph"/>
              <w:spacing w:line="177" w:lineRule="exact"/>
              <w:ind w:left="642"/>
              <w:rPr>
                <w:b/>
                <w:sz w:val="16"/>
              </w:rPr>
            </w:pPr>
            <w:r>
              <w:rPr>
                <w:b/>
                <w:sz w:val="16"/>
              </w:rPr>
              <w:t>2022</w:t>
            </w:r>
          </w:p>
        </w:tc>
        <w:tc>
          <w:tcPr>
            <w:tcW w:w="1605" w:type="dxa"/>
            <w:tcBorders>
              <w:bottom w:val="single" w:sz="8" w:space="0" w:color="000000"/>
            </w:tcBorders>
          </w:tcPr>
          <w:p w14:paraId="7326C849" w14:textId="77777777" w:rsidR="00EF3DFB" w:rsidRDefault="00D27C17">
            <w:pPr>
              <w:pStyle w:val="TableParagraph"/>
              <w:spacing w:line="177" w:lineRule="exact"/>
              <w:ind w:left="471" w:right="507"/>
              <w:jc w:val="center"/>
              <w:rPr>
                <w:b/>
                <w:sz w:val="16"/>
              </w:rPr>
            </w:pPr>
            <w:r>
              <w:rPr>
                <w:b/>
                <w:sz w:val="16"/>
              </w:rPr>
              <w:t>2023</w:t>
            </w:r>
          </w:p>
        </w:tc>
        <w:tc>
          <w:tcPr>
            <w:tcW w:w="1492" w:type="dxa"/>
            <w:tcBorders>
              <w:bottom w:val="single" w:sz="8" w:space="0" w:color="000000"/>
            </w:tcBorders>
          </w:tcPr>
          <w:p w14:paraId="7326C84A" w14:textId="77777777" w:rsidR="00EF3DFB" w:rsidRDefault="00D27C17">
            <w:pPr>
              <w:pStyle w:val="TableParagraph"/>
              <w:spacing w:line="177" w:lineRule="exact"/>
              <w:ind w:left="548"/>
              <w:rPr>
                <w:b/>
                <w:sz w:val="16"/>
              </w:rPr>
            </w:pPr>
            <w:r>
              <w:rPr>
                <w:b/>
                <w:sz w:val="16"/>
              </w:rPr>
              <w:t>2024</w:t>
            </w:r>
          </w:p>
        </w:tc>
        <w:tc>
          <w:tcPr>
            <w:tcW w:w="1436" w:type="dxa"/>
            <w:tcBorders>
              <w:bottom w:val="single" w:sz="8" w:space="0" w:color="000000"/>
            </w:tcBorders>
          </w:tcPr>
          <w:p w14:paraId="7326C84B" w14:textId="77777777" w:rsidR="00EF3DFB" w:rsidRDefault="00D27C17">
            <w:pPr>
              <w:pStyle w:val="TableParagraph"/>
              <w:spacing w:line="177" w:lineRule="exact"/>
              <w:ind w:right="527"/>
              <w:jc w:val="right"/>
              <w:rPr>
                <w:b/>
                <w:sz w:val="16"/>
              </w:rPr>
            </w:pPr>
            <w:r>
              <w:rPr>
                <w:b/>
                <w:sz w:val="16"/>
              </w:rPr>
              <w:t>2025</w:t>
            </w:r>
          </w:p>
        </w:tc>
        <w:tc>
          <w:tcPr>
            <w:tcW w:w="1657" w:type="dxa"/>
            <w:tcBorders>
              <w:bottom w:val="single" w:sz="8" w:space="0" w:color="000000"/>
            </w:tcBorders>
          </w:tcPr>
          <w:p w14:paraId="7326C84C" w14:textId="77777777" w:rsidR="00EF3DFB" w:rsidRDefault="00D27C17">
            <w:pPr>
              <w:pStyle w:val="TableParagraph"/>
              <w:spacing w:line="177" w:lineRule="exact"/>
              <w:ind w:left="451" w:right="427"/>
              <w:jc w:val="center"/>
              <w:rPr>
                <w:b/>
                <w:sz w:val="16"/>
              </w:rPr>
            </w:pPr>
            <w:r>
              <w:rPr>
                <w:b/>
                <w:sz w:val="16"/>
              </w:rPr>
              <w:t>Thereafter</w:t>
            </w:r>
          </w:p>
        </w:tc>
        <w:tc>
          <w:tcPr>
            <w:tcW w:w="1425" w:type="dxa"/>
            <w:tcBorders>
              <w:bottom w:val="single" w:sz="8" w:space="0" w:color="000000"/>
            </w:tcBorders>
          </w:tcPr>
          <w:p w14:paraId="7326C84D" w14:textId="77777777" w:rsidR="00EF3DFB" w:rsidRDefault="00D27C17">
            <w:pPr>
              <w:pStyle w:val="TableParagraph"/>
              <w:spacing w:line="177" w:lineRule="exact"/>
              <w:ind w:left="395" w:right="405"/>
              <w:jc w:val="center"/>
              <w:rPr>
                <w:b/>
                <w:sz w:val="16"/>
              </w:rPr>
            </w:pPr>
            <w:r>
              <w:rPr>
                <w:b/>
                <w:sz w:val="16"/>
              </w:rPr>
              <w:t>Total</w:t>
            </w:r>
          </w:p>
        </w:tc>
      </w:tr>
      <w:tr w:rsidR="00EF3DFB" w14:paraId="7326C856" w14:textId="77777777">
        <w:trPr>
          <w:trHeight w:val="275"/>
        </w:trPr>
        <w:tc>
          <w:tcPr>
            <w:tcW w:w="1455" w:type="dxa"/>
            <w:tcBorders>
              <w:top w:val="single" w:sz="8" w:space="0" w:color="000000"/>
            </w:tcBorders>
            <w:shd w:val="clear" w:color="auto" w:fill="CCEDFF"/>
          </w:tcPr>
          <w:p w14:paraId="7326C84F" w14:textId="77777777" w:rsidR="00EF3DFB" w:rsidRDefault="00D27C17">
            <w:pPr>
              <w:pStyle w:val="TableParagraph"/>
              <w:spacing w:line="224" w:lineRule="exact"/>
              <w:ind w:left="526" w:right="489"/>
              <w:jc w:val="center"/>
              <w:rPr>
                <w:sz w:val="20"/>
              </w:rPr>
            </w:pPr>
            <w:r>
              <w:rPr>
                <w:sz w:val="20"/>
              </w:rPr>
              <w:t>$465</w:t>
            </w:r>
          </w:p>
        </w:tc>
        <w:tc>
          <w:tcPr>
            <w:tcW w:w="1549" w:type="dxa"/>
            <w:tcBorders>
              <w:top w:val="single" w:sz="8" w:space="0" w:color="000000"/>
            </w:tcBorders>
            <w:shd w:val="clear" w:color="auto" w:fill="CCEDFF"/>
          </w:tcPr>
          <w:p w14:paraId="7326C850" w14:textId="77777777" w:rsidR="00EF3DFB" w:rsidRDefault="00D27C17">
            <w:pPr>
              <w:pStyle w:val="TableParagraph"/>
              <w:spacing w:before="15"/>
              <w:ind w:left="621"/>
              <w:rPr>
                <w:sz w:val="20"/>
              </w:rPr>
            </w:pPr>
            <w:r>
              <w:rPr>
                <w:sz w:val="20"/>
              </w:rPr>
              <w:t>$253</w:t>
            </w:r>
          </w:p>
        </w:tc>
        <w:tc>
          <w:tcPr>
            <w:tcW w:w="1605" w:type="dxa"/>
            <w:tcBorders>
              <w:top w:val="single" w:sz="8" w:space="0" w:color="000000"/>
            </w:tcBorders>
            <w:shd w:val="clear" w:color="auto" w:fill="CCEDFF"/>
          </w:tcPr>
          <w:p w14:paraId="7326C851" w14:textId="77777777" w:rsidR="00EF3DFB" w:rsidRDefault="00D27C17">
            <w:pPr>
              <w:pStyle w:val="TableParagraph"/>
              <w:spacing w:before="15"/>
              <w:ind w:left="507" w:right="507"/>
              <w:jc w:val="center"/>
              <w:rPr>
                <w:sz w:val="20"/>
              </w:rPr>
            </w:pPr>
            <w:r>
              <w:rPr>
                <w:sz w:val="20"/>
              </w:rPr>
              <w:t>$1,095</w:t>
            </w:r>
          </w:p>
        </w:tc>
        <w:tc>
          <w:tcPr>
            <w:tcW w:w="1492" w:type="dxa"/>
            <w:tcBorders>
              <w:top w:val="single" w:sz="8" w:space="0" w:color="000000"/>
            </w:tcBorders>
            <w:shd w:val="clear" w:color="auto" w:fill="CCEDFF"/>
          </w:tcPr>
          <w:p w14:paraId="7326C852" w14:textId="77777777" w:rsidR="00EF3DFB" w:rsidRDefault="00D27C17">
            <w:pPr>
              <w:pStyle w:val="TableParagraph"/>
              <w:spacing w:before="15"/>
              <w:ind w:left="527"/>
              <w:rPr>
                <w:sz w:val="20"/>
              </w:rPr>
            </w:pPr>
            <w:r>
              <w:rPr>
                <w:sz w:val="20"/>
              </w:rPr>
              <w:t>$201</w:t>
            </w:r>
          </w:p>
        </w:tc>
        <w:tc>
          <w:tcPr>
            <w:tcW w:w="1436" w:type="dxa"/>
            <w:tcBorders>
              <w:top w:val="single" w:sz="8" w:space="0" w:color="000000"/>
            </w:tcBorders>
            <w:shd w:val="clear" w:color="auto" w:fill="CCEDFF"/>
          </w:tcPr>
          <w:p w14:paraId="7326C853" w14:textId="77777777" w:rsidR="00EF3DFB" w:rsidRDefault="00D27C17">
            <w:pPr>
              <w:pStyle w:val="TableParagraph"/>
              <w:spacing w:before="15"/>
              <w:ind w:right="468"/>
              <w:jc w:val="right"/>
              <w:rPr>
                <w:sz w:val="20"/>
              </w:rPr>
            </w:pPr>
            <w:r>
              <w:rPr>
                <w:sz w:val="20"/>
              </w:rPr>
              <w:t>$547</w:t>
            </w:r>
          </w:p>
        </w:tc>
        <w:tc>
          <w:tcPr>
            <w:tcW w:w="1657" w:type="dxa"/>
            <w:tcBorders>
              <w:top w:val="single" w:sz="8" w:space="0" w:color="000000"/>
            </w:tcBorders>
            <w:shd w:val="clear" w:color="auto" w:fill="CCEDFF"/>
          </w:tcPr>
          <w:p w14:paraId="7326C854" w14:textId="77777777" w:rsidR="00EF3DFB" w:rsidRDefault="00D27C17">
            <w:pPr>
              <w:pStyle w:val="TableParagraph"/>
              <w:spacing w:before="15"/>
              <w:ind w:left="451" w:right="390"/>
              <w:jc w:val="center"/>
              <w:rPr>
                <w:sz w:val="20"/>
              </w:rPr>
            </w:pPr>
            <w:r>
              <w:rPr>
                <w:sz w:val="20"/>
              </w:rPr>
              <w:t>$3,072</w:t>
            </w:r>
          </w:p>
        </w:tc>
        <w:tc>
          <w:tcPr>
            <w:tcW w:w="1425" w:type="dxa"/>
            <w:tcBorders>
              <w:top w:val="single" w:sz="8" w:space="0" w:color="000000"/>
            </w:tcBorders>
            <w:shd w:val="clear" w:color="auto" w:fill="CCEDFF"/>
          </w:tcPr>
          <w:p w14:paraId="7326C855" w14:textId="77777777" w:rsidR="00EF3DFB" w:rsidRDefault="00D27C17">
            <w:pPr>
              <w:pStyle w:val="TableParagraph"/>
              <w:spacing w:before="15"/>
              <w:ind w:left="429" w:right="405"/>
              <w:jc w:val="center"/>
              <w:rPr>
                <w:sz w:val="20"/>
              </w:rPr>
            </w:pPr>
            <w:r>
              <w:rPr>
                <w:sz w:val="20"/>
              </w:rPr>
              <w:t>$5,633</w:t>
            </w:r>
          </w:p>
        </w:tc>
      </w:tr>
    </w:tbl>
    <w:p w14:paraId="7326C857" w14:textId="77777777" w:rsidR="00EF3DFB" w:rsidRDefault="00EF3DFB">
      <w:pPr>
        <w:jc w:val="center"/>
        <w:rPr>
          <w:sz w:val="20"/>
        </w:rPr>
        <w:sectPr w:rsidR="00EF3DFB">
          <w:pgSz w:w="12240" w:h="15840"/>
          <w:pgMar w:top="840" w:right="640" w:bottom="480" w:left="620" w:header="0" w:footer="291" w:gutter="0"/>
          <w:cols w:space="720"/>
        </w:sectPr>
      </w:pPr>
    </w:p>
    <w:p w14:paraId="7326C858" w14:textId="77777777" w:rsidR="00EF3DFB" w:rsidRDefault="00D27C17">
      <w:pPr>
        <w:pStyle w:val="Heading2"/>
        <w:spacing w:before="68"/>
        <w:jc w:val="left"/>
      </w:pPr>
      <w:r>
        <w:lastRenderedPageBreak/>
        <w:t>Other</w:t>
      </w:r>
    </w:p>
    <w:p w14:paraId="7326C859" w14:textId="77777777" w:rsidR="00EF3DFB" w:rsidRDefault="00EF3DFB">
      <w:pPr>
        <w:pStyle w:val="BodyText"/>
        <w:rPr>
          <w:b/>
          <w:sz w:val="22"/>
        </w:rPr>
      </w:pPr>
    </w:p>
    <w:p w14:paraId="7326C85A" w14:textId="77777777" w:rsidR="00EF3DFB" w:rsidRDefault="00D27C17">
      <w:pPr>
        <w:pStyle w:val="BodyText"/>
        <w:spacing w:before="1" w:line="249" w:lineRule="auto"/>
        <w:ind w:left="190" w:right="170"/>
        <w:jc w:val="both"/>
      </w:pPr>
      <w:r>
        <w:t>In connection with the ATP, the Company completed the sale of several businesses during 2019. In 2019, the Company sold: its Process Solutions business, Rexair, The Playing Cards Company and other related subsidiaries. As a result of these transactions, th</w:t>
      </w:r>
      <w:r>
        <w:t>e Company received gross proceeds of $996 million in 2019, most of which was used to pay down debt.</w:t>
      </w:r>
    </w:p>
    <w:p w14:paraId="7326C85B" w14:textId="77777777" w:rsidR="00EF3DFB" w:rsidRDefault="00EF3DFB">
      <w:pPr>
        <w:pStyle w:val="BodyText"/>
        <w:rPr>
          <w:sz w:val="21"/>
        </w:rPr>
      </w:pPr>
    </w:p>
    <w:p w14:paraId="7326C85C" w14:textId="77777777" w:rsidR="00EF3DFB" w:rsidRDefault="00D27C17">
      <w:pPr>
        <w:pStyle w:val="BodyText"/>
        <w:spacing w:before="1" w:line="249" w:lineRule="auto"/>
        <w:ind w:left="190" w:right="170"/>
        <w:jc w:val="both"/>
      </w:pPr>
      <w:r>
        <w:t>The indentures governing the Company’s senior notes contain usual and customary nonfinancial covenants. The Company’s borrowing arrangements other than the</w:t>
      </w:r>
      <w:r>
        <w:t xml:space="preserve"> senior notes contain usual and customary nonfinancial covenants and certain financial covenants, including minimum interest coverage and maximum debt-to-total-capitalization ratios.</w:t>
      </w:r>
    </w:p>
    <w:p w14:paraId="7326C85D" w14:textId="77777777" w:rsidR="00EF3DFB" w:rsidRDefault="00EF3DFB">
      <w:pPr>
        <w:pStyle w:val="BodyText"/>
        <w:rPr>
          <w:sz w:val="21"/>
        </w:rPr>
      </w:pPr>
    </w:p>
    <w:p w14:paraId="7326C85E" w14:textId="77777777" w:rsidR="00EF3DFB" w:rsidRDefault="00D27C17">
      <w:pPr>
        <w:pStyle w:val="BodyText"/>
        <w:spacing w:before="1" w:line="249" w:lineRule="auto"/>
        <w:ind w:left="190" w:right="248"/>
        <w:jc w:val="both"/>
      </w:pPr>
      <w:r>
        <w:t>At</w:t>
      </w:r>
      <w:r>
        <w:rPr>
          <w:spacing w:val="-4"/>
        </w:rPr>
        <w:t xml:space="preserve"> </w:t>
      </w:r>
      <w:r>
        <w:t>December</w:t>
      </w:r>
      <w:r>
        <w:rPr>
          <w:spacing w:val="-3"/>
        </w:rPr>
        <w:t xml:space="preserve"> </w:t>
      </w:r>
      <w:r>
        <w:t>31,</w:t>
      </w:r>
      <w:r>
        <w:rPr>
          <w:spacing w:val="-3"/>
        </w:rPr>
        <w:t xml:space="preserve"> </w:t>
      </w:r>
      <w:r>
        <w:t>2020</w:t>
      </w:r>
      <w:r>
        <w:rPr>
          <w:spacing w:val="-3"/>
        </w:rPr>
        <w:t xml:space="preserve"> </w:t>
      </w:r>
      <w:r>
        <w:t>and</w:t>
      </w:r>
      <w:r>
        <w:rPr>
          <w:spacing w:val="-3"/>
        </w:rPr>
        <w:t xml:space="preserve"> </w:t>
      </w:r>
      <w:r>
        <w:t>2019,</w:t>
      </w:r>
      <w:r>
        <w:rPr>
          <w:spacing w:val="-3"/>
        </w:rPr>
        <w:t xml:space="preserve"> </w:t>
      </w:r>
      <w:r>
        <w:t>unamortized</w:t>
      </w:r>
      <w:r>
        <w:rPr>
          <w:spacing w:val="-3"/>
        </w:rPr>
        <w:t xml:space="preserve"> </w:t>
      </w:r>
      <w:r>
        <w:t>deferred</w:t>
      </w:r>
      <w:r>
        <w:rPr>
          <w:spacing w:val="-3"/>
        </w:rPr>
        <w:t xml:space="preserve"> </w:t>
      </w:r>
      <w:r>
        <w:t>debt</w:t>
      </w:r>
      <w:r>
        <w:rPr>
          <w:spacing w:val="-4"/>
        </w:rPr>
        <w:t xml:space="preserve"> </w:t>
      </w:r>
      <w:r>
        <w:t>issue</w:t>
      </w:r>
      <w:r>
        <w:rPr>
          <w:spacing w:val="-4"/>
        </w:rPr>
        <w:t xml:space="preserve"> </w:t>
      </w:r>
      <w:r>
        <w:t>costs</w:t>
      </w:r>
      <w:r>
        <w:rPr>
          <w:spacing w:val="-4"/>
        </w:rPr>
        <w:t xml:space="preserve"> </w:t>
      </w:r>
      <w:r>
        <w:t>wer</w:t>
      </w:r>
      <w:r>
        <w:t>e</w:t>
      </w:r>
      <w:r>
        <w:rPr>
          <w:spacing w:val="-4"/>
        </w:rPr>
        <w:t xml:space="preserve"> </w:t>
      </w:r>
      <w:r>
        <w:t>$29</w:t>
      </w:r>
      <w:r>
        <w:rPr>
          <w:spacing w:val="-3"/>
        </w:rPr>
        <w:t xml:space="preserve"> </w:t>
      </w:r>
      <w:r>
        <w:t>million</w:t>
      </w:r>
      <w:r>
        <w:rPr>
          <w:spacing w:val="-3"/>
        </w:rPr>
        <w:t xml:space="preserve"> </w:t>
      </w:r>
      <w:r>
        <w:t>and</w:t>
      </w:r>
      <w:r>
        <w:rPr>
          <w:spacing w:val="-3"/>
        </w:rPr>
        <w:t xml:space="preserve"> </w:t>
      </w:r>
      <w:r>
        <w:t>$33</w:t>
      </w:r>
      <w:r>
        <w:rPr>
          <w:spacing w:val="-3"/>
        </w:rPr>
        <w:t xml:space="preserve"> </w:t>
      </w:r>
      <w:r>
        <w:t>million,</w:t>
      </w:r>
      <w:r>
        <w:rPr>
          <w:spacing w:val="-3"/>
        </w:rPr>
        <w:t xml:space="preserve"> </w:t>
      </w:r>
      <w:r>
        <w:t>respectively.</w:t>
      </w:r>
      <w:r>
        <w:rPr>
          <w:spacing w:val="-3"/>
        </w:rPr>
        <w:t xml:space="preserve"> </w:t>
      </w:r>
      <w:r>
        <w:t>These</w:t>
      </w:r>
      <w:r>
        <w:rPr>
          <w:spacing w:val="-4"/>
        </w:rPr>
        <w:t xml:space="preserve"> </w:t>
      </w:r>
      <w:r>
        <w:t>costs are included in total debt and are being amortized over the respective terms of the underlying</w:t>
      </w:r>
      <w:r>
        <w:rPr>
          <w:spacing w:val="-17"/>
        </w:rPr>
        <w:t xml:space="preserve"> </w:t>
      </w:r>
      <w:r>
        <w:t>debt.</w:t>
      </w:r>
    </w:p>
    <w:p w14:paraId="7326C85F" w14:textId="77777777" w:rsidR="00EF3DFB" w:rsidRDefault="00EF3DFB">
      <w:pPr>
        <w:pStyle w:val="BodyText"/>
        <w:rPr>
          <w:sz w:val="21"/>
        </w:rPr>
      </w:pPr>
    </w:p>
    <w:p w14:paraId="7326C860" w14:textId="77777777" w:rsidR="00EF3DFB" w:rsidRDefault="00D27C17">
      <w:pPr>
        <w:pStyle w:val="BodyText"/>
        <w:ind w:left="190"/>
        <w:jc w:val="both"/>
      </w:pPr>
      <w:r>
        <w:t>The fair values of the Company’s senior notes are based on quoted market prices and are as follow</w:t>
      </w:r>
      <w:r>
        <w:t>s at December 31, (in millions):</w:t>
      </w:r>
    </w:p>
    <w:p w14:paraId="7326C861" w14:textId="77777777" w:rsidR="00EF3DFB" w:rsidRDefault="00EF3DFB">
      <w:pPr>
        <w:pStyle w:val="BodyText"/>
        <w:rPr>
          <w:sz w:val="16"/>
        </w:rPr>
      </w:pPr>
    </w:p>
    <w:p w14:paraId="7326C862" w14:textId="77777777" w:rsidR="00EF3DFB" w:rsidRDefault="00D27C17">
      <w:pPr>
        <w:tabs>
          <w:tab w:val="left" w:pos="7909"/>
        </w:tabs>
        <w:spacing w:after="19"/>
        <w:ind w:left="5105"/>
        <w:jc w:val="center"/>
        <w:rPr>
          <w:b/>
          <w:sz w:val="16"/>
        </w:rPr>
      </w:pPr>
      <w:r>
        <w:rPr>
          <w:b/>
          <w:sz w:val="16"/>
        </w:rPr>
        <w:t>2020</w:t>
      </w:r>
      <w:r>
        <w:rPr>
          <w:b/>
          <w:sz w:val="16"/>
        </w:rPr>
        <w:tab/>
        <w:t>2019</w:t>
      </w:r>
    </w:p>
    <w:p w14:paraId="7326C863" w14:textId="2FF62C7A" w:rsidR="00EF3DFB" w:rsidRDefault="00D27C17">
      <w:pPr>
        <w:spacing w:line="20" w:lineRule="exact"/>
        <w:ind w:left="5265"/>
        <w:rPr>
          <w:sz w:val="2"/>
        </w:rPr>
      </w:pPr>
      <w:r>
        <w:rPr>
          <w:noProof/>
          <w:sz w:val="2"/>
        </w:rPr>
        <mc:AlternateContent>
          <mc:Choice Requires="wpg">
            <w:drawing>
              <wp:inline distT="0" distB="0" distL="0" distR="0" wp14:anchorId="7326D73F" wp14:editId="334D1A49">
                <wp:extent cx="1733550" cy="12700"/>
                <wp:effectExtent l="12700" t="6350" r="6350" b="0"/>
                <wp:docPr id="333"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2700"/>
                          <a:chOff x="0" y="0"/>
                          <a:chExt cx="2730" cy="20"/>
                        </a:xfrm>
                      </wpg:grpSpPr>
                      <wps:wsp>
                        <wps:cNvPr id="334" name="Line 318"/>
                        <wps:cNvCnPr>
                          <a:cxnSpLocks noChangeShapeType="1"/>
                        </wps:cNvCnPr>
                        <wps:spPr bwMode="auto">
                          <a:xfrm>
                            <a:off x="0" y="10"/>
                            <a:ext cx="27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17"/>
                        <wps:cNvCnPr>
                          <a:cxnSpLocks noChangeShapeType="1"/>
                        </wps:cNvCnPr>
                        <wps:spPr bwMode="auto">
                          <a:xfrm>
                            <a:off x="0" y="10"/>
                            <a:ext cx="27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D229B" id="Group 316" o:spid="_x0000_s1026" style="width:136.5pt;height:1pt;mso-position-horizontal-relative:char;mso-position-vertical-relative:line" coordsize="27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">
                <v:line id="Line 318" o:spid="_x0000_s1027" style="position:absolute;visibility:visible;mso-wrap-style:square" from="0,10" to="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line id="Line 317" o:spid="_x0000_s1028" style="position:absolute;visibility:visible;mso-wrap-style:square" from="0,10" to="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41" wp14:editId="0C778BE0">
                <wp:extent cx="1733550" cy="12700"/>
                <wp:effectExtent l="12700" t="6350" r="6350" b="0"/>
                <wp:docPr id="330"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2700"/>
                          <a:chOff x="0" y="0"/>
                          <a:chExt cx="2730" cy="20"/>
                        </a:xfrm>
                      </wpg:grpSpPr>
                      <wps:wsp>
                        <wps:cNvPr id="331" name="Line 315"/>
                        <wps:cNvCnPr>
                          <a:cxnSpLocks noChangeShapeType="1"/>
                        </wps:cNvCnPr>
                        <wps:spPr bwMode="auto">
                          <a:xfrm>
                            <a:off x="0" y="10"/>
                            <a:ext cx="27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14"/>
                        <wps:cNvCnPr>
                          <a:cxnSpLocks noChangeShapeType="1"/>
                        </wps:cNvCnPr>
                        <wps:spPr bwMode="auto">
                          <a:xfrm>
                            <a:off x="0" y="10"/>
                            <a:ext cx="27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DAF171" id="Group 313" o:spid="_x0000_s1026" style="width:136.5pt;height:1pt;mso-position-horizontal-relative:char;mso-position-vertical-relative:line" coordsize="27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">
                <v:line id="Line 315" o:spid="_x0000_s1027" style="position:absolute;visibility:visible;mso-wrap-style:square" from="0,10" to="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9HxAAAANwAAAAPAAAAZHJzL2Rvd25yZXYueG1sRI9Pa8JA&#10;FMTvBb/D8gRvdZNK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DJif0fEAAAA3AAAAA8A&#10;AAAAAAAAAAAAAAAABwIAAGRycy9kb3ducmV2LnhtbFBLBQYAAAAAAwADALcAAAD4AgAAAAA=&#10;" strokeweight="0"/>
                <v:line id="Line 314" o:spid="_x0000_s1028" style="position:absolute;visibility:visible;mso-wrap-style:square" from="0,10" to="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" strokeweight="1pt"/>
                <w10:anchorlock/>
              </v:group>
            </w:pict>
          </mc:Fallback>
        </mc:AlternateContent>
      </w:r>
    </w:p>
    <w:p w14:paraId="7326C864" w14:textId="7ABDA2A3" w:rsidR="00EF3DFB" w:rsidRDefault="00D27C17">
      <w:pPr>
        <w:tabs>
          <w:tab w:val="left" w:pos="6500"/>
          <w:tab w:val="left" w:pos="7933"/>
          <w:tab w:val="left" w:pos="9305"/>
        </w:tabs>
        <w:spacing w:before="16"/>
        <w:ind w:left="5128"/>
        <w:jc w:val="center"/>
        <w:rPr>
          <w:b/>
          <w:sz w:val="16"/>
        </w:rPr>
      </w:pPr>
      <w:r>
        <w:rPr>
          <w:noProof/>
        </w:rPr>
        <mc:AlternateContent>
          <mc:Choice Requires="wps">
            <w:drawing>
              <wp:anchor distT="0" distB="0" distL="0" distR="0" simplePos="0" relativeHeight="3208" behindDoc="0" locked="0" layoutInCell="1" allowOverlap="1" wp14:anchorId="7326D743" wp14:editId="74E47085">
                <wp:simplePos x="0" y="0"/>
                <wp:positionH relativeFrom="page">
                  <wp:posOffset>514350</wp:posOffset>
                </wp:positionH>
                <wp:positionV relativeFrom="paragraph">
                  <wp:posOffset>152400</wp:posOffset>
                </wp:positionV>
                <wp:extent cx="6743700" cy="174625"/>
                <wp:effectExtent l="0" t="0" r="0" b="0"/>
                <wp:wrapTopAndBottom/>
                <wp:docPr id="329"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7462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D939" w14:textId="77777777" w:rsidR="00EF3DFB" w:rsidRDefault="00D27C17">
                            <w:pPr>
                              <w:pStyle w:val="BodyText"/>
                              <w:tabs>
                                <w:tab w:val="left" w:pos="5137"/>
                                <w:tab w:val="left" w:pos="5873"/>
                                <w:tab w:val="left" w:pos="6532"/>
                                <w:tab w:val="left" w:pos="7283"/>
                                <w:tab w:val="left" w:pos="7942"/>
                                <w:tab w:val="left" w:pos="8678"/>
                                <w:tab w:val="left" w:pos="9337"/>
                                <w:tab w:val="left" w:pos="10088"/>
                              </w:tabs>
                              <w:spacing w:line="245" w:lineRule="exact"/>
                              <w:ind w:left="52"/>
                            </w:pPr>
                            <w:r>
                              <w:rPr>
                                <w:position w:val="2"/>
                              </w:rPr>
                              <w:t>Senior</w:t>
                            </w:r>
                            <w:r>
                              <w:rPr>
                                <w:spacing w:val="-2"/>
                                <w:position w:val="2"/>
                              </w:rPr>
                              <w:t xml:space="preserve"> </w:t>
                            </w:r>
                            <w:r>
                              <w:rPr>
                                <w:position w:val="2"/>
                              </w:rPr>
                              <w:t>notes</w:t>
                            </w:r>
                            <w:r>
                              <w:rPr>
                                <w:position w:val="2"/>
                              </w:rPr>
                              <w:tab/>
                            </w:r>
                            <w:r>
                              <w:t>$</w:t>
                            </w:r>
                            <w:r>
                              <w:tab/>
                              <w:t>6,277</w:t>
                            </w:r>
                            <w:r>
                              <w:tab/>
                              <w:t>$</w:t>
                            </w:r>
                            <w:r>
                              <w:tab/>
                              <w:t>5,588</w:t>
                            </w:r>
                            <w:r>
                              <w:tab/>
                              <w:t>$</w:t>
                            </w:r>
                            <w:r>
                              <w:tab/>
                              <w:t>5,990</w:t>
                            </w:r>
                            <w:r>
                              <w:tab/>
                              <w:t>$</w:t>
                            </w:r>
                            <w:r>
                              <w:tab/>
                              <w:t>5,683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43" id="Text Box 312" o:spid="_x0000_s1037" type="#_x0000_t202" style="position:absolute;left:0;text-align:left;margin-left:40.5pt;margin-top:12pt;width:531pt;height:13.75pt;z-index:3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" fillcolor="#ccedff" stroked="f">
                <v:textbox inset="0,0,0,0">
                  <w:txbxContent>
                    <w:p w14:paraId="7326D939" w14:textId="77777777" w:rsidR="00EF3DFB" w:rsidRDefault="00D27C17">
                      <w:pPr>
                        <w:pStyle w:val="BodyText"/>
                        <w:tabs>
                          <w:tab w:val="left" w:pos="5137"/>
                          <w:tab w:val="left" w:pos="5873"/>
                          <w:tab w:val="left" w:pos="6532"/>
                          <w:tab w:val="left" w:pos="7283"/>
                          <w:tab w:val="left" w:pos="7942"/>
                          <w:tab w:val="left" w:pos="8678"/>
                          <w:tab w:val="left" w:pos="9337"/>
                          <w:tab w:val="left" w:pos="10088"/>
                        </w:tabs>
                        <w:spacing w:line="245" w:lineRule="exact"/>
                        <w:ind w:left="52"/>
                      </w:pPr>
                      <w:r>
                        <w:rPr>
                          <w:position w:val="2"/>
                        </w:rPr>
                        <w:t>Senior</w:t>
                      </w:r>
                      <w:r>
                        <w:rPr>
                          <w:spacing w:val="-2"/>
                          <w:position w:val="2"/>
                        </w:rPr>
                        <w:t xml:space="preserve"> </w:t>
                      </w:r>
                      <w:r>
                        <w:rPr>
                          <w:position w:val="2"/>
                        </w:rPr>
                        <w:t>notes</w:t>
                      </w:r>
                      <w:r>
                        <w:rPr>
                          <w:position w:val="2"/>
                        </w:rPr>
                        <w:tab/>
                      </w:r>
                      <w:r>
                        <w:t>$</w:t>
                      </w:r>
                      <w:r>
                        <w:tab/>
                        <w:t>6,277</w:t>
                      </w:r>
                      <w:r>
                        <w:tab/>
                        <w:t>$</w:t>
                      </w:r>
                      <w:r>
                        <w:tab/>
                        <w:t>5,588</w:t>
                      </w:r>
                      <w:r>
                        <w:tab/>
                        <w:t>$</w:t>
                      </w:r>
                      <w:r>
                        <w:tab/>
                        <w:t>5,990</w:t>
                      </w:r>
                      <w:r>
                        <w:tab/>
                        <w:t>$</w:t>
                      </w:r>
                      <w:r>
                        <w:tab/>
                        <w:t>5,683</w:t>
                      </w:r>
                    </w:p>
                  </w:txbxContent>
                </v:textbox>
                <w10:wrap type="topAndBottom" anchorx="page"/>
              </v:shape>
            </w:pict>
          </mc:Fallback>
        </mc:AlternateContent>
      </w:r>
      <w:r>
        <w:rPr>
          <w:noProof/>
        </w:rPr>
        <mc:AlternateContent>
          <mc:Choice Requires="wpg">
            <w:drawing>
              <wp:anchor distT="0" distB="0" distL="114300" distR="114300" simplePos="0" relativeHeight="3232" behindDoc="0" locked="0" layoutInCell="1" allowOverlap="1" wp14:anchorId="7326D744" wp14:editId="37330468">
                <wp:simplePos x="0" y="0"/>
                <wp:positionH relativeFrom="page">
                  <wp:posOffset>3743325</wp:posOffset>
                </wp:positionH>
                <wp:positionV relativeFrom="paragraph">
                  <wp:posOffset>139700</wp:posOffset>
                </wp:positionV>
                <wp:extent cx="838200" cy="12700"/>
                <wp:effectExtent l="9525" t="5715" r="9525" b="635"/>
                <wp:wrapNone/>
                <wp:docPr id="326"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0"/>
                          <a:chOff x="5895" y="220"/>
                          <a:chExt cx="1320" cy="20"/>
                        </a:xfrm>
                      </wpg:grpSpPr>
                      <wps:wsp>
                        <wps:cNvPr id="327" name="Line 311"/>
                        <wps:cNvCnPr>
                          <a:cxnSpLocks noChangeShapeType="1"/>
                        </wps:cNvCnPr>
                        <wps:spPr bwMode="auto">
                          <a:xfrm>
                            <a:off x="5895" y="230"/>
                            <a:ext cx="13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310"/>
                        <wps:cNvSpPr>
                          <a:spLocks noChangeArrowheads="1"/>
                        </wps:cNvSpPr>
                        <wps:spPr bwMode="auto">
                          <a:xfrm>
                            <a:off x="5895" y="219"/>
                            <a:ext cx="1320"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85FD5" id="Group 309" o:spid="_x0000_s1026" style="position:absolute;margin-left:294.75pt;margin-top:11pt;width:66pt;height:1pt;z-index:3232;mso-position-horizontal-relative:page" coordorigin="5895,220"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">
                <v:line id="Line 311" o:spid="_x0000_s1027" style="position:absolute;visibility:visible;mso-wrap-style:square" from="5895,230" to="72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1xAAAANwAAAAPAAAAZHJzL2Rvd25yZXYueG1sRI9Pi8Iw&#10;FMTvC36H8ARva6qy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Fce1HXEAAAA3AAAAA8A&#10;AAAAAAAAAAAAAAAABwIAAGRycy9kb3ducmV2LnhtbFBLBQYAAAAAAwADALcAAAD4AgAAAAA=&#10;" strokeweight="0"/>
                <v:rect id="Rectangle 310" o:spid="_x0000_s1028" style="position:absolute;left:5895;top:219;width:13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" fillcolor="black" stroked="f">
                  <v:fill opacity="0"/>
                </v:rect>
                <w10:wrap anchorx="page"/>
              </v:group>
            </w:pict>
          </mc:Fallback>
        </mc:AlternateContent>
      </w:r>
      <w:r>
        <w:rPr>
          <w:noProof/>
        </w:rPr>
        <mc:AlternateContent>
          <mc:Choice Requires="wpg">
            <w:drawing>
              <wp:anchor distT="0" distB="0" distL="114300" distR="114300" simplePos="0" relativeHeight="3256" behindDoc="0" locked="0" layoutInCell="1" allowOverlap="1" wp14:anchorId="7326D745" wp14:editId="6B10E783">
                <wp:simplePos x="0" y="0"/>
                <wp:positionH relativeFrom="page">
                  <wp:posOffset>4629150</wp:posOffset>
                </wp:positionH>
                <wp:positionV relativeFrom="paragraph">
                  <wp:posOffset>139700</wp:posOffset>
                </wp:positionV>
                <wp:extent cx="847725" cy="12700"/>
                <wp:effectExtent l="9525" t="5715" r="9525" b="635"/>
                <wp:wrapNone/>
                <wp:docPr id="323"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12700"/>
                          <a:chOff x="7290" y="220"/>
                          <a:chExt cx="1335" cy="20"/>
                        </a:xfrm>
                      </wpg:grpSpPr>
                      <wps:wsp>
                        <wps:cNvPr id="324" name="Line 308"/>
                        <wps:cNvCnPr>
                          <a:cxnSpLocks noChangeShapeType="1"/>
                        </wps:cNvCnPr>
                        <wps:spPr bwMode="auto">
                          <a:xfrm>
                            <a:off x="7290" y="230"/>
                            <a:ext cx="1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307"/>
                        <wps:cNvSpPr>
                          <a:spLocks noChangeArrowheads="1"/>
                        </wps:cNvSpPr>
                        <wps:spPr bwMode="auto">
                          <a:xfrm>
                            <a:off x="7290" y="219"/>
                            <a:ext cx="133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BBDCE" id="Group 306" o:spid="_x0000_s1026" style="position:absolute;margin-left:364.5pt;margin-top:11pt;width:66.75pt;height:1pt;z-index:3256;mso-position-horizontal-relative:page" coordorigin="7290,220" coordsize="1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">
                <v:line id="Line 308" o:spid="_x0000_s1027" style="position:absolute;visibility:visible;mso-wrap-style:square" from="7290,230" to="862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307" o:spid="_x0000_s1028" style="position:absolute;left:7290;top:219;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" fillcolor="black" stroked="f">
                  <v:fill opacity="0"/>
                </v:rect>
                <w10:wrap anchorx="page"/>
              </v:group>
            </w:pict>
          </mc:Fallback>
        </mc:AlternateContent>
      </w:r>
      <w:r>
        <w:rPr>
          <w:noProof/>
        </w:rPr>
        <mc:AlternateContent>
          <mc:Choice Requires="wpg">
            <w:drawing>
              <wp:anchor distT="0" distB="0" distL="114300" distR="114300" simplePos="0" relativeHeight="3280" behindDoc="0" locked="0" layoutInCell="1" allowOverlap="1" wp14:anchorId="7326D746" wp14:editId="3B9D1CC0">
                <wp:simplePos x="0" y="0"/>
                <wp:positionH relativeFrom="page">
                  <wp:posOffset>5524500</wp:posOffset>
                </wp:positionH>
                <wp:positionV relativeFrom="paragraph">
                  <wp:posOffset>139700</wp:posOffset>
                </wp:positionV>
                <wp:extent cx="838200" cy="12700"/>
                <wp:effectExtent l="9525" t="5715" r="9525" b="635"/>
                <wp:wrapNone/>
                <wp:docPr id="320"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0"/>
                          <a:chOff x="8700" y="220"/>
                          <a:chExt cx="1320" cy="20"/>
                        </a:xfrm>
                      </wpg:grpSpPr>
                      <wps:wsp>
                        <wps:cNvPr id="321" name="Line 305"/>
                        <wps:cNvCnPr>
                          <a:cxnSpLocks noChangeShapeType="1"/>
                        </wps:cNvCnPr>
                        <wps:spPr bwMode="auto">
                          <a:xfrm>
                            <a:off x="8700" y="230"/>
                            <a:ext cx="13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304"/>
                        <wps:cNvSpPr>
                          <a:spLocks noChangeArrowheads="1"/>
                        </wps:cNvSpPr>
                        <wps:spPr bwMode="auto">
                          <a:xfrm>
                            <a:off x="8700" y="219"/>
                            <a:ext cx="1320"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F867B" id="Group 303" o:spid="_x0000_s1026" style="position:absolute;margin-left:435pt;margin-top:11pt;width:66pt;height:1pt;z-index:3280;mso-position-horizontal-relative:page" coordorigin="8700,220"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">
                <v:line id="Line 305" o:spid="_x0000_s1027" style="position:absolute;visibility:visible;mso-wrap-style:square" from="8700,230" to="100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axAAAANwAAAAPAAAAZHJzL2Rvd25yZXYueG1sRI9Pa8JA&#10;FMTvBb/D8gRvdROl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Le76ZrEAAAA3AAAAA8A&#10;AAAAAAAAAAAAAAAABwIAAGRycy9kb3ducmV2LnhtbFBLBQYAAAAAAwADALcAAAD4AgAAAAA=&#10;" strokeweight="0"/>
                <v:rect id="Rectangle 304" o:spid="_x0000_s1028" style="position:absolute;left:8700;top:219;width:13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" fillcolor="black" stroked="f">
                  <v:fill opacity="0"/>
                </v:rect>
                <w10:wrap anchorx="page"/>
              </v:group>
            </w:pict>
          </mc:Fallback>
        </mc:AlternateContent>
      </w:r>
      <w:r>
        <w:rPr>
          <w:noProof/>
        </w:rPr>
        <mc:AlternateContent>
          <mc:Choice Requires="wpg">
            <w:drawing>
              <wp:anchor distT="0" distB="0" distL="114300" distR="114300" simplePos="0" relativeHeight="3304" behindDoc="0" locked="0" layoutInCell="1" allowOverlap="1" wp14:anchorId="7326D747" wp14:editId="61CD723E">
                <wp:simplePos x="0" y="0"/>
                <wp:positionH relativeFrom="page">
                  <wp:posOffset>6410325</wp:posOffset>
                </wp:positionH>
                <wp:positionV relativeFrom="paragraph">
                  <wp:posOffset>139700</wp:posOffset>
                </wp:positionV>
                <wp:extent cx="847725" cy="12700"/>
                <wp:effectExtent l="9525" t="5715" r="9525" b="635"/>
                <wp:wrapNone/>
                <wp:docPr id="317"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12700"/>
                          <a:chOff x="10095" y="220"/>
                          <a:chExt cx="1335" cy="20"/>
                        </a:xfrm>
                      </wpg:grpSpPr>
                      <wps:wsp>
                        <wps:cNvPr id="318" name="Line 302"/>
                        <wps:cNvCnPr>
                          <a:cxnSpLocks noChangeShapeType="1"/>
                        </wps:cNvCnPr>
                        <wps:spPr bwMode="auto">
                          <a:xfrm>
                            <a:off x="10095" y="230"/>
                            <a:ext cx="1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301"/>
                        <wps:cNvSpPr>
                          <a:spLocks noChangeArrowheads="1"/>
                        </wps:cNvSpPr>
                        <wps:spPr bwMode="auto">
                          <a:xfrm>
                            <a:off x="10095" y="219"/>
                            <a:ext cx="1335" cy="2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0DCD" id="Group 300" o:spid="_x0000_s1026" style="position:absolute;margin-left:504.75pt;margin-top:11pt;width:66.75pt;height:1pt;z-index:3304;mso-position-horizontal-relative:page" coordorigin="10095,220" coordsize="13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">
                <v:line id="Line 302" o:spid="_x0000_s1027" style="position:absolute;visibility:visible;mso-wrap-style:square" from="10095,230" to="1143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301" o:spid="_x0000_s1028" style="position:absolute;left:10095;top:219;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" fillcolor="black" stroked="f">
                  <v:fill opacity="0"/>
                </v:rect>
                <w10:wrap anchorx="page"/>
              </v:group>
            </w:pict>
          </mc:Fallback>
        </mc:AlternateContent>
      </w:r>
      <w:r>
        <w:rPr>
          <w:b/>
          <w:sz w:val="16"/>
        </w:rPr>
        <w:t>Fair</w:t>
      </w:r>
      <w:r>
        <w:rPr>
          <w:b/>
          <w:spacing w:val="-1"/>
          <w:sz w:val="16"/>
        </w:rPr>
        <w:t xml:space="preserve"> </w:t>
      </w:r>
      <w:r>
        <w:rPr>
          <w:b/>
          <w:sz w:val="16"/>
        </w:rPr>
        <w:t>Value</w:t>
      </w:r>
      <w:r>
        <w:rPr>
          <w:b/>
          <w:sz w:val="16"/>
        </w:rPr>
        <w:tab/>
        <w:t>Book</w:t>
      </w:r>
      <w:r>
        <w:rPr>
          <w:b/>
          <w:spacing w:val="-2"/>
          <w:sz w:val="16"/>
        </w:rPr>
        <w:t xml:space="preserve"> </w:t>
      </w:r>
      <w:r>
        <w:rPr>
          <w:b/>
          <w:sz w:val="16"/>
        </w:rPr>
        <w:t>Value</w:t>
      </w:r>
      <w:r>
        <w:rPr>
          <w:b/>
          <w:sz w:val="16"/>
        </w:rPr>
        <w:tab/>
        <w:t>Fair</w:t>
      </w:r>
      <w:r>
        <w:rPr>
          <w:b/>
          <w:spacing w:val="-1"/>
          <w:sz w:val="16"/>
        </w:rPr>
        <w:t xml:space="preserve"> </w:t>
      </w:r>
      <w:r>
        <w:rPr>
          <w:b/>
          <w:sz w:val="16"/>
        </w:rPr>
        <w:t>Value</w:t>
      </w:r>
      <w:r>
        <w:rPr>
          <w:b/>
          <w:sz w:val="16"/>
        </w:rPr>
        <w:tab/>
        <w:t>Book</w:t>
      </w:r>
      <w:r>
        <w:rPr>
          <w:b/>
          <w:spacing w:val="-2"/>
          <w:sz w:val="16"/>
        </w:rPr>
        <w:t xml:space="preserve"> </w:t>
      </w:r>
      <w:r>
        <w:rPr>
          <w:b/>
          <w:sz w:val="16"/>
        </w:rPr>
        <w:t>Value</w:t>
      </w:r>
    </w:p>
    <w:p w14:paraId="7326C865" w14:textId="77777777" w:rsidR="00EF3DFB" w:rsidRDefault="00EF3DFB">
      <w:pPr>
        <w:pStyle w:val="BodyText"/>
        <w:spacing w:before="1"/>
        <w:rPr>
          <w:b/>
          <w:sz w:val="16"/>
        </w:rPr>
      </w:pPr>
    </w:p>
    <w:p w14:paraId="7326C866" w14:textId="77777777" w:rsidR="00EF3DFB" w:rsidRDefault="00D27C17">
      <w:pPr>
        <w:pStyle w:val="BodyText"/>
        <w:spacing w:before="92"/>
        <w:ind w:left="190"/>
      </w:pPr>
      <w:r>
        <w:t>The carrying amounts of all other significant debt approximates fair value.</w:t>
      </w:r>
    </w:p>
    <w:p w14:paraId="7326C867" w14:textId="77777777" w:rsidR="00EF3DFB" w:rsidRDefault="00EF3DFB">
      <w:pPr>
        <w:pStyle w:val="BodyText"/>
        <w:spacing w:before="5"/>
        <w:rPr>
          <w:sz w:val="21"/>
        </w:rPr>
      </w:pPr>
    </w:p>
    <w:p w14:paraId="7326C868" w14:textId="77777777" w:rsidR="00EF3DFB" w:rsidRDefault="00D27C17">
      <w:pPr>
        <w:pStyle w:val="Heading2"/>
        <w:jc w:val="left"/>
      </w:pPr>
      <w:r>
        <w:t>Net Investment Hedge</w:t>
      </w:r>
    </w:p>
    <w:p w14:paraId="7326C869" w14:textId="77777777" w:rsidR="00EF3DFB" w:rsidRDefault="00EF3DFB">
      <w:pPr>
        <w:pStyle w:val="BodyText"/>
        <w:rPr>
          <w:b/>
          <w:sz w:val="22"/>
        </w:rPr>
      </w:pPr>
    </w:p>
    <w:p w14:paraId="7326C86A" w14:textId="77777777" w:rsidR="00EF3DFB" w:rsidRDefault="00D27C17">
      <w:pPr>
        <w:pStyle w:val="BodyText"/>
        <w:spacing w:line="249" w:lineRule="auto"/>
        <w:ind w:left="190" w:right="168"/>
        <w:jc w:val="both"/>
      </w:pPr>
      <w:r>
        <w:t>The Company has designated the €300 million principal balance of the 3.75% senior notes due October 2021 as a net investment hedge of the foreign currency ex</w:t>
      </w:r>
      <w:r>
        <w:t xml:space="preserve">posure of its net investment in certain Euro-functional currency subsidiaries with Euro-denominated net assets. At December 31, 2020, $26 million of deferred losses have been recorded in AOCL. See </w:t>
      </w:r>
      <w:r>
        <w:rPr>
          <w:i/>
        </w:rPr>
        <w:t xml:space="preserve">Footnote 10 </w:t>
      </w:r>
      <w:r>
        <w:t>for disclosures regarding the Company’s derivat</w:t>
      </w:r>
      <w:r>
        <w:t>ive financial instruments.</w:t>
      </w:r>
    </w:p>
    <w:p w14:paraId="7326C86B" w14:textId="77777777" w:rsidR="00EF3DFB" w:rsidRDefault="00EF3DFB">
      <w:pPr>
        <w:pStyle w:val="BodyText"/>
        <w:spacing w:before="10"/>
      </w:pPr>
    </w:p>
    <w:p w14:paraId="7326C86C" w14:textId="77777777" w:rsidR="00EF3DFB" w:rsidRDefault="00D27C17">
      <w:pPr>
        <w:pStyle w:val="Heading2"/>
        <w:spacing w:line="501" w:lineRule="auto"/>
        <w:ind w:right="4605"/>
        <w:jc w:val="left"/>
      </w:pPr>
      <w:bookmarkStart w:id="58" w:name="Footnote_10_—_Derivatives"/>
      <w:bookmarkEnd w:id="58"/>
      <w:r>
        <w:t>Footnote 10 — Derivatives and Foreign Currency Operations Derivatives</w:t>
      </w:r>
    </w:p>
    <w:p w14:paraId="7326C86D" w14:textId="77777777" w:rsidR="00EF3DFB" w:rsidRDefault="00D27C17">
      <w:pPr>
        <w:pStyle w:val="BodyText"/>
        <w:spacing w:before="2" w:line="249" w:lineRule="auto"/>
        <w:ind w:left="190" w:right="168"/>
        <w:jc w:val="both"/>
      </w:pPr>
      <w:r>
        <w:t>Derivative financial instruments are generally used to manage certain commodity, interest rate and foreign currency risks. These instruments primarily include</w:t>
      </w:r>
      <w:r>
        <w:t xml:space="preserve"> interest rate swaps, forward starting interest rate swaps, forward exchange contracts and options. The Company’s forward exchange contracts and options do not subject the Company to exchange rate risk because gains and losses on these instruments generall</w:t>
      </w:r>
      <w:r>
        <w:t xml:space="preserve">y offset gains and losses on the assets, liabilities and other transactions being hedged. However, these instruments, when settled, impact the Company’s cash flows from operations to the extent the underlying transaction being hedged is not simultaneously </w:t>
      </w:r>
      <w:r>
        <w:t>settled due to an extension, a renewal or</w:t>
      </w:r>
      <w:r>
        <w:rPr>
          <w:spacing w:val="-9"/>
        </w:rPr>
        <w:t xml:space="preserve"> </w:t>
      </w:r>
      <w:r>
        <w:t>otherwise.</w:t>
      </w:r>
    </w:p>
    <w:p w14:paraId="7326C86E" w14:textId="77777777" w:rsidR="00EF3DFB" w:rsidRDefault="00EF3DFB">
      <w:pPr>
        <w:pStyle w:val="BodyText"/>
        <w:spacing w:before="3"/>
        <w:rPr>
          <w:sz w:val="21"/>
        </w:rPr>
      </w:pPr>
    </w:p>
    <w:p w14:paraId="7326C86F" w14:textId="77777777" w:rsidR="00EF3DFB" w:rsidRDefault="00D27C17">
      <w:pPr>
        <w:pStyle w:val="BodyText"/>
        <w:spacing w:before="1" w:line="249" w:lineRule="auto"/>
        <w:ind w:left="190" w:right="171"/>
        <w:jc w:val="both"/>
      </w:pPr>
      <w:r>
        <w:t>On the date when the Company enters into a derivative, the derivative is designated as a hedge of the identified exposure. The Company measures effectiveness of its hedging relationships both at hedge inception and on an ongoing basis.</w:t>
      </w:r>
    </w:p>
    <w:p w14:paraId="7326C870" w14:textId="77777777" w:rsidR="00EF3DFB" w:rsidRDefault="00EF3DFB">
      <w:pPr>
        <w:pStyle w:val="BodyText"/>
        <w:spacing w:before="8"/>
      </w:pPr>
    </w:p>
    <w:p w14:paraId="7326C871" w14:textId="77777777" w:rsidR="00EF3DFB" w:rsidRDefault="00D27C17">
      <w:pPr>
        <w:pStyle w:val="Heading3"/>
        <w:jc w:val="left"/>
      </w:pPr>
      <w:r>
        <w:t>Interest Rate Contr</w:t>
      </w:r>
      <w:r>
        <w:t>acts</w:t>
      </w:r>
    </w:p>
    <w:p w14:paraId="7326C872" w14:textId="77777777" w:rsidR="00EF3DFB" w:rsidRDefault="00EF3DFB">
      <w:pPr>
        <w:pStyle w:val="BodyText"/>
        <w:rPr>
          <w:b/>
          <w:i/>
          <w:sz w:val="22"/>
        </w:rPr>
      </w:pPr>
    </w:p>
    <w:p w14:paraId="7326C873" w14:textId="77777777" w:rsidR="00EF3DFB" w:rsidRDefault="00D27C17">
      <w:pPr>
        <w:pStyle w:val="BodyText"/>
        <w:spacing w:line="249" w:lineRule="auto"/>
        <w:ind w:left="190" w:right="168"/>
        <w:jc w:val="both"/>
      </w:pPr>
      <w:r>
        <w:t xml:space="preserve">The Company manages its fixed and floating rate debt mix using interest rate swaps. The Company may use fixed and floating rate swaps to alter its exposure to the impact of changing interest rates on its consolidated results of operations and future </w:t>
      </w:r>
      <w:r>
        <w:t>cash outflows for interest. Floating rate swaps would be used, depending on market conditions, to convert the fixed rates of long-term debt into short-term variable rates. Fixed rate swaps would be used to reduce the Company’s risk of the possibility of in</w:t>
      </w:r>
      <w:r>
        <w:t>creased interest costs. Interest rate swap contracts are therefore used by the Company to separate interest rate risk management from the debt funding decision. The cash paid and received from the settlement of interest rate swaps is included in interest e</w:t>
      </w:r>
      <w:r>
        <w:t>xpense.</w:t>
      </w:r>
    </w:p>
    <w:p w14:paraId="7326C874" w14:textId="77777777" w:rsidR="00EF3DFB" w:rsidRDefault="00EF3DFB">
      <w:pPr>
        <w:pStyle w:val="BodyText"/>
        <w:rPr>
          <w:sz w:val="21"/>
        </w:rPr>
      </w:pPr>
    </w:p>
    <w:p w14:paraId="7326C875" w14:textId="77777777" w:rsidR="00EF3DFB" w:rsidRDefault="00D27C17">
      <w:pPr>
        <w:pStyle w:val="Heading3"/>
        <w:spacing w:before="1"/>
        <w:jc w:val="left"/>
      </w:pPr>
      <w:r>
        <w:t>Fair Value Hedges</w:t>
      </w:r>
    </w:p>
    <w:p w14:paraId="7326C876" w14:textId="77777777" w:rsidR="00EF3DFB" w:rsidRDefault="00EF3DFB">
      <w:pPr>
        <w:pStyle w:val="BodyText"/>
        <w:rPr>
          <w:b/>
          <w:i/>
          <w:sz w:val="22"/>
        </w:rPr>
      </w:pPr>
    </w:p>
    <w:p w14:paraId="7326C877" w14:textId="77777777" w:rsidR="00EF3DFB" w:rsidRDefault="00D27C17">
      <w:pPr>
        <w:pStyle w:val="BodyText"/>
        <w:spacing w:line="249" w:lineRule="auto"/>
        <w:ind w:left="190" w:right="169"/>
        <w:jc w:val="both"/>
      </w:pPr>
      <w:r>
        <w:t>At December 31, 2020, the Company had approximately $100 million notional amount of interest rate swaps that exchange a fixed rate of interest for variable rate (LIBOR) of interest plus a weighted average spread. These floating rate swaps are designated as</w:t>
      </w:r>
      <w:r>
        <w:t xml:space="preserve"> fair value hedges against $100 million of principal on the 4.00% senior notes due 2024 for the remaining life of the note. The effective portion of the fair value gains or losses on these swaps is offset by fair value adjustments in the underlying debt. A</w:t>
      </w:r>
      <w:r>
        <w:t xml:space="preserve"> $277 million notional interest rate swap matured concurrently with the maturity of the 4.70% senior notes which were repaid during the third quarter of 2020.</w:t>
      </w:r>
    </w:p>
    <w:p w14:paraId="7326C878" w14:textId="77777777" w:rsidR="00EF3DFB" w:rsidRDefault="00EF3DFB">
      <w:pPr>
        <w:spacing w:line="249" w:lineRule="auto"/>
        <w:jc w:val="both"/>
        <w:sectPr w:rsidR="00EF3DFB">
          <w:pgSz w:w="12240" w:h="15840"/>
          <w:pgMar w:top="600" w:right="640" w:bottom="480" w:left="620" w:header="0" w:footer="291" w:gutter="0"/>
          <w:cols w:space="720"/>
        </w:sectPr>
      </w:pPr>
    </w:p>
    <w:p w14:paraId="7326C879" w14:textId="77777777" w:rsidR="00EF3DFB" w:rsidRDefault="00D27C17">
      <w:pPr>
        <w:pStyle w:val="BodyText"/>
        <w:spacing w:before="72" w:line="249" w:lineRule="auto"/>
        <w:ind w:left="190" w:right="168"/>
        <w:jc w:val="both"/>
      </w:pPr>
      <w:r>
        <w:lastRenderedPageBreak/>
        <w:t>During 2019, the Company also terminated approximately $150 million notional amount</w:t>
      </w:r>
      <w:r>
        <w:t xml:space="preserve"> of these floating rate swaps and received consideration of $6 million, which is included in net cash provided by operating activities in the Consolidated Statement of Cash Flows for 2019. These floating rate swaps that were designated as fair value hedges</w:t>
      </w:r>
      <w:r>
        <w:t xml:space="preserve">, were terminated in connection with the extinguishment of a portion of the principal balance of the 2024 Notes pursuant to the Tender Offers (See </w:t>
      </w:r>
      <w:r>
        <w:rPr>
          <w:i/>
        </w:rPr>
        <w:t>Footnote 9</w:t>
      </w:r>
      <w:r>
        <w:t>). The termination of these floating rate swaps resulted in a total gain of $6 million, which is in</w:t>
      </w:r>
      <w:r>
        <w:t>cluded in loss on extinguishment for 2019 in the Consolidated Statements of</w:t>
      </w:r>
      <w:r>
        <w:rPr>
          <w:spacing w:val="-3"/>
        </w:rPr>
        <w:t xml:space="preserve"> </w:t>
      </w:r>
      <w:r>
        <w:t>Operations.</w:t>
      </w:r>
    </w:p>
    <w:p w14:paraId="7326C87A" w14:textId="77777777" w:rsidR="00EF3DFB" w:rsidRDefault="00EF3DFB">
      <w:pPr>
        <w:pStyle w:val="BodyText"/>
        <w:rPr>
          <w:sz w:val="21"/>
        </w:rPr>
      </w:pPr>
    </w:p>
    <w:p w14:paraId="7326C87B" w14:textId="77777777" w:rsidR="00EF3DFB" w:rsidRDefault="00D27C17">
      <w:pPr>
        <w:pStyle w:val="Heading3"/>
      </w:pPr>
      <w:r>
        <w:t>Cross-Currency Contracts</w:t>
      </w:r>
    </w:p>
    <w:p w14:paraId="7326C87C" w14:textId="77777777" w:rsidR="00EF3DFB" w:rsidRDefault="00EF3DFB">
      <w:pPr>
        <w:pStyle w:val="BodyText"/>
        <w:rPr>
          <w:b/>
          <w:i/>
          <w:sz w:val="22"/>
        </w:rPr>
      </w:pPr>
    </w:p>
    <w:p w14:paraId="7326C87D" w14:textId="77777777" w:rsidR="00EF3DFB" w:rsidRDefault="00D27C17">
      <w:pPr>
        <w:pStyle w:val="BodyText"/>
        <w:spacing w:line="249" w:lineRule="auto"/>
        <w:ind w:left="190" w:right="168"/>
        <w:jc w:val="both"/>
      </w:pPr>
      <w:r>
        <w:t>The Company uses cross-currency swaps to hedge foreign currency risk on certain financing arrangements. During the first quarter of 2020, the</w:t>
      </w:r>
      <w:r>
        <w:t xml:space="preserve"> Company entered into two cross-currency swaps with an aggregate notional amount of $900 million, which were designated as net investment hedges of the Company's foreign currency exposure of its net investment in certain Euro-functional currency subsidiari</w:t>
      </w:r>
      <w:r>
        <w:t>es with Euro-denominated net assets. With these cross-currency swaps, which mature in January and February 2025, the Company pays a fixed rate of Euro-based interest and receives a fixed rate of U.S. dollar interest. The Company has elected the spot method</w:t>
      </w:r>
      <w:r>
        <w:t xml:space="preserve"> for assessing the effectiveness of these contracts. During the twelve months ended December 31, 2020, the Company recognized income of $14 million in interest expense, net, related to the portion of cross-currency swaps excluded from hedge effectiveness t</w:t>
      </w:r>
      <w:r>
        <w:t>esting. The Company had no cross-currency swaps used as hedging instruments in 2019.</w:t>
      </w:r>
    </w:p>
    <w:p w14:paraId="7326C87E" w14:textId="77777777" w:rsidR="00EF3DFB" w:rsidRDefault="00EF3DFB">
      <w:pPr>
        <w:pStyle w:val="BodyText"/>
        <w:spacing w:before="2"/>
        <w:rPr>
          <w:sz w:val="21"/>
        </w:rPr>
      </w:pPr>
    </w:p>
    <w:p w14:paraId="7326C87F" w14:textId="77777777" w:rsidR="00EF3DFB" w:rsidRDefault="00D27C17">
      <w:pPr>
        <w:pStyle w:val="Heading3"/>
      </w:pPr>
      <w:r>
        <w:t>Foreign Currency Contracts</w:t>
      </w:r>
    </w:p>
    <w:p w14:paraId="7326C880" w14:textId="77777777" w:rsidR="00EF3DFB" w:rsidRDefault="00EF3DFB">
      <w:pPr>
        <w:pStyle w:val="BodyText"/>
        <w:rPr>
          <w:b/>
          <w:i/>
          <w:sz w:val="22"/>
        </w:rPr>
      </w:pPr>
    </w:p>
    <w:p w14:paraId="7326C881" w14:textId="77777777" w:rsidR="00EF3DFB" w:rsidRDefault="00D27C17">
      <w:pPr>
        <w:pStyle w:val="BodyText"/>
        <w:spacing w:line="249" w:lineRule="auto"/>
        <w:ind w:left="190" w:right="168"/>
        <w:jc w:val="both"/>
      </w:pPr>
      <w:r>
        <w:t>The Company uses forward foreign currency contracts to mitigate the foreign currency exchange rate exposure on the cash flows related to forec</w:t>
      </w:r>
      <w:r>
        <w:t>asted inventory purchases and sales and have maturity dates through December 2021. The derivatives used to hedge these forecasted transactions that meet the criteria for hedge accounting are accounted for as cash flow hedges. The effective portion of the g</w:t>
      </w:r>
      <w:r>
        <w:t>ains or losses on these derivatives is deferred as a component of AOCL and is recognized in earnings at the same time that the hedged item affects earnings and is included in the same caption in the statements of operations as the underlying hedged item. A</w:t>
      </w:r>
      <w:r>
        <w:t>t December 31, 2020, the Company had approximately $509 million notional amount outstanding of forward foreign currency contracts that are designated as cash flow hedges of forecasted inventory purchases and sales.</w:t>
      </w:r>
    </w:p>
    <w:p w14:paraId="7326C882" w14:textId="77777777" w:rsidR="00EF3DFB" w:rsidRDefault="00EF3DFB">
      <w:pPr>
        <w:pStyle w:val="BodyText"/>
        <w:spacing w:before="4"/>
        <w:rPr>
          <w:sz w:val="21"/>
        </w:rPr>
      </w:pPr>
    </w:p>
    <w:p w14:paraId="7326C883" w14:textId="77777777" w:rsidR="00EF3DFB" w:rsidRDefault="00D27C17">
      <w:pPr>
        <w:pStyle w:val="BodyText"/>
        <w:spacing w:line="249" w:lineRule="auto"/>
        <w:ind w:left="190" w:right="167"/>
        <w:jc w:val="both"/>
      </w:pPr>
      <w:r>
        <w:t>The Company also uses foreign currency c</w:t>
      </w:r>
      <w:r>
        <w:t xml:space="preserve">ontracts, primarily forward foreign currency contracts, to mitigate the foreign currency exposure of certain other foreign currency transactions. At December 31, 2020, the Company had approximately $994 million notional amount outstanding of these foreign </w:t>
      </w:r>
      <w:r>
        <w:t xml:space="preserve">currency contracts that are not designated as effective hedges for accounting purposes and have maturity dates through December 2021. Fair market value gains or losses are included in the results of operations and are classified in other (income) expense, </w:t>
      </w:r>
      <w:r>
        <w:t>net in the Company’s Consolidated Statement of Operations.</w:t>
      </w:r>
    </w:p>
    <w:p w14:paraId="7326C884" w14:textId="77777777" w:rsidR="00EF3DFB" w:rsidRDefault="00EF3DFB">
      <w:pPr>
        <w:pStyle w:val="BodyText"/>
        <w:rPr>
          <w:sz w:val="21"/>
        </w:rPr>
      </w:pPr>
    </w:p>
    <w:p w14:paraId="7326C885" w14:textId="77777777" w:rsidR="00EF3DFB" w:rsidRDefault="00D27C17">
      <w:pPr>
        <w:pStyle w:val="Heading3"/>
      </w:pPr>
      <w:r>
        <w:t>Commodity Contracts</w:t>
      </w:r>
    </w:p>
    <w:p w14:paraId="7326C886" w14:textId="77777777" w:rsidR="00EF3DFB" w:rsidRDefault="00EF3DFB">
      <w:pPr>
        <w:pStyle w:val="BodyText"/>
        <w:rPr>
          <w:b/>
          <w:i/>
          <w:sz w:val="22"/>
        </w:rPr>
      </w:pPr>
    </w:p>
    <w:p w14:paraId="7326C887" w14:textId="77777777" w:rsidR="00EF3DFB" w:rsidRDefault="00D27C17">
      <w:pPr>
        <w:pStyle w:val="BodyText"/>
        <w:spacing w:line="249" w:lineRule="auto"/>
        <w:ind w:left="190" w:right="168"/>
        <w:jc w:val="both"/>
      </w:pPr>
      <w:r>
        <w:t>From time to time the Company may enter into commodity-based derivatives in order to mitigate the risk that the rising price of these commodities could have on the cost of cer</w:t>
      </w:r>
      <w:r>
        <w:t>tain of the Company’s raw materials. These commodity-based derivatives provide the Company with cost certainty. At December 31, 2020, the Company had no notional amount outstanding of commodity-based derivatives. Fair market value gains or losses are inclu</w:t>
      </w:r>
      <w:r>
        <w:t>ded in the results of operations and are classified in cost of products sold.</w:t>
      </w:r>
    </w:p>
    <w:p w14:paraId="7326C888" w14:textId="77777777" w:rsidR="00EF3DFB" w:rsidRDefault="00EF3DFB">
      <w:pPr>
        <w:spacing w:line="249" w:lineRule="auto"/>
        <w:jc w:val="both"/>
        <w:sectPr w:rsidR="00EF3DFB">
          <w:pgSz w:w="12240" w:h="15840"/>
          <w:pgMar w:top="600" w:right="640" w:bottom="480" w:left="620" w:header="0" w:footer="291" w:gutter="0"/>
          <w:cols w:space="720"/>
        </w:sectPr>
      </w:pPr>
    </w:p>
    <w:p w14:paraId="7326C889" w14:textId="77777777" w:rsidR="00EF3DFB" w:rsidRDefault="00D27C17">
      <w:pPr>
        <w:pStyle w:val="BodyText"/>
        <w:spacing w:before="72"/>
        <w:ind w:left="190"/>
      </w:pPr>
      <w:r>
        <w:lastRenderedPageBreak/>
        <w:t>The following table presents the fair value of derivative financial instruments at December 31, (in millions):</w:t>
      </w:r>
    </w:p>
    <w:p w14:paraId="7326C88A" w14:textId="77777777" w:rsidR="00EF3DFB" w:rsidRDefault="00EF3DFB">
      <w:pPr>
        <w:pStyle w:val="BodyText"/>
        <w:spacing w:before="7"/>
        <w:rPr>
          <w:sz w:val="16"/>
        </w:rPr>
      </w:pPr>
    </w:p>
    <w:tbl>
      <w:tblPr>
        <w:tblW w:w="0" w:type="auto"/>
        <w:tblInd w:w="190" w:type="dxa"/>
        <w:tblLayout w:type="fixed"/>
        <w:tblCellMar>
          <w:left w:w="0" w:type="dxa"/>
          <w:right w:w="0" w:type="dxa"/>
        </w:tblCellMar>
        <w:tblLook w:val="01E0" w:firstRow="1" w:lastRow="1" w:firstColumn="1" w:lastColumn="1" w:noHBand="0" w:noVBand="0"/>
      </w:tblPr>
      <w:tblGrid>
        <w:gridCol w:w="3934"/>
        <w:gridCol w:w="4151"/>
        <w:gridCol w:w="1256"/>
        <w:gridCol w:w="1218"/>
      </w:tblGrid>
      <w:tr w:rsidR="00EF3DFB" w14:paraId="7326C88E" w14:textId="77777777">
        <w:trPr>
          <w:trHeight w:val="196"/>
        </w:trPr>
        <w:tc>
          <w:tcPr>
            <w:tcW w:w="3934" w:type="dxa"/>
            <w:vMerge w:val="restart"/>
          </w:tcPr>
          <w:p w14:paraId="7326C88B" w14:textId="77777777" w:rsidR="00EF3DFB" w:rsidRDefault="00EF3DFB">
            <w:pPr>
              <w:pStyle w:val="TableParagraph"/>
              <w:rPr>
                <w:sz w:val="18"/>
              </w:rPr>
            </w:pPr>
          </w:p>
        </w:tc>
        <w:tc>
          <w:tcPr>
            <w:tcW w:w="4151" w:type="dxa"/>
          </w:tcPr>
          <w:p w14:paraId="7326C88C" w14:textId="77777777" w:rsidR="00EF3DFB" w:rsidRDefault="00EF3DFB">
            <w:pPr>
              <w:pStyle w:val="TableParagraph"/>
              <w:rPr>
                <w:sz w:val="12"/>
              </w:rPr>
            </w:pPr>
          </w:p>
        </w:tc>
        <w:tc>
          <w:tcPr>
            <w:tcW w:w="2474" w:type="dxa"/>
            <w:gridSpan w:val="2"/>
            <w:tcBorders>
              <w:bottom w:val="single" w:sz="8" w:space="0" w:color="000000"/>
            </w:tcBorders>
          </w:tcPr>
          <w:p w14:paraId="7326C88D" w14:textId="77777777" w:rsidR="00EF3DFB" w:rsidRDefault="00D27C17">
            <w:pPr>
              <w:pStyle w:val="TableParagraph"/>
              <w:tabs>
                <w:tab w:val="left" w:pos="1714"/>
              </w:tabs>
              <w:spacing w:line="177" w:lineRule="exact"/>
              <w:ind w:left="440"/>
              <w:rPr>
                <w:b/>
                <w:sz w:val="16"/>
              </w:rPr>
            </w:pPr>
            <w:r>
              <w:rPr>
                <w:b/>
                <w:sz w:val="16"/>
              </w:rPr>
              <w:t>2020</w:t>
            </w:r>
            <w:r>
              <w:rPr>
                <w:b/>
                <w:sz w:val="16"/>
              </w:rPr>
              <w:tab/>
              <w:t>2019</w:t>
            </w:r>
          </w:p>
        </w:tc>
      </w:tr>
      <w:tr w:rsidR="00EF3DFB" w14:paraId="7326C892" w14:textId="77777777">
        <w:trPr>
          <w:trHeight w:val="220"/>
        </w:trPr>
        <w:tc>
          <w:tcPr>
            <w:tcW w:w="3934" w:type="dxa"/>
            <w:vMerge/>
            <w:tcBorders>
              <w:top w:val="nil"/>
            </w:tcBorders>
          </w:tcPr>
          <w:p w14:paraId="7326C88F" w14:textId="77777777" w:rsidR="00EF3DFB" w:rsidRDefault="00EF3DFB">
            <w:pPr>
              <w:rPr>
                <w:sz w:val="2"/>
                <w:szCs w:val="2"/>
              </w:rPr>
            </w:pPr>
          </w:p>
        </w:tc>
        <w:tc>
          <w:tcPr>
            <w:tcW w:w="4151" w:type="dxa"/>
            <w:tcBorders>
              <w:bottom w:val="single" w:sz="8" w:space="0" w:color="000000"/>
            </w:tcBorders>
          </w:tcPr>
          <w:p w14:paraId="7326C890" w14:textId="77777777" w:rsidR="00EF3DFB" w:rsidRDefault="00D27C17">
            <w:pPr>
              <w:pStyle w:val="TableParagraph"/>
              <w:spacing w:before="16" w:line="184" w:lineRule="exact"/>
              <w:ind w:left="1368"/>
              <w:rPr>
                <w:b/>
                <w:sz w:val="16"/>
              </w:rPr>
            </w:pPr>
            <w:r>
              <w:rPr>
                <w:b/>
                <w:sz w:val="16"/>
              </w:rPr>
              <w:t>Balance Sheet Location</w:t>
            </w:r>
          </w:p>
        </w:tc>
        <w:tc>
          <w:tcPr>
            <w:tcW w:w="2474" w:type="dxa"/>
            <w:gridSpan w:val="2"/>
            <w:tcBorders>
              <w:top w:val="single" w:sz="8" w:space="0" w:color="000000"/>
              <w:bottom w:val="single" w:sz="8" w:space="0" w:color="000000"/>
            </w:tcBorders>
          </w:tcPr>
          <w:p w14:paraId="7326C891" w14:textId="77777777" w:rsidR="00EF3DFB" w:rsidRDefault="00D27C17">
            <w:pPr>
              <w:pStyle w:val="TableParagraph"/>
              <w:spacing w:before="16" w:line="184" w:lineRule="exact"/>
              <w:ind w:left="607"/>
              <w:rPr>
                <w:b/>
                <w:sz w:val="16"/>
              </w:rPr>
            </w:pPr>
            <w:r>
              <w:rPr>
                <w:b/>
                <w:sz w:val="16"/>
              </w:rPr>
              <w:t>Assets/(Liabilities)</w:t>
            </w:r>
          </w:p>
        </w:tc>
      </w:tr>
      <w:tr w:rsidR="00EF3DFB" w14:paraId="7326C896" w14:textId="77777777">
        <w:trPr>
          <w:trHeight w:val="275"/>
        </w:trPr>
        <w:tc>
          <w:tcPr>
            <w:tcW w:w="3934" w:type="dxa"/>
            <w:shd w:val="clear" w:color="auto" w:fill="CCEDFF"/>
          </w:tcPr>
          <w:p w14:paraId="7326C893" w14:textId="77777777" w:rsidR="00EF3DFB" w:rsidRDefault="00D27C17">
            <w:pPr>
              <w:pStyle w:val="TableParagraph"/>
              <w:spacing w:before="15"/>
              <w:ind w:left="52"/>
              <w:rPr>
                <w:b/>
                <w:sz w:val="20"/>
              </w:rPr>
            </w:pPr>
            <w:r>
              <w:rPr>
                <w:b/>
                <w:sz w:val="20"/>
              </w:rPr>
              <w:t>Derivatives designated as effective hedges:</w:t>
            </w:r>
          </w:p>
        </w:tc>
        <w:tc>
          <w:tcPr>
            <w:tcW w:w="4151" w:type="dxa"/>
            <w:tcBorders>
              <w:top w:val="single" w:sz="8" w:space="0" w:color="000000"/>
            </w:tcBorders>
            <w:shd w:val="clear" w:color="auto" w:fill="CCEDFF"/>
          </w:tcPr>
          <w:p w14:paraId="7326C894" w14:textId="77777777" w:rsidR="00EF3DFB" w:rsidRDefault="00EF3DFB">
            <w:pPr>
              <w:pStyle w:val="TableParagraph"/>
              <w:rPr>
                <w:sz w:val="18"/>
              </w:rPr>
            </w:pPr>
          </w:p>
        </w:tc>
        <w:tc>
          <w:tcPr>
            <w:tcW w:w="2474" w:type="dxa"/>
            <w:gridSpan w:val="2"/>
            <w:tcBorders>
              <w:top w:val="single" w:sz="8" w:space="0" w:color="000000"/>
            </w:tcBorders>
            <w:shd w:val="clear" w:color="auto" w:fill="CCEDFF"/>
          </w:tcPr>
          <w:p w14:paraId="7326C895" w14:textId="77777777" w:rsidR="00EF3DFB" w:rsidRDefault="00EF3DFB">
            <w:pPr>
              <w:pStyle w:val="TableParagraph"/>
              <w:rPr>
                <w:sz w:val="18"/>
              </w:rPr>
            </w:pPr>
          </w:p>
        </w:tc>
      </w:tr>
      <w:tr w:rsidR="00EF3DFB" w14:paraId="7326C89A" w14:textId="77777777">
        <w:trPr>
          <w:trHeight w:val="300"/>
        </w:trPr>
        <w:tc>
          <w:tcPr>
            <w:tcW w:w="3934" w:type="dxa"/>
          </w:tcPr>
          <w:p w14:paraId="7326C897" w14:textId="77777777" w:rsidR="00EF3DFB" w:rsidRDefault="00D27C17">
            <w:pPr>
              <w:pStyle w:val="TableParagraph"/>
              <w:spacing w:before="40"/>
              <w:ind w:left="52"/>
              <w:rPr>
                <w:i/>
                <w:sz w:val="20"/>
              </w:rPr>
            </w:pPr>
            <w:r>
              <w:rPr>
                <w:i/>
                <w:sz w:val="20"/>
              </w:rPr>
              <w:t>Cash Flow Hedges:</w:t>
            </w:r>
          </w:p>
        </w:tc>
        <w:tc>
          <w:tcPr>
            <w:tcW w:w="4151" w:type="dxa"/>
          </w:tcPr>
          <w:p w14:paraId="7326C898" w14:textId="77777777" w:rsidR="00EF3DFB" w:rsidRDefault="00EF3DFB">
            <w:pPr>
              <w:pStyle w:val="TableParagraph"/>
              <w:rPr>
                <w:sz w:val="18"/>
              </w:rPr>
            </w:pPr>
          </w:p>
        </w:tc>
        <w:tc>
          <w:tcPr>
            <w:tcW w:w="2474" w:type="dxa"/>
            <w:gridSpan w:val="2"/>
          </w:tcPr>
          <w:p w14:paraId="7326C899" w14:textId="77777777" w:rsidR="00EF3DFB" w:rsidRDefault="00EF3DFB">
            <w:pPr>
              <w:pStyle w:val="TableParagraph"/>
              <w:rPr>
                <w:sz w:val="18"/>
              </w:rPr>
            </w:pPr>
          </w:p>
        </w:tc>
      </w:tr>
      <w:tr w:rsidR="00EF3DFB" w14:paraId="7326C89E" w14:textId="77777777">
        <w:trPr>
          <w:trHeight w:val="300"/>
        </w:trPr>
        <w:tc>
          <w:tcPr>
            <w:tcW w:w="3934" w:type="dxa"/>
            <w:shd w:val="clear" w:color="auto" w:fill="CCEDFF"/>
          </w:tcPr>
          <w:p w14:paraId="7326C89B" w14:textId="77777777" w:rsidR="00EF3DFB" w:rsidRDefault="00D27C17">
            <w:pPr>
              <w:pStyle w:val="TableParagraph"/>
              <w:spacing w:before="40"/>
              <w:ind w:left="292"/>
              <w:rPr>
                <w:sz w:val="20"/>
              </w:rPr>
            </w:pPr>
            <w:r>
              <w:rPr>
                <w:sz w:val="20"/>
              </w:rPr>
              <w:t>Foreign currency contracts</w:t>
            </w:r>
          </w:p>
        </w:tc>
        <w:tc>
          <w:tcPr>
            <w:tcW w:w="4151" w:type="dxa"/>
            <w:shd w:val="clear" w:color="auto" w:fill="CCEDFF"/>
          </w:tcPr>
          <w:p w14:paraId="7326C89C" w14:textId="77777777" w:rsidR="00EF3DFB" w:rsidRDefault="00D27C17">
            <w:pPr>
              <w:pStyle w:val="TableParagraph"/>
              <w:spacing w:before="40"/>
              <w:ind w:right="562"/>
              <w:jc w:val="right"/>
              <w:rPr>
                <w:sz w:val="20"/>
              </w:rPr>
            </w:pPr>
            <w:r>
              <w:rPr>
                <w:sz w:val="20"/>
              </w:rPr>
              <w:t>Prepaid expenses and other current assets</w:t>
            </w:r>
          </w:p>
        </w:tc>
        <w:tc>
          <w:tcPr>
            <w:tcW w:w="2474" w:type="dxa"/>
            <w:gridSpan w:val="2"/>
            <w:shd w:val="clear" w:color="auto" w:fill="CCEDFF"/>
          </w:tcPr>
          <w:p w14:paraId="7326C89D" w14:textId="77777777" w:rsidR="00EF3DFB" w:rsidRDefault="00D27C17">
            <w:pPr>
              <w:pStyle w:val="TableParagraph"/>
              <w:tabs>
                <w:tab w:val="left" w:pos="1018"/>
                <w:tab w:val="left" w:pos="1327"/>
                <w:tab w:val="left" w:pos="2293"/>
              </w:tabs>
              <w:spacing w:before="40"/>
              <w:ind w:left="52"/>
              <w:rPr>
                <w:sz w:val="20"/>
              </w:rPr>
            </w:pPr>
            <w:r>
              <w:rPr>
                <w:sz w:val="20"/>
              </w:rPr>
              <w:t>$</w:t>
            </w:r>
            <w:r>
              <w:rPr>
                <w:sz w:val="20"/>
              </w:rPr>
              <w:tab/>
              <w:t>1</w:t>
            </w:r>
            <w:r>
              <w:rPr>
                <w:sz w:val="20"/>
              </w:rPr>
              <w:tab/>
              <w:t>$</w:t>
            </w:r>
            <w:r>
              <w:rPr>
                <w:sz w:val="20"/>
              </w:rPr>
              <w:tab/>
              <w:t>1</w:t>
            </w:r>
          </w:p>
        </w:tc>
      </w:tr>
      <w:tr w:rsidR="00EF3DFB" w14:paraId="7326C8A2" w14:textId="77777777">
        <w:trPr>
          <w:trHeight w:val="270"/>
        </w:trPr>
        <w:tc>
          <w:tcPr>
            <w:tcW w:w="3934" w:type="dxa"/>
          </w:tcPr>
          <w:p w14:paraId="7326C89F" w14:textId="77777777" w:rsidR="00EF3DFB" w:rsidRDefault="00D27C17">
            <w:pPr>
              <w:pStyle w:val="TableParagraph"/>
              <w:spacing w:before="40" w:line="210" w:lineRule="exact"/>
              <w:ind w:left="292"/>
              <w:rPr>
                <w:sz w:val="20"/>
              </w:rPr>
            </w:pPr>
            <w:r>
              <w:rPr>
                <w:sz w:val="20"/>
              </w:rPr>
              <w:t>Foreign currency contracts</w:t>
            </w:r>
          </w:p>
        </w:tc>
        <w:tc>
          <w:tcPr>
            <w:tcW w:w="4151" w:type="dxa"/>
          </w:tcPr>
          <w:p w14:paraId="7326C8A0" w14:textId="77777777" w:rsidR="00EF3DFB" w:rsidRDefault="00D27C17">
            <w:pPr>
              <w:pStyle w:val="TableParagraph"/>
              <w:spacing w:before="40" w:line="210" w:lineRule="exact"/>
              <w:ind w:left="273"/>
              <w:rPr>
                <w:sz w:val="20"/>
              </w:rPr>
            </w:pPr>
            <w:r>
              <w:rPr>
                <w:sz w:val="20"/>
              </w:rPr>
              <w:t>Other accrued liabilities</w:t>
            </w:r>
          </w:p>
        </w:tc>
        <w:tc>
          <w:tcPr>
            <w:tcW w:w="2474" w:type="dxa"/>
            <w:gridSpan w:val="2"/>
          </w:tcPr>
          <w:p w14:paraId="7326C8A1" w14:textId="77777777" w:rsidR="00EF3DFB" w:rsidRDefault="00D27C17">
            <w:pPr>
              <w:pStyle w:val="TableParagraph"/>
              <w:tabs>
                <w:tab w:val="left" w:pos="2126"/>
              </w:tabs>
              <w:spacing w:before="40" w:line="210" w:lineRule="exact"/>
              <w:ind w:left="851"/>
              <w:rPr>
                <w:sz w:val="20"/>
              </w:rPr>
            </w:pPr>
            <w:r>
              <w:rPr>
                <w:sz w:val="20"/>
              </w:rPr>
              <w:t>(19)</w:t>
            </w:r>
            <w:r>
              <w:rPr>
                <w:sz w:val="20"/>
              </w:rPr>
              <w:tab/>
              <w:t>(13)</w:t>
            </w:r>
          </w:p>
        </w:tc>
      </w:tr>
      <w:tr w:rsidR="00EF3DFB" w14:paraId="7326C8A4" w14:textId="77777777">
        <w:trPr>
          <w:trHeight w:val="329"/>
        </w:trPr>
        <w:tc>
          <w:tcPr>
            <w:tcW w:w="10559" w:type="dxa"/>
            <w:gridSpan w:val="4"/>
            <w:shd w:val="clear" w:color="auto" w:fill="CCEDFF"/>
          </w:tcPr>
          <w:p w14:paraId="7326C8A3" w14:textId="77777777" w:rsidR="00EF3DFB" w:rsidRDefault="00D27C17">
            <w:pPr>
              <w:pStyle w:val="TableParagraph"/>
              <w:spacing w:before="70"/>
              <w:ind w:left="52"/>
              <w:rPr>
                <w:i/>
                <w:sz w:val="20"/>
              </w:rPr>
            </w:pPr>
            <w:r>
              <w:rPr>
                <w:i/>
                <w:sz w:val="20"/>
              </w:rPr>
              <w:t>Fair Value Hedges:</w:t>
            </w:r>
          </w:p>
        </w:tc>
      </w:tr>
      <w:tr w:rsidR="00EF3DFB" w14:paraId="7326C8A9" w14:textId="77777777">
        <w:trPr>
          <w:trHeight w:val="285"/>
        </w:trPr>
        <w:tc>
          <w:tcPr>
            <w:tcW w:w="3934" w:type="dxa"/>
          </w:tcPr>
          <w:p w14:paraId="7326C8A5" w14:textId="77777777" w:rsidR="00EF3DFB" w:rsidRDefault="00D27C17">
            <w:pPr>
              <w:pStyle w:val="TableParagraph"/>
              <w:spacing w:before="25"/>
              <w:ind w:left="292"/>
              <w:rPr>
                <w:sz w:val="20"/>
              </w:rPr>
            </w:pPr>
            <w:r>
              <w:rPr>
                <w:sz w:val="20"/>
              </w:rPr>
              <w:t>Interest rate swaps</w:t>
            </w:r>
          </w:p>
        </w:tc>
        <w:tc>
          <w:tcPr>
            <w:tcW w:w="4151" w:type="dxa"/>
          </w:tcPr>
          <w:p w14:paraId="7326C8A6" w14:textId="77777777" w:rsidR="00EF3DFB" w:rsidRDefault="00D27C17">
            <w:pPr>
              <w:pStyle w:val="TableParagraph"/>
              <w:spacing w:before="25"/>
              <w:ind w:left="273"/>
              <w:rPr>
                <w:sz w:val="20"/>
              </w:rPr>
            </w:pPr>
            <w:r>
              <w:rPr>
                <w:sz w:val="20"/>
              </w:rPr>
              <w:t>Other assets</w:t>
            </w:r>
          </w:p>
        </w:tc>
        <w:tc>
          <w:tcPr>
            <w:tcW w:w="1256" w:type="dxa"/>
          </w:tcPr>
          <w:p w14:paraId="7326C8A7" w14:textId="77777777" w:rsidR="00EF3DFB" w:rsidRDefault="00D27C17">
            <w:pPr>
              <w:pStyle w:val="TableParagraph"/>
              <w:spacing w:before="25"/>
              <w:ind w:right="135"/>
              <w:jc w:val="right"/>
              <w:rPr>
                <w:sz w:val="20"/>
              </w:rPr>
            </w:pPr>
            <w:r>
              <w:rPr>
                <w:sz w:val="20"/>
              </w:rPr>
              <w:t>7</w:t>
            </w:r>
          </w:p>
        </w:tc>
        <w:tc>
          <w:tcPr>
            <w:tcW w:w="1218" w:type="dxa"/>
          </w:tcPr>
          <w:p w14:paraId="7326C8A8" w14:textId="77777777" w:rsidR="00EF3DFB" w:rsidRDefault="00D27C17">
            <w:pPr>
              <w:pStyle w:val="TableParagraph"/>
              <w:spacing w:before="25"/>
              <w:ind w:right="78"/>
              <w:jc w:val="right"/>
              <w:rPr>
                <w:sz w:val="20"/>
              </w:rPr>
            </w:pPr>
            <w:r>
              <w:rPr>
                <w:sz w:val="20"/>
              </w:rPr>
              <w:t>2</w:t>
            </w:r>
          </w:p>
        </w:tc>
      </w:tr>
      <w:tr w:rsidR="00EF3DFB" w14:paraId="7326C8AE" w14:textId="77777777">
        <w:trPr>
          <w:trHeight w:val="285"/>
        </w:trPr>
        <w:tc>
          <w:tcPr>
            <w:tcW w:w="3934" w:type="dxa"/>
            <w:shd w:val="clear" w:color="auto" w:fill="CCEDFF"/>
          </w:tcPr>
          <w:p w14:paraId="7326C8AA" w14:textId="77777777" w:rsidR="00EF3DFB" w:rsidRDefault="00D27C17">
            <w:pPr>
              <w:pStyle w:val="TableParagraph"/>
              <w:spacing w:before="25"/>
              <w:ind w:left="292"/>
              <w:rPr>
                <w:sz w:val="20"/>
              </w:rPr>
            </w:pPr>
            <w:r>
              <w:rPr>
                <w:sz w:val="20"/>
              </w:rPr>
              <w:t>Interest rate swaps</w:t>
            </w:r>
          </w:p>
        </w:tc>
        <w:tc>
          <w:tcPr>
            <w:tcW w:w="4151" w:type="dxa"/>
            <w:shd w:val="clear" w:color="auto" w:fill="CCEDFF"/>
          </w:tcPr>
          <w:p w14:paraId="7326C8AB" w14:textId="77777777" w:rsidR="00EF3DFB" w:rsidRDefault="00D27C17">
            <w:pPr>
              <w:pStyle w:val="TableParagraph"/>
              <w:spacing w:before="25"/>
              <w:ind w:left="273"/>
              <w:rPr>
                <w:sz w:val="20"/>
              </w:rPr>
            </w:pPr>
            <w:r>
              <w:rPr>
                <w:sz w:val="20"/>
              </w:rPr>
              <w:t>Other accrued liabilities</w:t>
            </w:r>
          </w:p>
        </w:tc>
        <w:tc>
          <w:tcPr>
            <w:tcW w:w="1256" w:type="dxa"/>
            <w:shd w:val="clear" w:color="auto" w:fill="CCEDFF"/>
          </w:tcPr>
          <w:p w14:paraId="7326C8AC" w14:textId="77777777" w:rsidR="00EF3DFB" w:rsidRDefault="00D27C17">
            <w:pPr>
              <w:pStyle w:val="TableParagraph"/>
              <w:spacing w:before="25"/>
              <w:ind w:right="135"/>
              <w:jc w:val="right"/>
              <w:rPr>
                <w:sz w:val="20"/>
              </w:rPr>
            </w:pPr>
            <w:r>
              <w:rPr>
                <w:sz w:val="20"/>
              </w:rPr>
              <w:t>—</w:t>
            </w:r>
          </w:p>
        </w:tc>
        <w:tc>
          <w:tcPr>
            <w:tcW w:w="1218" w:type="dxa"/>
            <w:shd w:val="clear" w:color="auto" w:fill="CCEDFF"/>
          </w:tcPr>
          <w:p w14:paraId="7326C8AD" w14:textId="77777777" w:rsidR="00EF3DFB" w:rsidRDefault="00D27C17">
            <w:pPr>
              <w:pStyle w:val="TableParagraph"/>
              <w:spacing w:before="25"/>
              <w:ind w:right="13"/>
              <w:jc w:val="right"/>
              <w:rPr>
                <w:sz w:val="20"/>
              </w:rPr>
            </w:pPr>
            <w:r>
              <w:rPr>
                <w:sz w:val="20"/>
              </w:rPr>
              <w:t>(1)</w:t>
            </w:r>
          </w:p>
        </w:tc>
      </w:tr>
      <w:tr w:rsidR="00EF3DFB" w14:paraId="7326C8B3" w14:textId="77777777">
        <w:trPr>
          <w:trHeight w:val="285"/>
        </w:trPr>
        <w:tc>
          <w:tcPr>
            <w:tcW w:w="3934" w:type="dxa"/>
          </w:tcPr>
          <w:p w14:paraId="7326C8AF" w14:textId="77777777" w:rsidR="00EF3DFB" w:rsidRDefault="00D27C17">
            <w:pPr>
              <w:pStyle w:val="TableParagraph"/>
              <w:spacing w:before="25"/>
              <w:ind w:left="52"/>
              <w:rPr>
                <w:i/>
                <w:sz w:val="20"/>
              </w:rPr>
            </w:pPr>
            <w:r>
              <w:rPr>
                <w:i/>
                <w:sz w:val="20"/>
              </w:rPr>
              <w:t>Net Investment Hedges:</w:t>
            </w:r>
          </w:p>
        </w:tc>
        <w:tc>
          <w:tcPr>
            <w:tcW w:w="4151" w:type="dxa"/>
          </w:tcPr>
          <w:p w14:paraId="7326C8B0" w14:textId="77777777" w:rsidR="00EF3DFB" w:rsidRDefault="00EF3DFB">
            <w:pPr>
              <w:pStyle w:val="TableParagraph"/>
              <w:rPr>
                <w:sz w:val="18"/>
              </w:rPr>
            </w:pPr>
          </w:p>
        </w:tc>
        <w:tc>
          <w:tcPr>
            <w:tcW w:w="1256" w:type="dxa"/>
          </w:tcPr>
          <w:p w14:paraId="7326C8B1" w14:textId="77777777" w:rsidR="00EF3DFB" w:rsidRDefault="00EF3DFB">
            <w:pPr>
              <w:pStyle w:val="TableParagraph"/>
              <w:rPr>
                <w:sz w:val="18"/>
              </w:rPr>
            </w:pPr>
          </w:p>
        </w:tc>
        <w:tc>
          <w:tcPr>
            <w:tcW w:w="1218" w:type="dxa"/>
          </w:tcPr>
          <w:p w14:paraId="7326C8B2" w14:textId="77777777" w:rsidR="00EF3DFB" w:rsidRDefault="00EF3DFB">
            <w:pPr>
              <w:pStyle w:val="TableParagraph"/>
              <w:rPr>
                <w:sz w:val="18"/>
              </w:rPr>
            </w:pPr>
          </w:p>
        </w:tc>
      </w:tr>
      <w:tr w:rsidR="00EF3DFB" w14:paraId="7326C8B8" w14:textId="77777777">
        <w:trPr>
          <w:trHeight w:val="300"/>
        </w:trPr>
        <w:tc>
          <w:tcPr>
            <w:tcW w:w="3934" w:type="dxa"/>
            <w:shd w:val="clear" w:color="auto" w:fill="CCEDFF"/>
          </w:tcPr>
          <w:p w14:paraId="7326C8B4" w14:textId="77777777" w:rsidR="00EF3DFB" w:rsidRDefault="00D27C17">
            <w:pPr>
              <w:pStyle w:val="TableParagraph"/>
              <w:spacing w:before="40"/>
              <w:ind w:left="292"/>
              <w:rPr>
                <w:sz w:val="20"/>
              </w:rPr>
            </w:pPr>
            <w:r>
              <w:rPr>
                <w:sz w:val="20"/>
              </w:rPr>
              <w:t>Cross-currency swaps</w:t>
            </w:r>
          </w:p>
        </w:tc>
        <w:tc>
          <w:tcPr>
            <w:tcW w:w="4151" w:type="dxa"/>
            <w:shd w:val="clear" w:color="auto" w:fill="CCEDFF"/>
          </w:tcPr>
          <w:p w14:paraId="7326C8B5" w14:textId="77777777" w:rsidR="00EF3DFB" w:rsidRDefault="00D27C17">
            <w:pPr>
              <w:pStyle w:val="TableParagraph"/>
              <w:spacing w:before="40"/>
              <w:ind w:right="562"/>
              <w:jc w:val="right"/>
              <w:rPr>
                <w:sz w:val="20"/>
              </w:rPr>
            </w:pPr>
            <w:r>
              <w:rPr>
                <w:sz w:val="20"/>
              </w:rPr>
              <w:t>Prepaid expenses and other current assets</w:t>
            </w:r>
          </w:p>
        </w:tc>
        <w:tc>
          <w:tcPr>
            <w:tcW w:w="1256" w:type="dxa"/>
            <w:shd w:val="clear" w:color="auto" w:fill="CCEDFF"/>
          </w:tcPr>
          <w:p w14:paraId="7326C8B6" w14:textId="77777777" w:rsidR="00EF3DFB" w:rsidRDefault="00D27C17">
            <w:pPr>
              <w:pStyle w:val="TableParagraph"/>
              <w:spacing w:before="40"/>
              <w:ind w:right="135"/>
              <w:jc w:val="right"/>
              <w:rPr>
                <w:sz w:val="20"/>
              </w:rPr>
            </w:pPr>
            <w:r>
              <w:rPr>
                <w:sz w:val="20"/>
              </w:rPr>
              <w:t>10</w:t>
            </w:r>
          </w:p>
        </w:tc>
        <w:tc>
          <w:tcPr>
            <w:tcW w:w="1218" w:type="dxa"/>
            <w:shd w:val="clear" w:color="auto" w:fill="CCEDFF"/>
          </w:tcPr>
          <w:p w14:paraId="7326C8B7" w14:textId="77777777" w:rsidR="00EF3DFB" w:rsidRDefault="00D27C17">
            <w:pPr>
              <w:pStyle w:val="TableParagraph"/>
              <w:spacing w:before="40"/>
              <w:ind w:right="78"/>
              <w:jc w:val="right"/>
              <w:rPr>
                <w:sz w:val="20"/>
              </w:rPr>
            </w:pPr>
            <w:r>
              <w:rPr>
                <w:sz w:val="20"/>
              </w:rPr>
              <w:t>—</w:t>
            </w:r>
          </w:p>
        </w:tc>
      </w:tr>
      <w:tr w:rsidR="00EF3DFB" w14:paraId="7326C8BD" w14:textId="77777777">
        <w:trPr>
          <w:trHeight w:val="300"/>
        </w:trPr>
        <w:tc>
          <w:tcPr>
            <w:tcW w:w="3934" w:type="dxa"/>
          </w:tcPr>
          <w:p w14:paraId="7326C8B9" w14:textId="77777777" w:rsidR="00EF3DFB" w:rsidRDefault="00D27C17">
            <w:pPr>
              <w:pStyle w:val="TableParagraph"/>
              <w:spacing w:before="40"/>
              <w:ind w:left="292"/>
              <w:rPr>
                <w:sz w:val="20"/>
              </w:rPr>
            </w:pPr>
            <w:r>
              <w:rPr>
                <w:sz w:val="20"/>
              </w:rPr>
              <w:t>Cross-currency swaps</w:t>
            </w:r>
          </w:p>
        </w:tc>
        <w:tc>
          <w:tcPr>
            <w:tcW w:w="4151" w:type="dxa"/>
          </w:tcPr>
          <w:p w14:paraId="7326C8BA" w14:textId="77777777" w:rsidR="00EF3DFB" w:rsidRDefault="00D27C17">
            <w:pPr>
              <w:pStyle w:val="TableParagraph"/>
              <w:spacing w:before="40"/>
              <w:ind w:left="273"/>
              <w:rPr>
                <w:sz w:val="20"/>
              </w:rPr>
            </w:pPr>
            <w:r>
              <w:rPr>
                <w:sz w:val="20"/>
              </w:rPr>
              <w:t>Other noncurrent liabilities</w:t>
            </w:r>
          </w:p>
        </w:tc>
        <w:tc>
          <w:tcPr>
            <w:tcW w:w="1256" w:type="dxa"/>
          </w:tcPr>
          <w:p w14:paraId="7326C8BB" w14:textId="77777777" w:rsidR="00EF3DFB" w:rsidRDefault="00D27C17">
            <w:pPr>
              <w:pStyle w:val="TableParagraph"/>
              <w:spacing w:before="40"/>
              <w:ind w:right="70"/>
              <w:jc w:val="right"/>
              <w:rPr>
                <w:sz w:val="20"/>
              </w:rPr>
            </w:pPr>
            <w:r>
              <w:rPr>
                <w:sz w:val="20"/>
              </w:rPr>
              <w:t>(102)</w:t>
            </w:r>
          </w:p>
        </w:tc>
        <w:tc>
          <w:tcPr>
            <w:tcW w:w="1218" w:type="dxa"/>
          </w:tcPr>
          <w:p w14:paraId="7326C8BC" w14:textId="77777777" w:rsidR="00EF3DFB" w:rsidRDefault="00D27C17">
            <w:pPr>
              <w:pStyle w:val="TableParagraph"/>
              <w:spacing w:before="40"/>
              <w:ind w:right="78"/>
              <w:jc w:val="right"/>
              <w:rPr>
                <w:sz w:val="20"/>
              </w:rPr>
            </w:pPr>
            <w:r>
              <w:rPr>
                <w:sz w:val="20"/>
              </w:rPr>
              <w:t>—</w:t>
            </w:r>
          </w:p>
        </w:tc>
      </w:tr>
      <w:tr w:rsidR="00EF3DFB" w14:paraId="7326C8C2" w14:textId="77777777">
        <w:trPr>
          <w:trHeight w:val="300"/>
        </w:trPr>
        <w:tc>
          <w:tcPr>
            <w:tcW w:w="3934" w:type="dxa"/>
            <w:shd w:val="clear" w:color="auto" w:fill="CCEDFF"/>
          </w:tcPr>
          <w:p w14:paraId="7326C8BE" w14:textId="77777777" w:rsidR="00EF3DFB" w:rsidRDefault="00EF3DFB">
            <w:pPr>
              <w:pStyle w:val="TableParagraph"/>
              <w:rPr>
                <w:sz w:val="18"/>
              </w:rPr>
            </w:pPr>
          </w:p>
        </w:tc>
        <w:tc>
          <w:tcPr>
            <w:tcW w:w="4151" w:type="dxa"/>
            <w:shd w:val="clear" w:color="auto" w:fill="CCEDFF"/>
          </w:tcPr>
          <w:p w14:paraId="7326C8BF" w14:textId="77777777" w:rsidR="00EF3DFB" w:rsidRDefault="00EF3DFB">
            <w:pPr>
              <w:pStyle w:val="TableParagraph"/>
              <w:rPr>
                <w:sz w:val="18"/>
              </w:rPr>
            </w:pPr>
          </w:p>
        </w:tc>
        <w:tc>
          <w:tcPr>
            <w:tcW w:w="1256" w:type="dxa"/>
            <w:shd w:val="clear" w:color="auto" w:fill="CCEDFF"/>
          </w:tcPr>
          <w:p w14:paraId="7326C8C0" w14:textId="77777777" w:rsidR="00EF3DFB" w:rsidRDefault="00EF3DFB">
            <w:pPr>
              <w:pStyle w:val="TableParagraph"/>
              <w:rPr>
                <w:sz w:val="18"/>
              </w:rPr>
            </w:pPr>
          </w:p>
        </w:tc>
        <w:tc>
          <w:tcPr>
            <w:tcW w:w="1218" w:type="dxa"/>
            <w:shd w:val="clear" w:color="auto" w:fill="CCEDFF"/>
          </w:tcPr>
          <w:p w14:paraId="7326C8C1" w14:textId="77777777" w:rsidR="00EF3DFB" w:rsidRDefault="00EF3DFB">
            <w:pPr>
              <w:pStyle w:val="TableParagraph"/>
              <w:rPr>
                <w:sz w:val="18"/>
              </w:rPr>
            </w:pPr>
          </w:p>
        </w:tc>
      </w:tr>
      <w:tr w:rsidR="00EF3DFB" w14:paraId="7326C8C7" w14:textId="77777777">
        <w:trPr>
          <w:trHeight w:val="300"/>
        </w:trPr>
        <w:tc>
          <w:tcPr>
            <w:tcW w:w="3934" w:type="dxa"/>
          </w:tcPr>
          <w:p w14:paraId="7326C8C3" w14:textId="77777777" w:rsidR="00EF3DFB" w:rsidRDefault="00D27C17">
            <w:pPr>
              <w:pStyle w:val="TableParagraph"/>
              <w:spacing w:before="40"/>
              <w:ind w:left="52"/>
              <w:rPr>
                <w:b/>
                <w:sz w:val="20"/>
              </w:rPr>
            </w:pPr>
            <w:r>
              <w:rPr>
                <w:b/>
                <w:sz w:val="20"/>
              </w:rPr>
              <w:t>Derivatives not designated as effective hedges</w:t>
            </w:r>
          </w:p>
        </w:tc>
        <w:tc>
          <w:tcPr>
            <w:tcW w:w="4151" w:type="dxa"/>
          </w:tcPr>
          <w:p w14:paraId="7326C8C4" w14:textId="77777777" w:rsidR="00EF3DFB" w:rsidRDefault="00D27C17">
            <w:pPr>
              <w:pStyle w:val="TableParagraph"/>
              <w:spacing w:before="40"/>
              <w:ind w:left="-13"/>
              <w:rPr>
                <w:b/>
                <w:sz w:val="20"/>
              </w:rPr>
            </w:pPr>
            <w:r>
              <w:rPr>
                <w:b/>
                <w:sz w:val="20"/>
              </w:rPr>
              <w:t>:</w:t>
            </w:r>
          </w:p>
        </w:tc>
        <w:tc>
          <w:tcPr>
            <w:tcW w:w="1256" w:type="dxa"/>
          </w:tcPr>
          <w:p w14:paraId="7326C8C5" w14:textId="77777777" w:rsidR="00EF3DFB" w:rsidRDefault="00EF3DFB">
            <w:pPr>
              <w:pStyle w:val="TableParagraph"/>
              <w:rPr>
                <w:sz w:val="18"/>
              </w:rPr>
            </w:pPr>
          </w:p>
        </w:tc>
        <w:tc>
          <w:tcPr>
            <w:tcW w:w="1218" w:type="dxa"/>
          </w:tcPr>
          <w:p w14:paraId="7326C8C6" w14:textId="77777777" w:rsidR="00EF3DFB" w:rsidRDefault="00EF3DFB">
            <w:pPr>
              <w:pStyle w:val="TableParagraph"/>
              <w:rPr>
                <w:sz w:val="18"/>
              </w:rPr>
            </w:pPr>
          </w:p>
        </w:tc>
      </w:tr>
      <w:tr w:rsidR="00EF3DFB" w14:paraId="7326C8CC" w14:textId="77777777">
        <w:trPr>
          <w:trHeight w:val="300"/>
        </w:trPr>
        <w:tc>
          <w:tcPr>
            <w:tcW w:w="3934" w:type="dxa"/>
            <w:shd w:val="clear" w:color="auto" w:fill="CCEDFF"/>
          </w:tcPr>
          <w:p w14:paraId="7326C8C8" w14:textId="77777777" w:rsidR="00EF3DFB" w:rsidRDefault="00D27C17">
            <w:pPr>
              <w:pStyle w:val="TableParagraph"/>
              <w:spacing w:before="40"/>
              <w:ind w:left="292"/>
              <w:rPr>
                <w:sz w:val="20"/>
              </w:rPr>
            </w:pPr>
            <w:r>
              <w:rPr>
                <w:sz w:val="20"/>
              </w:rPr>
              <w:t>Foreign currency contracts</w:t>
            </w:r>
          </w:p>
        </w:tc>
        <w:tc>
          <w:tcPr>
            <w:tcW w:w="4151" w:type="dxa"/>
            <w:shd w:val="clear" w:color="auto" w:fill="CCEDFF"/>
          </w:tcPr>
          <w:p w14:paraId="7326C8C9" w14:textId="77777777" w:rsidR="00EF3DFB" w:rsidRDefault="00D27C17">
            <w:pPr>
              <w:pStyle w:val="TableParagraph"/>
              <w:spacing w:before="40"/>
              <w:ind w:right="562"/>
              <w:jc w:val="right"/>
              <w:rPr>
                <w:sz w:val="20"/>
              </w:rPr>
            </w:pPr>
            <w:r>
              <w:rPr>
                <w:sz w:val="20"/>
              </w:rPr>
              <w:t>Prepaid expenses and other current assets</w:t>
            </w:r>
          </w:p>
        </w:tc>
        <w:tc>
          <w:tcPr>
            <w:tcW w:w="1256" w:type="dxa"/>
            <w:shd w:val="clear" w:color="auto" w:fill="CCEDFF"/>
          </w:tcPr>
          <w:p w14:paraId="7326C8CA" w14:textId="77777777" w:rsidR="00EF3DFB" w:rsidRDefault="00D27C17">
            <w:pPr>
              <w:pStyle w:val="TableParagraph"/>
              <w:spacing w:before="40"/>
              <w:ind w:right="135"/>
              <w:jc w:val="right"/>
              <w:rPr>
                <w:sz w:val="20"/>
              </w:rPr>
            </w:pPr>
            <w:r>
              <w:rPr>
                <w:sz w:val="20"/>
              </w:rPr>
              <w:t>10</w:t>
            </w:r>
          </w:p>
        </w:tc>
        <w:tc>
          <w:tcPr>
            <w:tcW w:w="1218" w:type="dxa"/>
            <w:shd w:val="clear" w:color="auto" w:fill="CCEDFF"/>
          </w:tcPr>
          <w:p w14:paraId="7326C8CB" w14:textId="77777777" w:rsidR="00EF3DFB" w:rsidRDefault="00D27C17">
            <w:pPr>
              <w:pStyle w:val="TableParagraph"/>
              <w:spacing w:before="40"/>
              <w:ind w:right="78"/>
              <w:jc w:val="right"/>
              <w:rPr>
                <w:sz w:val="20"/>
              </w:rPr>
            </w:pPr>
            <w:r>
              <w:rPr>
                <w:sz w:val="20"/>
              </w:rPr>
              <w:t>10</w:t>
            </w:r>
          </w:p>
        </w:tc>
      </w:tr>
      <w:tr w:rsidR="00EF3DFB" w14:paraId="7326C8D1" w14:textId="77777777">
        <w:trPr>
          <w:trHeight w:val="290"/>
        </w:trPr>
        <w:tc>
          <w:tcPr>
            <w:tcW w:w="3934" w:type="dxa"/>
          </w:tcPr>
          <w:p w14:paraId="7326C8CD" w14:textId="77777777" w:rsidR="00EF3DFB" w:rsidRDefault="00D27C17">
            <w:pPr>
              <w:pStyle w:val="TableParagraph"/>
              <w:spacing w:before="40" w:line="230" w:lineRule="exact"/>
              <w:ind w:left="292"/>
              <w:rPr>
                <w:sz w:val="20"/>
              </w:rPr>
            </w:pPr>
            <w:r>
              <w:rPr>
                <w:sz w:val="20"/>
              </w:rPr>
              <w:t>Foreign currency contracts</w:t>
            </w:r>
          </w:p>
        </w:tc>
        <w:tc>
          <w:tcPr>
            <w:tcW w:w="4151" w:type="dxa"/>
          </w:tcPr>
          <w:p w14:paraId="7326C8CE" w14:textId="77777777" w:rsidR="00EF3DFB" w:rsidRDefault="00D27C17">
            <w:pPr>
              <w:pStyle w:val="TableParagraph"/>
              <w:spacing w:before="40" w:line="230" w:lineRule="exact"/>
              <w:ind w:left="273"/>
              <w:rPr>
                <w:sz w:val="20"/>
              </w:rPr>
            </w:pPr>
            <w:r>
              <w:rPr>
                <w:sz w:val="20"/>
              </w:rPr>
              <w:t>Other accrued liabilities</w:t>
            </w:r>
          </w:p>
        </w:tc>
        <w:tc>
          <w:tcPr>
            <w:tcW w:w="1256" w:type="dxa"/>
            <w:tcBorders>
              <w:bottom w:val="single" w:sz="8" w:space="0" w:color="000000"/>
            </w:tcBorders>
          </w:tcPr>
          <w:p w14:paraId="7326C8CF" w14:textId="77777777" w:rsidR="00EF3DFB" w:rsidRDefault="00D27C17">
            <w:pPr>
              <w:pStyle w:val="TableParagraph"/>
              <w:spacing w:before="40" w:line="230" w:lineRule="exact"/>
              <w:ind w:right="70"/>
              <w:jc w:val="right"/>
              <w:rPr>
                <w:sz w:val="20"/>
              </w:rPr>
            </w:pPr>
            <w:r>
              <w:rPr>
                <w:sz w:val="20"/>
              </w:rPr>
              <w:t>(17)</w:t>
            </w:r>
          </w:p>
        </w:tc>
        <w:tc>
          <w:tcPr>
            <w:tcW w:w="1218" w:type="dxa"/>
            <w:tcBorders>
              <w:bottom w:val="single" w:sz="8" w:space="0" w:color="000000"/>
            </w:tcBorders>
          </w:tcPr>
          <w:p w14:paraId="7326C8D0" w14:textId="77777777" w:rsidR="00EF3DFB" w:rsidRDefault="00D27C17">
            <w:pPr>
              <w:pStyle w:val="TableParagraph"/>
              <w:spacing w:before="40" w:line="230" w:lineRule="exact"/>
              <w:ind w:right="13"/>
              <w:jc w:val="right"/>
              <w:rPr>
                <w:sz w:val="20"/>
              </w:rPr>
            </w:pPr>
            <w:r>
              <w:rPr>
                <w:sz w:val="20"/>
              </w:rPr>
              <w:t>(4)</w:t>
            </w:r>
          </w:p>
        </w:tc>
      </w:tr>
      <w:tr w:rsidR="00EF3DFB" w14:paraId="7326C8D6" w14:textId="77777777">
        <w:trPr>
          <w:trHeight w:val="300"/>
        </w:trPr>
        <w:tc>
          <w:tcPr>
            <w:tcW w:w="3934" w:type="dxa"/>
            <w:shd w:val="clear" w:color="auto" w:fill="CCEDFF"/>
          </w:tcPr>
          <w:p w14:paraId="7326C8D2" w14:textId="77777777" w:rsidR="00EF3DFB" w:rsidRDefault="00D27C17">
            <w:pPr>
              <w:pStyle w:val="TableParagraph"/>
              <w:spacing w:before="30"/>
              <w:ind w:left="52"/>
              <w:rPr>
                <w:b/>
                <w:sz w:val="20"/>
              </w:rPr>
            </w:pPr>
            <w:r>
              <w:rPr>
                <w:b/>
                <w:sz w:val="20"/>
              </w:rPr>
              <w:t>Total</w:t>
            </w:r>
          </w:p>
        </w:tc>
        <w:tc>
          <w:tcPr>
            <w:tcW w:w="4151" w:type="dxa"/>
            <w:shd w:val="clear" w:color="auto" w:fill="CCEDFF"/>
          </w:tcPr>
          <w:p w14:paraId="7326C8D3" w14:textId="77777777" w:rsidR="00EF3DFB" w:rsidRDefault="00EF3DFB">
            <w:pPr>
              <w:pStyle w:val="TableParagraph"/>
              <w:rPr>
                <w:sz w:val="18"/>
              </w:rPr>
            </w:pPr>
          </w:p>
        </w:tc>
        <w:tc>
          <w:tcPr>
            <w:tcW w:w="1256" w:type="dxa"/>
            <w:tcBorders>
              <w:top w:val="single" w:sz="8" w:space="0" w:color="000000"/>
              <w:bottom w:val="single" w:sz="8" w:space="0" w:color="000000"/>
            </w:tcBorders>
            <w:shd w:val="clear" w:color="auto" w:fill="CCEDFF"/>
          </w:tcPr>
          <w:p w14:paraId="7326C8D4" w14:textId="77777777" w:rsidR="00EF3DFB" w:rsidRDefault="00D27C17">
            <w:pPr>
              <w:pStyle w:val="TableParagraph"/>
              <w:tabs>
                <w:tab w:val="left" w:pos="699"/>
              </w:tabs>
              <w:spacing w:before="30"/>
              <w:ind w:right="70"/>
              <w:jc w:val="right"/>
              <w:rPr>
                <w:sz w:val="20"/>
              </w:rPr>
            </w:pPr>
            <w:r>
              <w:rPr>
                <w:sz w:val="20"/>
                <w:u w:val="single"/>
              </w:rPr>
              <w:t>$</w:t>
            </w:r>
            <w:r>
              <w:rPr>
                <w:sz w:val="20"/>
                <w:u w:val="single"/>
              </w:rPr>
              <w:tab/>
              <w:t>(110)</w:t>
            </w:r>
          </w:p>
        </w:tc>
        <w:tc>
          <w:tcPr>
            <w:tcW w:w="1218" w:type="dxa"/>
            <w:tcBorders>
              <w:top w:val="single" w:sz="8" w:space="0" w:color="000000"/>
              <w:bottom w:val="single" w:sz="8" w:space="0" w:color="000000"/>
            </w:tcBorders>
            <w:shd w:val="clear" w:color="auto" w:fill="CCEDFF"/>
          </w:tcPr>
          <w:p w14:paraId="7326C8D5" w14:textId="77777777" w:rsidR="00EF3DFB" w:rsidRDefault="00D27C17">
            <w:pPr>
              <w:pStyle w:val="TableParagraph"/>
              <w:tabs>
                <w:tab w:val="left" w:pos="899"/>
              </w:tabs>
              <w:spacing w:before="30"/>
              <w:ind w:right="13"/>
              <w:jc w:val="right"/>
              <w:rPr>
                <w:sz w:val="20"/>
              </w:rPr>
            </w:pPr>
            <w:r>
              <w:rPr>
                <w:sz w:val="20"/>
                <w:u w:val="single"/>
              </w:rPr>
              <w:t>$</w:t>
            </w:r>
            <w:r>
              <w:rPr>
                <w:sz w:val="20"/>
                <w:u w:val="single"/>
              </w:rPr>
              <w:tab/>
            </w:r>
            <w:r>
              <w:rPr>
                <w:sz w:val="20"/>
                <w:u w:val="single"/>
              </w:rPr>
              <w:t>(5)</w:t>
            </w:r>
          </w:p>
        </w:tc>
      </w:tr>
    </w:tbl>
    <w:p w14:paraId="7326C8D7" w14:textId="77777777" w:rsidR="00EF3DFB" w:rsidRDefault="00EF3DFB">
      <w:pPr>
        <w:pStyle w:val="BodyText"/>
        <w:spacing w:before="8"/>
        <w:rPr>
          <w:sz w:val="17"/>
        </w:rPr>
      </w:pPr>
    </w:p>
    <w:p w14:paraId="7326C8D8" w14:textId="77777777" w:rsidR="00EF3DFB" w:rsidRDefault="00D27C17">
      <w:pPr>
        <w:pStyle w:val="BodyText"/>
        <w:spacing w:line="249" w:lineRule="auto"/>
        <w:ind w:left="190" w:right="170"/>
      </w:pPr>
      <w:r>
        <w:t>The Company recognized expense of $9 million, $11 million and $2 million in other (income) expense, net, during 2020 and 2019 and 2018, respectively, related to derivatives that are not designated as hedging instruments.</w:t>
      </w:r>
    </w:p>
    <w:p w14:paraId="7326C8D9" w14:textId="77777777" w:rsidR="00EF3DFB" w:rsidRDefault="00EF3DFB">
      <w:pPr>
        <w:pStyle w:val="BodyText"/>
        <w:rPr>
          <w:sz w:val="21"/>
        </w:rPr>
      </w:pPr>
    </w:p>
    <w:p w14:paraId="7326C8DA" w14:textId="77777777" w:rsidR="00EF3DFB" w:rsidRDefault="00D27C17">
      <w:pPr>
        <w:pStyle w:val="BodyText"/>
        <w:ind w:left="190"/>
      </w:pPr>
      <w:r>
        <w:t xml:space="preserve">The Company is not a party to any </w:t>
      </w:r>
      <w:r>
        <w:t>derivatives that require collateral to be posted prior to settlement.</w:t>
      </w:r>
    </w:p>
    <w:p w14:paraId="7326C8DB" w14:textId="77777777" w:rsidR="00EF3DFB" w:rsidRDefault="00EF3DFB">
      <w:pPr>
        <w:pStyle w:val="BodyText"/>
        <w:spacing w:before="9"/>
        <w:rPr>
          <w:sz w:val="21"/>
        </w:rPr>
      </w:pPr>
    </w:p>
    <w:p w14:paraId="7326C8DC" w14:textId="77777777" w:rsidR="00EF3DFB" w:rsidRDefault="00D27C17">
      <w:pPr>
        <w:pStyle w:val="BodyText"/>
        <w:spacing w:line="249" w:lineRule="auto"/>
        <w:ind w:left="190"/>
      </w:pPr>
      <w:r>
        <w:t>The following table presents pre-tax gain and loss activity for 2020, 2019 and 2018 related to derivative financial instruments designated as effective hedges:</w:t>
      </w:r>
    </w:p>
    <w:p w14:paraId="7326C8DD" w14:textId="77777777" w:rsidR="00EF3DFB" w:rsidRDefault="00EF3DFB">
      <w:pPr>
        <w:pStyle w:val="BodyText"/>
        <w:spacing w:before="2"/>
        <w:rPr>
          <w:sz w:val="7"/>
        </w:rPr>
      </w:pPr>
    </w:p>
    <w:tbl>
      <w:tblPr>
        <w:tblW w:w="0" w:type="auto"/>
        <w:tblInd w:w="190" w:type="dxa"/>
        <w:tblLayout w:type="fixed"/>
        <w:tblCellMar>
          <w:left w:w="0" w:type="dxa"/>
          <w:right w:w="0" w:type="dxa"/>
        </w:tblCellMar>
        <w:tblLook w:val="01E0" w:firstRow="1" w:lastRow="1" w:firstColumn="1" w:lastColumn="1" w:noHBand="0" w:noVBand="0"/>
      </w:tblPr>
      <w:tblGrid>
        <w:gridCol w:w="2813"/>
        <w:gridCol w:w="2028"/>
        <w:gridCol w:w="1155"/>
        <w:gridCol w:w="1170"/>
        <w:gridCol w:w="1080"/>
        <w:gridCol w:w="1275"/>
        <w:gridCol w:w="1099"/>
      </w:tblGrid>
      <w:tr w:rsidR="00EF3DFB" w14:paraId="7326C8E1" w14:textId="77777777">
        <w:trPr>
          <w:trHeight w:val="196"/>
        </w:trPr>
        <w:tc>
          <w:tcPr>
            <w:tcW w:w="5996" w:type="dxa"/>
            <w:gridSpan w:val="3"/>
          </w:tcPr>
          <w:p w14:paraId="7326C8DE" w14:textId="77777777" w:rsidR="00EF3DFB" w:rsidRDefault="00D27C17">
            <w:pPr>
              <w:pStyle w:val="TableParagraph"/>
              <w:spacing w:line="177" w:lineRule="exact"/>
              <w:ind w:right="1071"/>
              <w:jc w:val="right"/>
              <w:rPr>
                <w:b/>
                <w:sz w:val="16"/>
              </w:rPr>
            </w:pPr>
            <w:r>
              <w:rPr>
                <w:b/>
                <w:sz w:val="16"/>
              </w:rPr>
              <w:t>2020</w:t>
            </w:r>
          </w:p>
        </w:tc>
        <w:tc>
          <w:tcPr>
            <w:tcW w:w="2250" w:type="dxa"/>
            <w:gridSpan w:val="2"/>
            <w:tcBorders>
              <w:bottom w:val="single" w:sz="8" w:space="0" w:color="000000"/>
            </w:tcBorders>
          </w:tcPr>
          <w:p w14:paraId="7326C8DF" w14:textId="77777777" w:rsidR="00EF3DFB" w:rsidRDefault="00D27C17">
            <w:pPr>
              <w:pStyle w:val="TableParagraph"/>
              <w:spacing w:line="177" w:lineRule="exact"/>
              <w:ind w:left="927" w:right="962"/>
              <w:jc w:val="center"/>
              <w:rPr>
                <w:b/>
                <w:sz w:val="16"/>
              </w:rPr>
            </w:pPr>
            <w:r>
              <w:rPr>
                <w:b/>
                <w:sz w:val="16"/>
              </w:rPr>
              <w:t>2019</w:t>
            </w:r>
          </w:p>
        </w:tc>
        <w:tc>
          <w:tcPr>
            <w:tcW w:w="2374" w:type="dxa"/>
            <w:gridSpan w:val="2"/>
            <w:tcBorders>
              <w:bottom w:val="single" w:sz="8" w:space="0" w:color="000000"/>
            </w:tcBorders>
          </w:tcPr>
          <w:p w14:paraId="7326C8E0" w14:textId="77777777" w:rsidR="00EF3DFB" w:rsidRDefault="00D27C17">
            <w:pPr>
              <w:pStyle w:val="TableParagraph"/>
              <w:spacing w:line="177" w:lineRule="exact"/>
              <w:ind w:left="1016" w:right="998"/>
              <w:jc w:val="center"/>
              <w:rPr>
                <w:b/>
                <w:sz w:val="16"/>
              </w:rPr>
            </w:pPr>
            <w:r>
              <w:rPr>
                <w:b/>
                <w:sz w:val="16"/>
              </w:rPr>
              <w:t>2018</w:t>
            </w:r>
          </w:p>
        </w:tc>
      </w:tr>
      <w:tr w:rsidR="00EF3DFB" w14:paraId="7326C8E5" w14:textId="77777777">
        <w:trPr>
          <w:trHeight w:val="220"/>
        </w:trPr>
        <w:tc>
          <w:tcPr>
            <w:tcW w:w="5996" w:type="dxa"/>
            <w:gridSpan w:val="3"/>
          </w:tcPr>
          <w:p w14:paraId="7326C8E2" w14:textId="77777777" w:rsidR="00EF3DFB" w:rsidRDefault="00D27C17">
            <w:pPr>
              <w:pStyle w:val="TableParagraph"/>
              <w:spacing w:before="16" w:line="184" w:lineRule="exact"/>
              <w:ind w:right="812"/>
              <w:jc w:val="right"/>
              <w:rPr>
                <w:b/>
                <w:sz w:val="16"/>
              </w:rPr>
            </w:pPr>
            <w:r>
              <w:rPr>
                <w:b/>
                <w:sz w:val="16"/>
              </w:rPr>
              <w:t>Gain/(Loss)</w:t>
            </w:r>
          </w:p>
        </w:tc>
        <w:tc>
          <w:tcPr>
            <w:tcW w:w="2250" w:type="dxa"/>
            <w:gridSpan w:val="2"/>
            <w:tcBorders>
              <w:top w:val="single" w:sz="8" w:space="0" w:color="000000"/>
              <w:bottom w:val="single" w:sz="8" w:space="0" w:color="000000"/>
            </w:tcBorders>
          </w:tcPr>
          <w:p w14:paraId="7326C8E3" w14:textId="77777777" w:rsidR="00EF3DFB" w:rsidRDefault="00D27C17">
            <w:pPr>
              <w:pStyle w:val="TableParagraph"/>
              <w:spacing w:before="16" w:line="184" w:lineRule="exact"/>
              <w:ind w:left="725"/>
              <w:rPr>
                <w:b/>
                <w:sz w:val="16"/>
              </w:rPr>
            </w:pPr>
            <w:r>
              <w:rPr>
                <w:b/>
                <w:sz w:val="16"/>
              </w:rPr>
              <w:t>Gain/(Loss)</w:t>
            </w:r>
          </w:p>
        </w:tc>
        <w:tc>
          <w:tcPr>
            <w:tcW w:w="2374" w:type="dxa"/>
            <w:gridSpan w:val="2"/>
            <w:tcBorders>
              <w:top w:val="single" w:sz="8" w:space="0" w:color="000000"/>
              <w:bottom w:val="single" w:sz="8" w:space="0" w:color="000000"/>
            </w:tcBorders>
          </w:tcPr>
          <w:p w14:paraId="7326C8E4" w14:textId="77777777" w:rsidR="00EF3DFB" w:rsidRDefault="00D27C17">
            <w:pPr>
              <w:pStyle w:val="TableParagraph"/>
              <w:spacing w:before="16" w:line="184" w:lineRule="exact"/>
              <w:ind w:left="815"/>
              <w:rPr>
                <w:b/>
                <w:sz w:val="16"/>
              </w:rPr>
            </w:pPr>
            <w:r>
              <w:rPr>
                <w:b/>
                <w:sz w:val="16"/>
              </w:rPr>
              <w:t>Gain/(Loss)</w:t>
            </w:r>
          </w:p>
        </w:tc>
      </w:tr>
      <w:tr w:rsidR="00EF3DFB" w14:paraId="7326C8F0" w14:textId="77777777">
        <w:trPr>
          <w:trHeight w:val="435"/>
        </w:trPr>
        <w:tc>
          <w:tcPr>
            <w:tcW w:w="2813" w:type="dxa"/>
          </w:tcPr>
          <w:p w14:paraId="7326C8E6" w14:textId="77777777" w:rsidR="00EF3DFB" w:rsidRDefault="00EF3DFB">
            <w:pPr>
              <w:pStyle w:val="TableParagraph"/>
              <w:rPr>
                <w:sz w:val="18"/>
              </w:rPr>
            </w:pPr>
          </w:p>
        </w:tc>
        <w:tc>
          <w:tcPr>
            <w:tcW w:w="2028" w:type="dxa"/>
          </w:tcPr>
          <w:p w14:paraId="7326C8E7" w14:textId="77777777" w:rsidR="00EF3DFB" w:rsidRDefault="00EF3DFB">
            <w:pPr>
              <w:pStyle w:val="TableParagraph"/>
              <w:spacing w:before="4"/>
              <w:rPr>
                <w:sz w:val="20"/>
              </w:rPr>
            </w:pPr>
          </w:p>
          <w:p w14:paraId="7326C8E8" w14:textId="77777777" w:rsidR="00EF3DFB" w:rsidRDefault="00D27C17">
            <w:pPr>
              <w:pStyle w:val="TableParagraph"/>
              <w:spacing w:line="171" w:lineRule="exact"/>
              <w:ind w:left="999"/>
              <w:rPr>
                <w:b/>
                <w:sz w:val="16"/>
              </w:rPr>
            </w:pPr>
            <w:r>
              <w:rPr>
                <w:b/>
                <w:sz w:val="16"/>
              </w:rPr>
              <w:t>Recognized</w:t>
            </w:r>
          </w:p>
        </w:tc>
        <w:tc>
          <w:tcPr>
            <w:tcW w:w="1155" w:type="dxa"/>
          </w:tcPr>
          <w:p w14:paraId="7326C8E9" w14:textId="77777777" w:rsidR="00EF3DFB" w:rsidRDefault="00D27C17">
            <w:pPr>
              <w:pStyle w:val="TableParagraph"/>
              <w:spacing w:before="36" w:line="190" w:lineRule="atLeast"/>
              <w:ind w:left="158" w:right="137" w:firstLine="15"/>
              <w:rPr>
                <w:b/>
                <w:sz w:val="16"/>
              </w:rPr>
            </w:pPr>
            <w:r>
              <w:rPr>
                <w:b/>
                <w:sz w:val="16"/>
              </w:rPr>
              <w:t>Reclassified from AOCL</w:t>
            </w:r>
          </w:p>
        </w:tc>
        <w:tc>
          <w:tcPr>
            <w:tcW w:w="1170" w:type="dxa"/>
          </w:tcPr>
          <w:p w14:paraId="7326C8EA" w14:textId="77777777" w:rsidR="00EF3DFB" w:rsidRDefault="00EF3DFB">
            <w:pPr>
              <w:pStyle w:val="TableParagraph"/>
              <w:spacing w:before="4"/>
              <w:rPr>
                <w:sz w:val="20"/>
              </w:rPr>
            </w:pPr>
          </w:p>
          <w:p w14:paraId="7326C8EB" w14:textId="77777777" w:rsidR="00EF3DFB" w:rsidRDefault="00D27C17">
            <w:pPr>
              <w:pStyle w:val="TableParagraph"/>
              <w:spacing w:line="171" w:lineRule="exact"/>
              <w:ind w:left="194"/>
              <w:rPr>
                <w:b/>
                <w:sz w:val="16"/>
              </w:rPr>
            </w:pPr>
            <w:r>
              <w:rPr>
                <w:b/>
                <w:sz w:val="16"/>
              </w:rPr>
              <w:t>Recognized</w:t>
            </w:r>
          </w:p>
        </w:tc>
        <w:tc>
          <w:tcPr>
            <w:tcW w:w="1080" w:type="dxa"/>
          </w:tcPr>
          <w:p w14:paraId="7326C8EC" w14:textId="77777777" w:rsidR="00EF3DFB" w:rsidRDefault="00D27C17">
            <w:pPr>
              <w:pStyle w:val="TableParagraph"/>
              <w:spacing w:before="36" w:line="190" w:lineRule="atLeast"/>
              <w:ind w:left="120" w:right="100" w:firstLine="15"/>
              <w:rPr>
                <w:b/>
                <w:sz w:val="16"/>
              </w:rPr>
            </w:pPr>
            <w:r>
              <w:rPr>
                <w:b/>
                <w:sz w:val="16"/>
              </w:rPr>
              <w:t>Reclassified from AOCL</w:t>
            </w:r>
          </w:p>
        </w:tc>
        <w:tc>
          <w:tcPr>
            <w:tcW w:w="1275" w:type="dxa"/>
          </w:tcPr>
          <w:p w14:paraId="7326C8ED" w14:textId="77777777" w:rsidR="00EF3DFB" w:rsidRDefault="00EF3DFB">
            <w:pPr>
              <w:pStyle w:val="TableParagraph"/>
              <w:spacing w:before="4"/>
              <w:rPr>
                <w:sz w:val="20"/>
              </w:rPr>
            </w:pPr>
          </w:p>
          <w:p w14:paraId="7326C8EE" w14:textId="77777777" w:rsidR="00EF3DFB" w:rsidRDefault="00D27C17">
            <w:pPr>
              <w:pStyle w:val="TableParagraph"/>
              <w:spacing w:line="171" w:lineRule="exact"/>
              <w:ind w:left="246"/>
              <w:rPr>
                <w:b/>
                <w:sz w:val="16"/>
              </w:rPr>
            </w:pPr>
            <w:r>
              <w:rPr>
                <w:b/>
                <w:sz w:val="16"/>
              </w:rPr>
              <w:t>Recognized</w:t>
            </w:r>
          </w:p>
        </w:tc>
        <w:tc>
          <w:tcPr>
            <w:tcW w:w="1099" w:type="dxa"/>
          </w:tcPr>
          <w:p w14:paraId="7326C8EF" w14:textId="77777777" w:rsidR="00EF3DFB" w:rsidRDefault="00D27C17">
            <w:pPr>
              <w:pStyle w:val="TableParagraph"/>
              <w:spacing w:before="36" w:line="190" w:lineRule="atLeast"/>
              <w:ind w:left="158" w:right="81" w:firstLine="15"/>
              <w:rPr>
                <w:b/>
                <w:sz w:val="16"/>
              </w:rPr>
            </w:pPr>
            <w:r>
              <w:rPr>
                <w:b/>
                <w:sz w:val="16"/>
              </w:rPr>
              <w:t>Reclassified from AOCL</w:t>
            </w:r>
          </w:p>
        </w:tc>
      </w:tr>
      <w:tr w:rsidR="00EF3DFB" w14:paraId="7326C8F8" w14:textId="77777777">
        <w:trPr>
          <w:trHeight w:val="204"/>
        </w:trPr>
        <w:tc>
          <w:tcPr>
            <w:tcW w:w="2813" w:type="dxa"/>
          </w:tcPr>
          <w:p w14:paraId="7326C8F1" w14:textId="77777777" w:rsidR="00EF3DFB" w:rsidRDefault="00D27C17">
            <w:pPr>
              <w:pStyle w:val="TableParagraph"/>
              <w:spacing w:line="184" w:lineRule="exact"/>
              <w:ind w:left="52"/>
              <w:rPr>
                <w:b/>
                <w:sz w:val="16"/>
              </w:rPr>
            </w:pPr>
            <w:r>
              <w:rPr>
                <w:b/>
                <w:sz w:val="16"/>
                <w:u w:val="single"/>
              </w:rPr>
              <w:t>(in millions)</w:t>
            </w:r>
          </w:p>
        </w:tc>
        <w:tc>
          <w:tcPr>
            <w:tcW w:w="2028" w:type="dxa"/>
          </w:tcPr>
          <w:p w14:paraId="7326C8F2" w14:textId="77777777" w:rsidR="00EF3DFB" w:rsidRDefault="00D27C17">
            <w:pPr>
              <w:pStyle w:val="TableParagraph"/>
              <w:spacing w:line="184" w:lineRule="exact"/>
              <w:ind w:left="1017"/>
              <w:rPr>
                <w:b/>
                <w:sz w:val="16"/>
              </w:rPr>
            </w:pPr>
            <w:r>
              <w:rPr>
                <w:b/>
                <w:sz w:val="16"/>
              </w:rPr>
              <w:t>in OCL (1)</w:t>
            </w:r>
          </w:p>
        </w:tc>
        <w:tc>
          <w:tcPr>
            <w:tcW w:w="1155" w:type="dxa"/>
            <w:tcBorders>
              <w:bottom w:val="single" w:sz="8" w:space="0" w:color="000000"/>
            </w:tcBorders>
          </w:tcPr>
          <w:p w14:paraId="7326C8F3" w14:textId="77777777" w:rsidR="00EF3DFB" w:rsidRDefault="00D27C17">
            <w:pPr>
              <w:pStyle w:val="TableParagraph"/>
              <w:spacing w:line="184" w:lineRule="exact"/>
              <w:ind w:left="238"/>
              <w:rPr>
                <w:b/>
                <w:sz w:val="16"/>
              </w:rPr>
            </w:pPr>
            <w:r>
              <w:rPr>
                <w:b/>
                <w:sz w:val="16"/>
              </w:rPr>
              <w:t>to Income</w:t>
            </w:r>
          </w:p>
        </w:tc>
        <w:tc>
          <w:tcPr>
            <w:tcW w:w="1170" w:type="dxa"/>
            <w:tcBorders>
              <w:bottom w:val="single" w:sz="8" w:space="0" w:color="000000"/>
            </w:tcBorders>
          </w:tcPr>
          <w:p w14:paraId="7326C8F4" w14:textId="77777777" w:rsidR="00EF3DFB" w:rsidRDefault="00D27C17">
            <w:pPr>
              <w:pStyle w:val="TableParagraph"/>
              <w:spacing w:line="184" w:lineRule="exact"/>
              <w:ind w:left="212"/>
              <w:rPr>
                <w:b/>
                <w:sz w:val="16"/>
              </w:rPr>
            </w:pPr>
            <w:r>
              <w:rPr>
                <w:b/>
                <w:sz w:val="16"/>
              </w:rPr>
              <w:t>in OCL (1)</w:t>
            </w:r>
          </w:p>
        </w:tc>
        <w:tc>
          <w:tcPr>
            <w:tcW w:w="1080" w:type="dxa"/>
            <w:tcBorders>
              <w:bottom w:val="single" w:sz="8" w:space="0" w:color="000000"/>
            </w:tcBorders>
          </w:tcPr>
          <w:p w14:paraId="7326C8F5" w14:textId="77777777" w:rsidR="00EF3DFB" w:rsidRDefault="00D27C17">
            <w:pPr>
              <w:pStyle w:val="TableParagraph"/>
              <w:spacing w:line="184" w:lineRule="exact"/>
              <w:ind w:left="200"/>
              <w:rPr>
                <w:b/>
                <w:sz w:val="16"/>
              </w:rPr>
            </w:pPr>
            <w:r>
              <w:rPr>
                <w:b/>
                <w:sz w:val="16"/>
              </w:rPr>
              <w:t>to Income</w:t>
            </w:r>
          </w:p>
        </w:tc>
        <w:tc>
          <w:tcPr>
            <w:tcW w:w="1275" w:type="dxa"/>
            <w:tcBorders>
              <w:bottom w:val="single" w:sz="8" w:space="0" w:color="000000"/>
            </w:tcBorders>
          </w:tcPr>
          <w:p w14:paraId="7326C8F6" w14:textId="77777777" w:rsidR="00EF3DFB" w:rsidRDefault="00D27C17">
            <w:pPr>
              <w:pStyle w:val="TableParagraph"/>
              <w:spacing w:line="184" w:lineRule="exact"/>
              <w:ind w:left="264"/>
              <w:rPr>
                <w:b/>
                <w:sz w:val="16"/>
              </w:rPr>
            </w:pPr>
            <w:r>
              <w:rPr>
                <w:b/>
                <w:sz w:val="16"/>
              </w:rPr>
              <w:t>in OCL (1)</w:t>
            </w:r>
          </w:p>
        </w:tc>
        <w:tc>
          <w:tcPr>
            <w:tcW w:w="1099" w:type="dxa"/>
            <w:tcBorders>
              <w:bottom w:val="single" w:sz="8" w:space="0" w:color="000000"/>
            </w:tcBorders>
          </w:tcPr>
          <w:p w14:paraId="7326C8F7" w14:textId="77777777" w:rsidR="00EF3DFB" w:rsidRDefault="00D27C17">
            <w:pPr>
              <w:pStyle w:val="TableParagraph"/>
              <w:spacing w:line="184" w:lineRule="exact"/>
              <w:ind w:left="238"/>
              <w:rPr>
                <w:b/>
                <w:sz w:val="16"/>
              </w:rPr>
            </w:pPr>
            <w:r>
              <w:rPr>
                <w:b/>
                <w:sz w:val="16"/>
              </w:rPr>
              <w:t>to Income</w:t>
            </w:r>
          </w:p>
        </w:tc>
      </w:tr>
      <w:tr w:rsidR="00EF3DFB" w14:paraId="7326C900" w14:textId="77777777">
        <w:trPr>
          <w:trHeight w:val="275"/>
        </w:trPr>
        <w:tc>
          <w:tcPr>
            <w:tcW w:w="2813" w:type="dxa"/>
            <w:shd w:val="clear" w:color="auto" w:fill="CCEDFF"/>
          </w:tcPr>
          <w:p w14:paraId="7326C8F9" w14:textId="77777777" w:rsidR="00EF3DFB" w:rsidRDefault="00D27C17">
            <w:pPr>
              <w:pStyle w:val="TableParagraph"/>
              <w:spacing w:line="224" w:lineRule="exact"/>
              <w:ind w:left="52"/>
              <w:rPr>
                <w:sz w:val="20"/>
              </w:rPr>
            </w:pPr>
            <w:r>
              <w:rPr>
                <w:sz w:val="20"/>
              </w:rPr>
              <w:t>Interest rate swaps (2)</w:t>
            </w:r>
          </w:p>
        </w:tc>
        <w:tc>
          <w:tcPr>
            <w:tcW w:w="2028" w:type="dxa"/>
            <w:shd w:val="clear" w:color="auto" w:fill="CCEDFF"/>
          </w:tcPr>
          <w:p w14:paraId="7326C8FA" w14:textId="77777777" w:rsidR="00EF3DFB" w:rsidRDefault="00D27C17">
            <w:pPr>
              <w:pStyle w:val="TableParagraph"/>
              <w:tabs>
                <w:tab w:val="left" w:pos="1690"/>
              </w:tabs>
              <w:spacing w:before="15"/>
              <w:ind w:left="824"/>
              <w:rPr>
                <w:sz w:val="20"/>
              </w:rPr>
            </w:pPr>
            <w:r>
              <w:rPr>
                <w:sz w:val="20"/>
              </w:rPr>
              <w:t>$</w:t>
            </w:r>
            <w:r>
              <w:rPr>
                <w:sz w:val="20"/>
              </w:rPr>
              <w:tab/>
              <w:t>—</w:t>
            </w:r>
          </w:p>
        </w:tc>
        <w:tc>
          <w:tcPr>
            <w:tcW w:w="1155" w:type="dxa"/>
            <w:tcBorders>
              <w:top w:val="single" w:sz="8" w:space="0" w:color="000000"/>
            </w:tcBorders>
            <w:shd w:val="clear" w:color="auto" w:fill="CCEDFF"/>
          </w:tcPr>
          <w:p w14:paraId="7326C8FB" w14:textId="77777777" w:rsidR="00EF3DFB" w:rsidRDefault="00D27C17">
            <w:pPr>
              <w:pStyle w:val="TableParagraph"/>
              <w:tabs>
                <w:tab w:val="left" w:pos="850"/>
              </w:tabs>
              <w:spacing w:before="15"/>
              <w:ind w:left="71"/>
              <w:rPr>
                <w:sz w:val="20"/>
              </w:rPr>
            </w:pPr>
            <w:r>
              <w:rPr>
                <w:sz w:val="20"/>
              </w:rPr>
              <w:t>$</w:t>
            </w:r>
            <w:r>
              <w:rPr>
                <w:sz w:val="20"/>
              </w:rPr>
              <w:tab/>
              <w:t>(7)</w:t>
            </w:r>
          </w:p>
        </w:tc>
        <w:tc>
          <w:tcPr>
            <w:tcW w:w="1170" w:type="dxa"/>
            <w:tcBorders>
              <w:top w:val="single" w:sz="8" w:space="0" w:color="000000"/>
            </w:tcBorders>
            <w:shd w:val="clear" w:color="auto" w:fill="CCEDFF"/>
          </w:tcPr>
          <w:p w14:paraId="7326C8FC" w14:textId="77777777" w:rsidR="00EF3DFB" w:rsidRDefault="00D27C17">
            <w:pPr>
              <w:pStyle w:val="TableParagraph"/>
              <w:tabs>
                <w:tab w:val="left" w:pos="832"/>
              </w:tabs>
              <w:spacing w:before="15"/>
              <w:ind w:left="71"/>
              <w:rPr>
                <w:sz w:val="20"/>
              </w:rPr>
            </w:pPr>
            <w:r>
              <w:rPr>
                <w:sz w:val="20"/>
              </w:rPr>
              <w:t>$</w:t>
            </w:r>
            <w:r>
              <w:rPr>
                <w:sz w:val="20"/>
              </w:rPr>
              <w:tab/>
              <w:t>—</w:t>
            </w:r>
          </w:p>
        </w:tc>
        <w:tc>
          <w:tcPr>
            <w:tcW w:w="1080" w:type="dxa"/>
            <w:tcBorders>
              <w:top w:val="single" w:sz="8" w:space="0" w:color="000000"/>
            </w:tcBorders>
            <w:shd w:val="clear" w:color="auto" w:fill="CCEDFF"/>
          </w:tcPr>
          <w:p w14:paraId="7326C8FD" w14:textId="77777777" w:rsidR="00EF3DFB" w:rsidRDefault="00D27C17">
            <w:pPr>
              <w:pStyle w:val="TableParagraph"/>
              <w:tabs>
                <w:tab w:val="left" w:pos="775"/>
              </w:tabs>
              <w:spacing w:before="15"/>
              <w:ind w:left="71"/>
              <w:rPr>
                <w:sz w:val="20"/>
              </w:rPr>
            </w:pPr>
            <w:r>
              <w:rPr>
                <w:sz w:val="20"/>
              </w:rPr>
              <w:t>$</w:t>
            </w:r>
            <w:r>
              <w:rPr>
                <w:sz w:val="20"/>
              </w:rPr>
              <w:tab/>
              <w:t>(8)</w:t>
            </w:r>
          </w:p>
        </w:tc>
        <w:tc>
          <w:tcPr>
            <w:tcW w:w="1275" w:type="dxa"/>
            <w:tcBorders>
              <w:top w:val="single" w:sz="8" w:space="0" w:color="000000"/>
            </w:tcBorders>
            <w:shd w:val="clear" w:color="auto" w:fill="CCEDFF"/>
          </w:tcPr>
          <w:p w14:paraId="7326C8FE" w14:textId="77777777" w:rsidR="00EF3DFB" w:rsidRDefault="00D27C17">
            <w:pPr>
              <w:pStyle w:val="TableParagraph"/>
              <w:tabs>
                <w:tab w:val="left" w:pos="937"/>
              </w:tabs>
              <w:spacing w:before="15"/>
              <w:ind w:left="71"/>
              <w:rPr>
                <w:sz w:val="20"/>
              </w:rPr>
            </w:pPr>
            <w:r>
              <w:rPr>
                <w:sz w:val="20"/>
              </w:rPr>
              <w:t>$</w:t>
            </w:r>
            <w:r>
              <w:rPr>
                <w:sz w:val="20"/>
              </w:rPr>
              <w:tab/>
              <w:t>—</w:t>
            </w:r>
          </w:p>
        </w:tc>
        <w:tc>
          <w:tcPr>
            <w:tcW w:w="1099" w:type="dxa"/>
            <w:tcBorders>
              <w:top w:val="single" w:sz="8" w:space="0" w:color="000000"/>
            </w:tcBorders>
            <w:shd w:val="clear" w:color="auto" w:fill="CCEDFF"/>
          </w:tcPr>
          <w:p w14:paraId="7326C8FF" w14:textId="77777777" w:rsidR="00EF3DFB" w:rsidRDefault="00D27C17">
            <w:pPr>
              <w:pStyle w:val="TableParagraph"/>
              <w:tabs>
                <w:tab w:val="left" w:pos="679"/>
              </w:tabs>
              <w:spacing w:before="15"/>
              <w:ind w:right="14"/>
              <w:jc w:val="right"/>
              <w:rPr>
                <w:sz w:val="20"/>
              </w:rPr>
            </w:pPr>
            <w:r>
              <w:rPr>
                <w:sz w:val="20"/>
              </w:rPr>
              <w:t>$</w:t>
            </w:r>
            <w:r>
              <w:rPr>
                <w:sz w:val="20"/>
              </w:rPr>
              <w:tab/>
              <w:t>(27)</w:t>
            </w:r>
          </w:p>
        </w:tc>
      </w:tr>
      <w:tr w:rsidR="00EF3DFB" w14:paraId="7326C908" w14:textId="77777777">
        <w:trPr>
          <w:trHeight w:val="285"/>
        </w:trPr>
        <w:tc>
          <w:tcPr>
            <w:tcW w:w="2813" w:type="dxa"/>
          </w:tcPr>
          <w:p w14:paraId="7326C901" w14:textId="77777777" w:rsidR="00EF3DFB" w:rsidRDefault="00D27C17">
            <w:pPr>
              <w:pStyle w:val="TableParagraph"/>
              <w:spacing w:before="4"/>
              <w:ind w:left="52"/>
              <w:rPr>
                <w:sz w:val="20"/>
              </w:rPr>
            </w:pPr>
            <w:r>
              <w:rPr>
                <w:sz w:val="20"/>
              </w:rPr>
              <w:t>Foreign currency contracts (3)</w:t>
            </w:r>
          </w:p>
        </w:tc>
        <w:tc>
          <w:tcPr>
            <w:tcW w:w="2028" w:type="dxa"/>
          </w:tcPr>
          <w:p w14:paraId="7326C902" w14:textId="77777777" w:rsidR="00EF3DFB" w:rsidRDefault="00D27C17">
            <w:pPr>
              <w:pStyle w:val="TableParagraph"/>
              <w:spacing w:before="25"/>
              <w:ind w:right="135"/>
              <w:jc w:val="right"/>
              <w:rPr>
                <w:sz w:val="20"/>
              </w:rPr>
            </w:pPr>
            <w:r>
              <w:rPr>
                <w:sz w:val="20"/>
              </w:rPr>
              <w:t>4</w:t>
            </w:r>
          </w:p>
        </w:tc>
        <w:tc>
          <w:tcPr>
            <w:tcW w:w="1155" w:type="dxa"/>
          </w:tcPr>
          <w:p w14:paraId="7326C903" w14:textId="77777777" w:rsidR="00EF3DFB" w:rsidRDefault="00D27C17">
            <w:pPr>
              <w:pStyle w:val="TableParagraph"/>
              <w:spacing w:before="25"/>
              <w:ind w:right="135"/>
              <w:jc w:val="right"/>
              <w:rPr>
                <w:sz w:val="20"/>
              </w:rPr>
            </w:pPr>
            <w:r>
              <w:rPr>
                <w:sz w:val="20"/>
              </w:rPr>
              <w:t>13</w:t>
            </w:r>
          </w:p>
        </w:tc>
        <w:tc>
          <w:tcPr>
            <w:tcW w:w="1170" w:type="dxa"/>
          </w:tcPr>
          <w:p w14:paraId="7326C904" w14:textId="77777777" w:rsidR="00EF3DFB" w:rsidRDefault="00D27C17">
            <w:pPr>
              <w:pStyle w:val="TableParagraph"/>
              <w:spacing w:before="25"/>
              <w:ind w:left="765"/>
              <w:rPr>
                <w:sz w:val="20"/>
              </w:rPr>
            </w:pPr>
            <w:r>
              <w:rPr>
                <w:sz w:val="20"/>
              </w:rPr>
              <w:t>(16)</w:t>
            </w:r>
          </w:p>
        </w:tc>
        <w:tc>
          <w:tcPr>
            <w:tcW w:w="1080" w:type="dxa"/>
          </w:tcPr>
          <w:p w14:paraId="7326C905" w14:textId="77777777" w:rsidR="00EF3DFB" w:rsidRDefault="00D27C17">
            <w:pPr>
              <w:pStyle w:val="TableParagraph"/>
              <w:spacing w:before="25"/>
              <w:ind w:right="135"/>
              <w:jc w:val="right"/>
              <w:rPr>
                <w:sz w:val="20"/>
              </w:rPr>
            </w:pPr>
            <w:r>
              <w:rPr>
                <w:sz w:val="20"/>
              </w:rPr>
              <w:t>15</w:t>
            </w:r>
          </w:p>
        </w:tc>
        <w:tc>
          <w:tcPr>
            <w:tcW w:w="1275" w:type="dxa"/>
          </w:tcPr>
          <w:p w14:paraId="7326C906" w14:textId="77777777" w:rsidR="00EF3DFB" w:rsidRDefault="00D27C17">
            <w:pPr>
              <w:pStyle w:val="TableParagraph"/>
              <w:spacing w:before="25"/>
              <w:ind w:right="135"/>
              <w:jc w:val="right"/>
              <w:rPr>
                <w:sz w:val="20"/>
              </w:rPr>
            </w:pPr>
            <w:r>
              <w:rPr>
                <w:sz w:val="20"/>
              </w:rPr>
              <w:t>24</w:t>
            </w:r>
          </w:p>
        </w:tc>
        <w:tc>
          <w:tcPr>
            <w:tcW w:w="1099" w:type="dxa"/>
          </w:tcPr>
          <w:p w14:paraId="7326C907" w14:textId="77777777" w:rsidR="00EF3DFB" w:rsidRDefault="00D27C17">
            <w:pPr>
              <w:pStyle w:val="TableParagraph"/>
              <w:spacing w:before="25"/>
              <w:ind w:right="14"/>
              <w:jc w:val="right"/>
              <w:rPr>
                <w:sz w:val="20"/>
              </w:rPr>
            </w:pPr>
            <w:r>
              <w:rPr>
                <w:sz w:val="20"/>
              </w:rPr>
              <w:t>(13)</w:t>
            </w:r>
          </w:p>
        </w:tc>
      </w:tr>
      <w:tr w:rsidR="00EF3DFB" w14:paraId="7326C910" w14:textId="77777777">
        <w:trPr>
          <w:trHeight w:val="275"/>
        </w:trPr>
        <w:tc>
          <w:tcPr>
            <w:tcW w:w="2813" w:type="dxa"/>
            <w:shd w:val="clear" w:color="auto" w:fill="CCEDFF"/>
          </w:tcPr>
          <w:p w14:paraId="7326C909" w14:textId="77777777" w:rsidR="00EF3DFB" w:rsidRDefault="00D27C17">
            <w:pPr>
              <w:pStyle w:val="TableParagraph"/>
              <w:spacing w:before="4"/>
              <w:ind w:left="52"/>
              <w:rPr>
                <w:sz w:val="20"/>
              </w:rPr>
            </w:pPr>
            <w:r>
              <w:rPr>
                <w:sz w:val="20"/>
              </w:rPr>
              <w:t>Cross-currency swaps (4)</w:t>
            </w:r>
          </w:p>
        </w:tc>
        <w:tc>
          <w:tcPr>
            <w:tcW w:w="2028" w:type="dxa"/>
            <w:shd w:val="clear" w:color="auto" w:fill="CCEDFF"/>
          </w:tcPr>
          <w:p w14:paraId="7326C90A" w14:textId="77777777" w:rsidR="00EF3DFB" w:rsidRDefault="00D27C17">
            <w:pPr>
              <w:pStyle w:val="TableParagraph"/>
              <w:spacing w:before="25" w:line="230" w:lineRule="exact"/>
              <w:ind w:right="70"/>
              <w:jc w:val="right"/>
              <w:rPr>
                <w:sz w:val="20"/>
              </w:rPr>
            </w:pPr>
            <w:r>
              <w:rPr>
                <w:sz w:val="20"/>
              </w:rPr>
              <w:t>(92)</w:t>
            </w:r>
          </w:p>
        </w:tc>
        <w:tc>
          <w:tcPr>
            <w:tcW w:w="1155" w:type="dxa"/>
            <w:tcBorders>
              <w:bottom w:val="single" w:sz="8" w:space="0" w:color="000000"/>
            </w:tcBorders>
            <w:shd w:val="clear" w:color="auto" w:fill="CCEDFF"/>
          </w:tcPr>
          <w:p w14:paraId="7326C90B" w14:textId="77777777" w:rsidR="00EF3DFB" w:rsidRDefault="00D27C17">
            <w:pPr>
              <w:pStyle w:val="TableParagraph"/>
              <w:spacing w:before="25" w:line="230" w:lineRule="exact"/>
              <w:ind w:right="135"/>
              <w:jc w:val="right"/>
              <w:rPr>
                <w:sz w:val="20"/>
              </w:rPr>
            </w:pPr>
            <w:r>
              <w:rPr>
                <w:sz w:val="20"/>
              </w:rPr>
              <w:t>—</w:t>
            </w:r>
          </w:p>
        </w:tc>
        <w:tc>
          <w:tcPr>
            <w:tcW w:w="1170" w:type="dxa"/>
            <w:tcBorders>
              <w:bottom w:val="single" w:sz="8" w:space="0" w:color="000000"/>
            </w:tcBorders>
            <w:shd w:val="clear" w:color="auto" w:fill="CCEDFF"/>
          </w:tcPr>
          <w:p w14:paraId="7326C90C" w14:textId="77777777" w:rsidR="00EF3DFB" w:rsidRDefault="00D27C17">
            <w:pPr>
              <w:pStyle w:val="TableParagraph"/>
              <w:spacing w:before="25" w:line="230" w:lineRule="exact"/>
              <w:ind w:right="135"/>
              <w:jc w:val="right"/>
              <w:rPr>
                <w:sz w:val="20"/>
              </w:rPr>
            </w:pPr>
            <w:r>
              <w:rPr>
                <w:sz w:val="20"/>
              </w:rPr>
              <w:t>—</w:t>
            </w:r>
          </w:p>
        </w:tc>
        <w:tc>
          <w:tcPr>
            <w:tcW w:w="1080" w:type="dxa"/>
            <w:tcBorders>
              <w:bottom w:val="single" w:sz="8" w:space="0" w:color="000000"/>
            </w:tcBorders>
            <w:shd w:val="clear" w:color="auto" w:fill="CCEDFF"/>
          </w:tcPr>
          <w:p w14:paraId="7326C90D" w14:textId="77777777" w:rsidR="00EF3DFB" w:rsidRDefault="00D27C17">
            <w:pPr>
              <w:pStyle w:val="TableParagraph"/>
              <w:spacing w:before="25" w:line="230" w:lineRule="exact"/>
              <w:ind w:right="135"/>
              <w:jc w:val="right"/>
              <w:rPr>
                <w:sz w:val="20"/>
              </w:rPr>
            </w:pPr>
            <w:r>
              <w:rPr>
                <w:sz w:val="20"/>
              </w:rPr>
              <w:t>—</w:t>
            </w:r>
          </w:p>
        </w:tc>
        <w:tc>
          <w:tcPr>
            <w:tcW w:w="1275" w:type="dxa"/>
            <w:tcBorders>
              <w:bottom w:val="single" w:sz="8" w:space="0" w:color="000000"/>
            </w:tcBorders>
            <w:shd w:val="clear" w:color="auto" w:fill="CCEDFF"/>
          </w:tcPr>
          <w:p w14:paraId="7326C90E" w14:textId="77777777" w:rsidR="00EF3DFB" w:rsidRDefault="00D27C17">
            <w:pPr>
              <w:pStyle w:val="TableParagraph"/>
              <w:spacing w:before="25" w:line="230" w:lineRule="exact"/>
              <w:ind w:right="70"/>
              <w:jc w:val="right"/>
              <w:rPr>
                <w:sz w:val="20"/>
              </w:rPr>
            </w:pPr>
            <w:r>
              <w:rPr>
                <w:sz w:val="20"/>
              </w:rPr>
              <w:t>(2)</w:t>
            </w:r>
          </w:p>
        </w:tc>
        <w:tc>
          <w:tcPr>
            <w:tcW w:w="1099" w:type="dxa"/>
            <w:tcBorders>
              <w:bottom w:val="single" w:sz="8" w:space="0" w:color="000000"/>
            </w:tcBorders>
            <w:shd w:val="clear" w:color="auto" w:fill="CCEDFF"/>
          </w:tcPr>
          <w:p w14:paraId="7326C90F" w14:textId="77777777" w:rsidR="00EF3DFB" w:rsidRDefault="00D27C17">
            <w:pPr>
              <w:pStyle w:val="TableParagraph"/>
              <w:spacing w:before="25" w:line="230" w:lineRule="exact"/>
              <w:ind w:right="14"/>
              <w:jc w:val="right"/>
              <w:rPr>
                <w:sz w:val="20"/>
              </w:rPr>
            </w:pPr>
            <w:r>
              <w:rPr>
                <w:sz w:val="20"/>
              </w:rPr>
              <w:t>(3)</w:t>
            </w:r>
          </w:p>
        </w:tc>
      </w:tr>
      <w:tr w:rsidR="00EF3DFB" w14:paraId="7326C918" w14:textId="77777777">
        <w:trPr>
          <w:trHeight w:val="284"/>
        </w:trPr>
        <w:tc>
          <w:tcPr>
            <w:tcW w:w="2813" w:type="dxa"/>
          </w:tcPr>
          <w:p w14:paraId="7326C911" w14:textId="77777777" w:rsidR="00EF3DFB" w:rsidRDefault="00EF3DFB">
            <w:pPr>
              <w:pStyle w:val="TableParagraph"/>
              <w:rPr>
                <w:sz w:val="18"/>
              </w:rPr>
            </w:pPr>
          </w:p>
        </w:tc>
        <w:tc>
          <w:tcPr>
            <w:tcW w:w="2028" w:type="dxa"/>
          </w:tcPr>
          <w:p w14:paraId="7326C912" w14:textId="77777777" w:rsidR="00EF3DFB" w:rsidRDefault="00D27C17">
            <w:pPr>
              <w:pStyle w:val="TableParagraph"/>
              <w:tabs>
                <w:tab w:val="left" w:pos="1623"/>
              </w:tabs>
              <w:spacing w:line="244" w:lineRule="exact"/>
              <w:ind w:left="335"/>
              <w:rPr>
                <w:sz w:val="20"/>
              </w:rPr>
            </w:pPr>
            <w:r>
              <w:rPr>
                <w:sz w:val="20"/>
              </w:rPr>
              <w:t>Total</w:t>
            </w:r>
            <w:r>
              <w:rPr>
                <w:spacing w:val="15"/>
                <w:sz w:val="20"/>
              </w:rPr>
              <w:t xml:space="preserve"> </w:t>
            </w:r>
            <w:r>
              <w:rPr>
                <w:position w:val="-1"/>
                <w:sz w:val="20"/>
                <w:u w:val="single"/>
              </w:rPr>
              <w:t>$</w:t>
            </w:r>
            <w:r>
              <w:rPr>
                <w:position w:val="-1"/>
                <w:sz w:val="20"/>
                <w:u w:val="single"/>
              </w:rPr>
              <w:tab/>
              <w:t>(88)</w:t>
            </w:r>
          </w:p>
        </w:tc>
        <w:tc>
          <w:tcPr>
            <w:tcW w:w="1155" w:type="dxa"/>
            <w:tcBorders>
              <w:top w:val="single" w:sz="8" w:space="0" w:color="000000"/>
              <w:bottom w:val="single" w:sz="8" w:space="0" w:color="000000"/>
            </w:tcBorders>
          </w:tcPr>
          <w:p w14:paraId="7326C913" w14:textId="77777777" w:rsidR="00EF3DFB" w:rsidRDefault="00D27C17">
            <w:pPr>
              <w:pStyle w:val="TableParagraph"/>
              <w:tabs>
                <w:tab w:val="left" w:pos="917"/>
              </w:tabs>
              <w:spacing w:before="15"/>
              <w:ind w:left="71"/>
              <w:rPr>
                <w:sz w:val="20"/>
              </w:rPr>
            </w:pPr>
            <w:r>
              <w:rPr>
                <w:sz w:val="20"/>
                <w:u w:val="single"/>
              </w:rPr>
              <w:t>$</w:t>
            </w:r>
            <w:r>
              <w:rPr>
                <w:sz w:val="20"/>
                <w:u w:val="single"/>
              </w:rPr>
              <w:tab/>
              <w:t>6</w:t>
            </w:r>
          </w:p>
        </w:tc>
        <w:tc>
          <w:tcPr>
            <w:tcW w:w="1170" w:type="dxa"/>
            <w:tcBorders>
              <w:top w:val="single" w:sz="8" w:space="0" w:color="000000"/>
              <w:bottom w:val="single" w:sz="8" w:space="0" w:color="000000"/>
            </w:tcBorders>
          </w:tcPr>
          <w:p w14:paraId="7326C914" w14:textId="77777777" w:rsidR="00EF3DFB" w:rsidRDefault="00D27C17">
            <w:pPr>
              <w:pStyle w:val="TableParagraph"/>
              <w:tabs>
                <w:tab w:val="left" w:pos="765"/>
              </w:tabs>
              <w:spacing w:before="15"/>
              <w:ind w:left="71"/>
              <w:rPr>
                <w:sz w:val="20"/>
              </w:rPr>
            </w:pPr>
            <w:r>
              <w:rPr>
                <w:sz w:val="20"/>
                <w:u w:val="single"/>
              </w:rPr>
              <w:t>$</w:t>
            </w:r>
            <w:r>
              <w:rPr>
                <w:sz w:val="20"/>
                <w:u w:val="single"/>
              </w:rPr>
              <w:tab/>
              <w:t>(16)</w:t>
            </w:r>
          </w:p>
        </w:tc>
        <w:tc>
          <w:tcPr>
            <w:tcW w:w="1080" w:type="dxa"/>
            <w:tcBorders>
              <w:top w:val="single" w:sz="8" w:space="0" w:color="000000"/>
              <w:bottom w:val="single" w:sz="8" w:space="0" w:color="000000"/>
            </w:tcBorders>
          </w:tcPr>
          <w:p w14:paraId="7326C915" w14:textId="77777777" w:rsidR="00EF3DFB" w:rsidRDefault="00D27C17">
            <w:pPr>
              <w:pStyle w:val="TableParagraph"/>
              <w:tabs>
                <w:tab w:val="left" w:pos="842"/>
              </w:tabs>
              <w:spacing w:before="15"/>
              <w:ind w:left="71"/>
              <w:rPr>
                <w:sz w:val="20"/>
              </w:rPr>
            </w:pPr>
            <w:r>
              <w:rPr>
                <w:sz w:val="20"/>
                <w:u w:val="single"/>
              </w:rPr>
              <w:t>$</w:t>
            </w:r>
            <w:r>
              <w:rPr>
                <w:sz w:val="20"/>
                <w:u w:val="single"/>
              </w:rPr>
              <w:tab/>
              <w:t>7</w:t>
            </w:r>
          </w:p>
        </w:tc>
        <w:tc>
          <w:tcPr>
            <w:tcW w:w="1275" w:type="dxa"/>
            <w:tcBorders>
              <w:top w:val="single" w:sz="8" w:space="0" w:color="000000"/>
              <w:bottom w:val="single" w:sz="8" w:space="0" w:color="000000"/>
            </w:tcBorders>
          </w:tcPr>
          <w:p w14:paraId="7326C916" w14:textId="77777777" w:rsidR="00EF3DFB" w:rsidRDefault="00D27C17">
            <w:pPr>
              <w:pStyle w:val="TableParagraph"/>
              <w:tabs>
                <w:tab w:val="left" w:pos="937"/>
              </w:tabs>
              <w:spacing w:before="15"/>
              <w:ind w:left="71"/>
              <w:rPr>
                <w:sz w:val="20"/>
              </w:rPr>
            </w:pPr>
            <w:r>
              <w:rPr>
                <w:sz w:val="20"/>
                <w:u w:val="single"/>
              </w:rPr>
              <w:t>$</w:t>
            </w:r>
            <w:r>
              <w:rPr>
                <w:sz w:val="20"/>
                <w:u w:val="single"/>
              </w:rPr>
              <w:tab/>
              <w:t>22</w:t>
            </w:r>
          </w:p>
        </w:tc>
        <w:tc>
          <w:tcPr>
            <w:tcW w:w="1099" w:type="dxa"/>
            <w:tcBorders>
              <w:top w:val="single" w:sz="8" w:space="0" w:color="000000"/>
              <w:bottom w:val="single" w:sz="8" w:space="0" w:color="000000"/>
            </w:tcBorders>
          </w:tcPr>
          <w:p w14:paraId="7326C917" w14:textId="77777777" w:rsidR="00EF3DFB" w:rsidRDefault="00D27C17">
            <w:pPr>
              <w:pStyle w:val="TableParagraph"/>
              <w:tabs>
                <w:tab w:val="left" w:pos="679"/>
              </w:tabs>
              <w:spacing w:before="15"/>
              <w:ind w:right="14"/>
              <w:jc w:val="right"/>
              <w:rPr>
                <w:sz w:val="20"/>
              </w:rPr>
            </w:pPr>
            <w:r>
              <w:rPr>
                <w:sz w:val="20"/>
                <w:u w:val="single"/>
              </w:rPr>
              <w:t>$</w:t>
            </w:r>
            <w:r>
              <w:rPr>
                <w:sz w:val="20"/>
                <w:u w:val="single"/>
              </w:rPr>
              <w:tab/>
              <w:t>(43)</w:t>
            </w:r>
          </w:p>
        </w:tc>
      </w:tr>
    </w:tbl>
    <w:p w14:paraId="7326C919" w14:textId="77777777" w:rsidR="00EF3DFB" w:rsidRDefault="00D27C17">
      <w:pPr>
        <w:pStyle w:val="ListParagraph"/>
        <w:numPr>
          <w:ilvl w:val="1"/>
          <w:numId w:val="21"/>
        </w:numPr>
        <w:tabs>
          <w:tab w:val="left" w:pos="910"/>
        </w:tabs>
        <w:spacing w:before="142"/>
        <w:rPr>
          <w:sz w:val="16"/>
        </w:rPr>
      </w:pPr>
      <w:r>
        <w:rPr>
          <w:sz w:val="16"/>
        </w:rPr>
        <w:t>Represents effective portion recognized in Other Comprehensive Loss</w:t>
      </w:r>
      <w:r>
        <w:rPr>
          <w:spacing w:val="-3"/>
          <w:sz w:val="16"/>
        </w:rPr>
        <w:t xml:space="preserve"> </w:t>
      </w:r>
      <w:r>
        <w:rPr>
          <w:sz w:val="16"/>
        </w:rPr>
        <w:t>(“OCL”).</w:t>
      </w:r>
    </w:p>
    <w:p w14:paraId="7326C91A" w14:textId="77777777" w:rsidR="00EF3DFB" w:rsidRDefault="00D27C17">
      <w:pPr>
        <w:pStyle w:val="ListParagraph"/>
        <w:numPr>
          <w:ilvl w:val="1"/>
          <w:numId w:val="21"/>
        </w:numPr>
        <w:tabs>
          <w:tab w:val="left" w:pos="910"/>
        </w:tabs>
        <w:spacing w:before="128"/>
        <w:rPr>
          <w:sz w:val="16"/>
        </w:rPr>
      </w:pPr>
      <w:r>
        <w:rPr>
          <w:sz w:val="16"/>
        </w:rPr>
        <w:t>Portion reclassified from AOCL to income recognized in interest expense,</w:t>
      </w:r>
      <w:r>
        <w:rPr>
          <w:spacing w:val="-2"/>
          <w:sz w:val="16"/>
        </w:rPr>
        <w:t xml:space="preserve"> </w:t>
      </w:r>
      <w:r>
        <w:rPr>
          <w:sz w:val="16"/>
        </w:rPr>
        <w:t>net.</w:t>
      </w:r>
    </w:p>
    <w:p w14:paraId="7326C91B" w14:textId="77777777" w:rsidR="00EF3DFB" w:rsidRDefault="00D27C17">
      <w:pPr>
        <w:pStyle w:val="ListParagraph"/>
        <w:numPr>
          <w:ilvl w:val="1"/>
          <w:numId w:val="21"/>
        </w:numPr>
        <w:tabs>
          <w:tab w:val="left" w:pos="910"/>
        </w:tabs>
        <w:spacing w:before="128"/>
        <w:rPr>
          <w:sz w:val="16"/>
        </w:rPr>
      </w:pPr>
      <w:r>
        <w:rPr>
          <w:sz w:val="16"/>
        </w:rPr>
        <w:t>Portion reclassified from AOCL to income recognized in net sales and cost of products</w:t>
      </w:r>
      <w:r>
        <w:rPr>
          <w:spacing w:val="-4"/>
          <w:sz w:val="16"/>
        </w:rPr>
        <w:t xml:space="preserve"> </w:t>
      </w:r>
      <w:r>
        <w:rPr>
          <w:sz w:val="16"/>
        </w:rPr>
        <w:t>sold.</w:t>
      </w:r>
    </w:p>
    <w:p w14:paraId="7326C91C" w14:textId="77777777" w:rsidR="00EF3DFB" w:rsidRDefault="00D27C17">
      <w:pPr>
        <w:pStyle w:val="ListParagraph"/>
        <w:numPr>
          <w:ilvl w:val="1"/>
          <w:numId w:val="21"/>
        </w:numPr>
        <w:tabs>
          <w:tab w:val="left" w:pos="910"/>
        </w:tabs>
        <w:spacing w:before="128"/>
        <w:rPr>
          <w:sz w:val="16"/>
        </w:rPr>
      </w:pPr>
      <w:r>
        <w:rPr>
          <w:sz w:val="16"/>
        </w:rPr>
        <w:t>Portion reclassified from AOCL to income recognized in other expense,</w:t>
      </w:r>
      <w:r>
        <w:rPr>
          <w:spacing w:val="-2"/>
          <w:sz w:val="16"/>
        </w:rPr>
        <w:t xml:space="preserve"> </w:t>
      </w:r>
      <w:r>
        <w:rPr>
          <w:sz w:val="16"/>
        </w:rPr>
        <w:t>net.</w:t>
      </w:r>
    </w:p>
    <w:p w14:paraId="7326C91D" w14:textId="77777777" w:rsidR="00EF3DFB" w:rsidRDefault="00EF3DFB">
      <w:pPr>
        <w:pStyle w:val="BodyText"/>
        <w:spacing w:before="8"/>
      </w:pPr>
    </w:p>
    <w:p w14:paraId="7326C91E" w14:textId="77777777" w:rsidR="00EF3DFB" w:rsidRDefault="00D27C17">
      <w:pPr>
        <w:pStyle w:val="BodyText"/>
        <w:spacing w:line="249" w:lineRule="auto"/>
        <w:ind w:left="190" w:right="333"/>
      </w:pPr>
      <w:r>
        <w:t>At December 31, 2020, deferred net losses of approximately $18 million within AOCL are e</w:t>
      </w:r>
      <w:r>
        <w:t>xpected to be reclassified to earnings over the next twelve months.</w:t>
      </w:r>
    </w:p>
    <w:p w14:paraId="7326C91F" w14:textId="77777777" w:rsidR="00EF3DFB" w:rsidRDefault="00EF3DFB">
      <w:pPr>
        <w:pStyle w:val="BodyText"/>
        <w:spacing w:before="8"/>
      </w:pPr>
    </w:p>
    <w:p w14:paraId="7326C920" w14:textId="77777777" w:rsidR="00EF3DFB" w:rsidRDefault="00D27C17">
      <w:pPr>
        <w:pStyle w:val="Heading2"/>
        <w:spacing w:before="1"/>
        <w:jc w:val="left"/>
      </w:pPr>
      <w:r>
        <w:t>Foreign Currency Operations</w:t>
      </w:r>
    </w:p>
    <w:p w14:paraId="7326C921" w14:textId="77777777" w:rsidR="00EF3DFB" w:rsidRDefault="00EF3DFB">
      <w:pPr>
        <w:pStyle w:val="BodyText"/>
        <w:rPr>
          <w:b/>
          <w:sz w:val="22"/>
        </w:rPr>
      </w:pPr>
    </w:p>
    <w:p w14:paraId="7326C922" w14:textId="77777777" w:rsidR="00EF3DFB" w:rsidRDefault="00D27C17">
      <w:pPr>
        <w:pStyle w:val="BodyText"/>
        <w:spacing w:line="249" w:lineRule="auto"/>
        <w:ind w:left="190" w:right="168"/>
        <w:jc w:val="both"/>
      </w:pPr>
      <w:r>
        <w:t>Assets and liabilities of foreign subsidiaries are translated into U.S. dollars at the rates of exchange in effect at year-end. The related translation adjust</w:t>
      </w:r>
      <w:r>
        <w:t>ments are made directly to accumulated other comprehensive income (loss). Income and expenses are translated at the average monthly rates of exchange in effect during the year. Foreign currency transaction gains and losses are included in the results of op</w:t>
      </w:r>
      <w:r>
        <w:t>erations and are generally classified in other (income) expense, net, in the Consolidated Statements of Operations. Foreign currency transaction net losses for 2020, 2019 and 2018 were $14 million, $6 million and $8 million, respectively.</w:t>
      </w:r>
    </w:p>
    <w:p w14:paraId="7326C923" w14:textId="77777777" w:rsidR="00EF3DFB" w:rsidRDefault="00EF3DFB">
      <w:pPr>
        <w:spacing w:line="249" w:lineRule="auto"/>
        <w:jc w:val="both"/>
        <w:sectPr w:rsidR="00EF3DFB">
          <w:pgSz w:w="12240" w:h="15840"/>
          <w:pgMar w:top="600" w:right="640" w:bottom="480" w:left="620" w:header="0" w:footer="291" w:gutter="0"/>
          <w:cols w:space="720"/>
        </w:sectPr>
      </w:pPr>
    </w:p>
    <w:p w14:paraId="7326C924" w14:textId="77777777" w:rsidR="00EF3DFB" w:rsidRDefault="00D27C17">
      <w:pPr>
        <w:pStyle w:val="BodyText"/>
        <w:spacing w:before="72" w:line="249" w:lineRule="auto"/>
        <w:ind w:left="190" w:right="168"/>
        <w:jc w:val="both"/>
      </w:pPr>
      <w:r>
        <w:lastRenderedPageBreak/>
        <w:t>The</w:t>
      </w:r>
      <w:r>
        <w:t xml:space="preserve"> Company designates certain foreign currency denominated, long-term intercompany financing transactions as being of a long- term investment nature and records gains and losses on the transactions arising from changes in exchange rates as translation</w:t>
      </w:r>
      <w:bookmarkStart w:id="59" w:name="Footnote_11_—_Employee_Benefit_and_Retir"/>
      <w:bookmarkEnd w:id="59"/>
      <w:r>
        <w:t xml:space="preserve"> adjust</w:t>
      </w:r>
      <w:r>
        <w:t>ments.</w:t>
      </w:r>
    </w:p>
    <w:p w14:paraId="7326C925" w14:textId="77777777" w:rsidR="00EF3DFB" w:rsidRDefault="00EF3DFB">
      <w:pPr>
        <w:pStyle w:val="BodyText"/>
        <w:spacing w:before="9"/>
      </w:pPr>
    </w:p>
    <w:p w14:paraId="7326C926" w14:textId="77777777" w:rsidR="00EF3DFB" w:rsidRDefault="00D27C17">
      <w:pPr>
        <w:pStyle w:val="Heading2"/>
      </w:pPr>
      <w:r>
        <w:t>Footnote 11 — Employee Benefit and Retirement Plans</w:t>
      </w:r>
    </w:p>
    <w:p w14:paraId="7326C927" w14:textId="77777777" w:rsidR="00EF3DFB" w:rsidRDefault="00EF3DFB">
      <w:pPr>
        <w:pStyle w:val="BodyText"/>
        <w:rPr>
          <w:b/>
          <w:sz w:val="22"/>
        </w:rPr>
      </w:pPr>
    </w:p>
    <w:p w14:paraId="7326C928" w14:textId="77777777" w:rsidR="00EF3DFB" w:rsidRDefault="00D27C17">
      <w:pPr>
        <w:pStyle w:val="BodyText"/>
        <w:spacing w:line="249" w:lineRule="auto"/>
        <w:ind w:left="190" w:right="168"/>
        <w:jc w:val="both"/>
      </w:pPr>
      <w:r>
        <w:t xml:space="preserve">The Company and its subsidiaries have noncontributory pension, profit sharing and contributory 401(k) plans covering substantially all of their international and domestic employees. Pension plan </w:t>
      </w:r>
      <w:r>
        <w:t xml:space="preserve">benefits are generally based on years of service and/or compensation. The Company’s funding policy is to contribute not less than the minimum amounts required by the Employee Retirement Income Security Act of 1974, as amended, the Internal Revenue Code of </w:t>
      </w:r>
      <w:r>
        <w:t>1986, as amended, or foreign statutes to ensure that plan assets will be adequate to provide retirement</w:t>
      </w:r>
      <w:r>
        <w:rPr>
          <w:spacing w:val="-10"/>
        </w:rPr>
        <w:t xml:space="preserve"> </w:t>
      </w:r>
      <w:r>
        <w:t>benefits.</w:t>
      </w:r>
    </w:p>
    <w:p w14:paraId="7326C929" w14:textId="77777777" w:rsidR="00EF3DFB" w:rsidRDefault="00EF3DFB">
      <w:pPr>
        <w:pStyle w:val="BodyText"/>
        <w:spacing w:before="3"/>
        <w:rPr>
          <w:sz w:val="21"/>
        </w:rPr>
      </w:pPr>
    </w:p>
    <w:p w14:paraId="7326C92A" w14:textId="77777777" w:rsidR="00EF3DFB" w:rsidRDefault="00D27C17">
      <w:pPr>
        <w:pStyle w:val="BodyText"/>
        <w:spacing w:line="249" w:lineRule="auto"/>
        <w:ind w:left="190" w:right="168"/>
        <w:jc w:val="both"/>
      </w:pPr>
      <w:r>
        <w:t>The funded status of the Company’s defined benefit pension plans and postretirement benefit plans is recognized in the Consolidated Balance Sheets. The funded status is measured as the difference between the fair value of plan assets and the benefit obliga</w:t>
      </w:r>
      <w:r>
        <w:t>tion at December 31, the measurement date. For defined benefit pension and postretirement benefit plans, the benefit obligation is the projected benefit obligation (“PBO”), which represents the actuarial present value of benefits expected to be paid upon r</w:t>
      </w:r>
      <w:r>
        <w:t xml:space="preserve">etirement based on employee services already rendered and estimated future compensation levels. The fair value of plan assets represents the current market value of assets held for the sole benefit of participants. Overfunded plans, with the fair value of </w:t>
      </w:r>
      <w:r>
        <w:t>plan assets exceeding the benefit obligation, are aggregated and recorded as a prepaid pension asset equal to this excess. Underfunded plans, with the benefit obligation exceeding the fair value of plan assets, are aggregated and recorded as a retirement a</w:t>
      </w:r>
      <w:r>
        <w:t>nd postretirement benefit obligation equal to this excess. The current portion of the retirement and postretirement benefit obligations represents the actuarial present value of benefits payable in the next 12 months exceeding the fair value of plan assets</w:t>
      </w:r>
      <w:r>
        <w:t>, measured on a plan-by-plan basis. This obligation is recorded in other accrued liabilities in the Consolidated Balance Sheets. Net periodic pension and postretirement benefit cost/(income) is recorded in the Consolidated Statements of Operations and incl</w:t>
      </w:r>
      <w:r>
        <w:t>udes service cost, interest cost, expected return on plan assets, amortization of prior service costs/(credits) and (gains)/losses previously recognized as a component of AOCL and amortization of the net transition asset remaining in AOCL. The service cost</w:t>
      </w:r>
      <w:r>
        <w:t xml:space="preserve"> component of net benefit cost is recorded in cost of products sold and SG&amp;A in the Consolidated Statements of Operations (unless eligible for capitalization) based on the employees’ respective functions. The other components of net benefit cost are presen</w:t>
      </w:r>
      <w:r>
        <w:t>ted separately from service cost within other (income) expense, net in the Consolidated Income Statement. The amount of AOCL expected to be recognized in pension and postretirement benefit expense for 2021 is $21 million and is substantially comprised of n</w:t>
      </w:r>
      <w:r>
        <w:t>et unrecognized actuarial</w:t>
      </w:r>
      <w:r>
        <w:rPr>
          <w:spacing w:val="-2"/>
        </w:rPr>
        <w:t xml:space="preserve"> </w:t>
      </w:r>
      <w:r>
        <w:t>losses.</w:t>
      </w:r>
    </w:p>
    <w:p w14:paraId="7326C92B" w14:textId="77777777" w:rsidR="00EF3DFB" w:rsidRDefault="00EF3DFB">
      <w:pPr>
        <w:pStyle w:val="BodyText"/>
        <w:spacing w:before="2"/>
        <w:rPr>
          <w:sz w:val="22"/>
        </w:rPr>
      </w:pPr>
    </w:p>
    <w:p w14:paraId="7326C92C" w14:textId="77777777" w:rsidR="00EF3DFB" w:rsidRDefault="00D27C17">
      <w:pPr>
        <w:pStyle w:val="BodyText"/>
        <w:spacing w:line="249" w:lineRule="auto"/>
        <w:ind w:left="190" w:right="167"/>
        <w:jc w:val="both"/>
      </w:pPr>
      <w:r>
        <w:t>(Gains)/losses and prior service costs/(credits) are recognized as a component of OCL in the Consolidated Statements of Comprehensive Income (Loss) as they arise. Those (gains)/losses and prior service costs/(credits) are subsequently recognized as a compo</w:t>
      </w:r>
      <w:r>
        <w:t>nent of net periodic cost/(income) pursuant to the recognition and amortization provisions of applicable accounting guidance. (Gains)/losses arise as a result of differences between actual experience and assumptions or as a result of changes in actuarial a</w:t>
      </w:r>
      <w:r>
        <w:t>ssumptions. Prior service costs/(credits) represent the cost of benefit changes attributable to prior service granted in plan amendments.</w:t>
      </w:r>
    </w:p>
    <w:p w14:paraId="7326C92D" w14:textId="77777777" w:rsidR="00EF3DFB" w:rsidRDefault="00EF3DFB">
      <w:pPr>
        <w:pStyle w:val="BodyText"/>
        <w:spacing w:before="5"/>
      </w:pPr>
    </w:p>
    <w:p w14:paraId="7326C92E" w14:textId="77777777" w:rsidR="00EF3DFB" w:rsidRDefault="00D27C17">
      <w:pPr>
        <w:pStyle w:val="BodyText"/>
        <w:spacing w:line="249" w:lineRule="auto"/>
        <w:ind w:left="190" w:right="168"/>
        <w:jc w:val="both"/>
      </w:pPr>
      <w:r>
        <w:t xml:space="preserve">The measurement of benefit obligations and net periodic cost/(income) is based on estimates and assumptions approved </w:t>
      </w:r>
      <w:r>
        <w:t xml:space="preserve">by the Company’s management. These valuations reflect the terms of the plans and use participant-specific information such as compensation, age and years of service, as well as certain assumptions, including estimates of discount rates, expected return on </w:t>
      </w:r>
      <w:r>
        <w:t>plan assets, rate of compensation increases, interest crediting rates and mortality</w:t>
      </w:r>
      <w:r>
        <w:rPr>
          <w:spacing w:val="-10"/>
        </w:rPr>
        <w:t xml:space="preserve"> </w:t>
      </w:r>
      <w:r>
        <w:t>rates.</w:t>
      </w:r>
    </w:p>
    <w:p w14:paraId="7326C92F" w14:textId="77777777" w:rsidR="00EF3DFB" w:rsidRDefault="00EF3DFB">
      <w:pPr>
        <w:pStyle w:val="BodyText"/>
        <w:spacing w:before="3"/>
      </w:pPr>
    </w:p>
    <w:p w14:paraId="7326C930" w14:textId="77777777" w:rsidR="00EF3DFB" w:rsidRDefault="00D27C17">
      <w:pPr>
        <w:pStyle w:val="BodyText"/>
        <w:spacing w:before="1" w:line="249" w:lineRule="auto"/>
        <w:ind w:left="190" w:right="168"/>
        <w:jc w:val="both"/>
      </w:pPr>
      <w:r>
        <w:t>During the fourth quarter of 2020, the Company entered into an agreement with an insurance company to purchase a group annuity contract to settle approximately $157</w:t>
      </w:r>
      <w:r>
        <w:t xml:space="preserve"> million of projected benefit obligations for approximately 44% of the retirees in one of its U.S. defined benefit pension plans. The irrevocable transaction for the transfer of pension liability to the insurance company was funded with the plan’s existing</w:t>
      </w:r>
      <w:r>
        <w:t xml:space="preserve"> assets. Payments from the insurance company to the beneficiaries commences on January 1, 2021. In connection with this transaction, the Company recorded a pre-tax settlement loss to reclassify approximately $49 million into earnings from AOCL.</w:t>
      </w:r>
    </w:p>
    <w:p w14:paraId="7326C931" w14:textId="77777777" w:rsidR="00EF3DFB" w:rsidRDefault="00EF3DFB">
      <w:pPr>
        <w:spacing w:line="249" w:lineRule="auto"/>
        <w:jc w:val="both"/>
        <w:sectPr w:rsidR="00EF3DFB">
          <w:pgSz w:w="12240" w:h="15840"/>
          <w:pgMar w:top="600" w:right="640" w:bottom="480" w:left="620" w:header="0" w:footer="291" w:gutter="0"/>
          <w:cols w:space="720"/>
        </w:sectPr>
      </w:pPr>
    </w:p>
    <w:p w14:paraId="7326C932" w14:textId="77777777" w:rsidR="00EF3DFB" w:rsidRDefault="00D27C17">
      <w:pPr>
        <w:pStyle w:val="BodyText"/>
        <w:spacing w:before="72" w:line="249" w:lineRule="auto"/>
        <w:ind w:left="190" w:right="168"/>
        <w:jc w:val="both"/>
      </w:pPr>
      <w:r>
        <w:lastRenderedPageBreak/>
        <w:t>The Company has a Supplemental Executive Retirement Plan (“SERP”), which is a nonqualified defined benefit and defined contribution plan pursuant to which the Company will pay supplemental benefits to certain key employees upon retirement ba</w:t>
      </w:r>
      <w:r>
        <w:t>sed upon the employees’ years of service and compensation. The SERP is primarily funded through a trust agreement with a trustee that owns life insurance policies on both active and former key employees with aggregate net death benefits of $313 million. At</w:t>
      </w:r>
      <w:r>
        <w:t xml:space="preserve"> December 31, 2020 and 2019, the life insurance contracts were accounted for using the investment method and had a cash surrender value of $137 million and $134 million, respectively, and are included in other assets in the Consolidated Balance Sheets. All</w:t>
      </w:r>
      <w:r>
        <w:t xml:space="preserve"> premiums paid and proceeds received associated with the life insurance policies are included as investing activities in the Consolidated Statements of Cash Flows. The projected benefit obligation was $119 million and $118 million at December 31, 2020 and </w:t>
      </w:r>
      <w:r>
        <w:t>2019, respectively. The SERP liabilities are included in the pension table below; however, the value of the Company’s investments in the life insurance contracts, cash and mutual funds are excluded from the table, as they do not qualify as plan assets.</w:t>
      </w:r>
    </w:p>
    <w:p w14:paraId="7326C933" w14:textId="77777777" w:rsidR="00EF3DFB" w:rsidRDefault="00EF3DFB">
      <w:pPr>
        <w:pStyle w:val="BodyText"/>
        <w:spacing w:before="6"/>
        <w:rPr>
          <w:sz w:val="21"/>
        </w:rPr>
      </w:pPr>
    </w:p>
    <w:p w14:paraId="7326C934" w14:textId="77777777" w:rsidR="00EF3DFB" w:rsidRDefault="00D27C17">
      <w:pPr>
        <w:pStyle w:val="BodyText"/>
        <w:spacing w:line="249" w:lineRule="auto"/>
        <w:ind w:left="190" w:right="170"/>
      </w:pPr>
      <w:r>
        <w:t>Th</w:t>
      </w:r>
      <w:r>
        <w:t>e Company’s matching contributions to the Company's contributory 401(k) plans were $35 million, $32 million and $25 million for 2020, 2019 and 2018, respectively.</w:t>
      </w:r>
    </w:p>
    <w:p w14:paraId="7326C935" w14:textId="77777777" w:rsidR="00EF3DFB" w:rsidRDefault="00EF3DFB">
      <w:pPr>
        <w:pStyle w:val="BodyText"/>
        <w:spacing w:before="9"/>
      </w:pPr>
    </w:p>
    <w:p w14:paraId="7326C936" w14:textId="77777777" w:rsidR="00EF3DFB" w:rsidRDefault="00D27C17">
      <w:pPr>
        <w:pStyle w:val="Heading2"/>
        <w:jc w:val="left"/>
      </w:pPr>
      <w:r>
        <w:t>Defined Benefit Pension Plans</w:t>
      </w:r>
    </w:p>
    <w:p w14:paraId="7326C937" w14:textId="77777777" w:rsidR="00EF3DFB" w:rsidRDefault="00D27C17">
      <w:pPr>
        <w:pStyle w:val="BodyText"/>
        <w:spacing w:before="133" w:line="249" w:lineRule="auto"/>
        <w:ind w:left="190" w:right="333"/>
      </w:pPr>
      <w:r>
        <w:t>The following provides a reconciliation of benefit obligations</w:t>
      </w:r>
      <w:r>
        <w:t>, plan assets and funded status of the Company’s noncontributory defined benefit pension plans, including the SERP, at December 31, (dollars in millions):</w:t>
      </w:r>
    </w:p>
    <w:p w14:paraId="7326C938" w14:textId="77777777" w:rsidR="00EF3DFB" w:rsidRDefault="00EF3DFB">
      <w:pPr>
        <w:spacing w:line="249" w:lineRule="auto"/>
        <w:sectPr w:rsidR="00EF3DFB">
          <w:pgSz w:w="12240" w:h="15840"/>
          <w:pgMar w:top="600" w:right="640" w:bottom="480" w:left="620" w:header="0" w:footer="291" w:gutter="0"/>
          <w:cols w:space="720"/>
        </w:sectPr>
      </w:pPr>
    </w:p>
    <w:p w14:paraId="7326C939" w14:textId="77777777" w:rsidR="00EF3DFB" w:rsidRDefault="00EF3DFB">
      <w:pPr>
        <w:pStyle w:val="BodyText"/>
        <w:spacing w:before="11"/>
        <w:rPr>
          <w:sz w:val="28"/>
        </w:rPr>
      </w:pPr>
    </w:p>
    <w:p w14:paraId="7326C93A" w14:textId="25352324" w:rsidR="00EF3DFB" w:rsidRDefault="00D27C17">
      <w:pPr>
        <w:ind w:right="850"/>
        <w:jc w:val="right"/>
        <w:rPr>
          <w:b/>
          <w:sz w:val="18"/>
        </w:rPr>
      </w:pPr>
      <w:r>
        <w:rPr>
          <w:noProof/>
        </w:rPr>
        <mc:AlternateContent>
          <mc:Choice Requires="wpg">
            <w:drawing>
              <wp:anchor distT="0" distB="0" distL="114300" distR="114300" simplePos="0" relativeHeight="3352" behindDoc="0" locked="0" layoutInCell="1" allowOverlap="1" wp14:anchorId="7326D748" wp14:editId="016F484B">
                <wp:simplePos x="0" y="0"/>
                <wp:positionH relativeFrom="page">
                  <wp:posOffset>3590925</wp:posOffset>
                </wp:positionH>
                <wp:positionV relativeFrom="paragraph">
                  <wp:posOffset>144145</wp:posOffset>
                </wp:positionV>
                <wp:extent cx="2428875" cy="12700"/>
                <wp:effectExtent l="9525" t="4445" r="9525" b="1905"/>
                <wp:wrapNone/>
                <wp:docPr id="314"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700"/>
                          <a:chOff x="5655" y="227"/>
                          <a:chExt cx="3825" cy="20"/>
                        </a:xfrm>
                      </wpg:grpSpPr>
                      <wps:wsp>
                        <wps:cNvPr id="315" name="Line 299"/>
                        <wps:cNvCnPr>
                          <a:cxnSpLocks noChangeShapeType="1"/>
                        </wps:cNvCnPr>
                        <wps:spPr bwMode="auto">
                          <a:xfrm>
                            <a:off x="5655" y="237"/>
                            <a:ext cx="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98"/>
                        <wps:cNvCnPr>
                          <a:cxnSpLocks noChangeShapeType="1"/>
                        </wps:cNvCnPr>
                        <wps:spPr bwMode="auto">
                          <a:xfrm>
                            <a:off x="5655" y="237"/>
                            <a:ext cx="38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A913D" id="Group 297" o:spid="_x0000_s1026" style="position:absolute;margin-left:282.75pt;margin-top:11.35pt;width:191.25pt;height:1pt;z-index:3352;mso-position-horizontal-relative:page" coordorigin="5655,227" coordsize="3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">
                <v:line id="Line 299" o:spid="_x0000_s1027" style="position:absolute;visibility:visible;mso-wrap-style:square" from="5655,237" to="948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" strokeweight="0"/>
                <v:line id="Line 298" o:spid="_x0000_s1028" style="position:absolute;visibility:visible;mso-wrap-style:square" from="5655,237" to="948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" strokeweight="1pt"/>
                <w10:wrap anchorx="page"/>
              </v:group>
            </w:pict>
          </mc:Fallback>
        </mc:AlternateContent>
      </w:r>
      <w:r>
        <w:rPr>
          <w:b/>
          <w:sz w:val="18"/>
        </w:rPr>
        <w:t>Pension Benefits</w:t>
      </w:r>
    </w:p>
    <w:p w14:paraId="7326C93B" w14:textId="77777777" w:rsidR="00EF3DFB" w:rsidRDefault="00D27C17">
      <w:pPr>
        <w:tabs>
          <w:tab w:val="left" w:pos="7412"/>
        </w:tabs>
        <w:spacing w:before="48"/>
        <w:ind w:left="5460"/>
        <w:jc w:val="center"/>
        <w:rPr>
          <w:b/>
          <w:sz w:val="18"/>
        </w:rPr>
      </w:pPr>
      <w:r>
        <w:rPr>
          <w:b/>
          <w:sz w:val="18"/>
        </w:rPr>
        <w:t>United</w:t>
      </w:r>
      <w:r>
        <w:rPr>
          <w:b/>
          <w:spacing w:val="-2"/>
          <w:sz w:val="18"/>
        </w:rPr>
        <w:t xml:space="preserve"> </w:t>
      </w:r>
      <w:r>
        <w:rPr>
          <w:b/>
          <w:sz w:val="18"/>
        </w:rPr>
        <w:t>States</w:t>
      </w:r>
      <w:r>
        <w:rPr>
          <w:b/>
          <w:sz w:val="18"/>
        </w:rPr>
        <w:tab/>
      </w:r>
      <w:r>
        <w:rPr>
          <w:b/>
          <w:spacing w:val="-1"/>
          <w:sz w:val="18"/>
        </w:rPr>
        <w:t>International</w:t>
      </w:r>
    </w:p>
    <w:p w14:paraId="7326C93C" w14:textId="77777777" w:rsidR="00EF3DFB" w:rsidRDefault="00D27C17">
      <w:pPr>
        <w:spacing w:before="117" w:line="249" w:lineRule="auto"/>
        <w:ind w:left="1089" w:right="513" w:hanging="265"/>
        <w:rPr>
          <w:b/>
          <w:sz w:val="18"/>
        </w:rPr>
      </w:pPr>
      <w:r>
        <w:br w:type="column"/>
      </w:r>
      <w:r>
        <w:rPr>
          <w:b/>
          <w:sz w:val="18"/>
        </w:rPr>
        <w:t>Postretirement Benefits</w:t>
      </w:r>
    </w:p>
    <w:p w14:paraId="7326C93D" w14:textId="79AF6482" w:rsidR="00EF3DFB" w:rsidRDefault="00D27C17">
      <w:pPr>
        <w:pStyle w:val="BodyText"/>
        <w:spacing w:line="20" w:lineRule="exact"/>
        <w:ind w:left="452"/>
        <w:rPr>
          <w:sz w:val="2"/>
        </w:rPr>
      </w:pPr>
      <w:r>
        <w:rPr>
          <w:noProof/>
          <w:sz w:val="2"/>
        </w:rPr>
        <mc:AlternateContent>
          <mc:Choice Requires="wpg">
            <w:drawing>
              <wp:inline distT="0" distB="0" distL="0" distR="0" wp14:anchorId="7326D749" wp14:editId="17CEF590">
                <wp:extent cx="1190625" cy="12700"/>
                <wp:effectExtent l="12700" t="5715" r="6350" b="635"/>
                <wp:docPr id="31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700"/>
                          <a:chOff x="0" y="0"/>
                          <a:chExt cx="1875" cy="20"/>
                        </a:xfrm>
                      </wpg:grpSpPr>
                      <wps:wsp>
                        <wps:cNvPr id="312" name="Line 296"/>
                        <wps:cNvCnPr>
                          <a:cxnSpLocks noChangeShapeType="1"/>
                        </wps:cNvCnPr>
                        <wps:spPr bwMode="auto">
                          <a:xfrm>
                            <a:off x="0" y="10"/>
                            <a:ext cx="1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95"/>
                        <wps:cNvCnPr>
                          <a:cxnSpLocks noChangeShapeType="1"/>
                        </wps:cNvCnPr>
                        <wps:spPr bwMode="auto">
                          <a:xfrm>
                            <a:off x="0" y="10"/>
                            <a:ext cx="18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36517" id="Group 294" o:spid="_x0000_s1026" style="width:93.75pt;height:1pt;mso-position-horizontal-relative:char;mso-position-vertical-relative:line" coordsize="18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">
                <v:line id="Line 296" o:spid="_x0000_s1027" style="position:absolute;visibility:visible;mso-wrap-style:square" from="0,10" to="18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line id="Line 295" o:spid="_x0000_s1028" style="position:absolute;visibility:visible;mso-wrap-style:square" from="0,10" to="18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AsxAAAANwAAAAPAAAAZHJzL2Rvd25yZXYueG1sRI/RagIx&#10;FETfC/5DuIJvNbsVpF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DgPwCzEAAAA3AAAAA8A&#10;AAAAAAAAAAAAAAAABwIAAGRycy9kb3ducmV2LnhtbFBLBQYAAAAAAwADALcAAAD4AgAAAAA=&#10;" strokeweight="1pt"/>
                <w10:anchorlock/>
              </v:group>
            </w:pict>
          </mc:Fallback>
        </mc:AlternateContent>
      </w:r>
    </w:p>
    <w:p w14:paraId="7326C93E" w14:textId="77777777" w:rsidR="00EF3DFB" w:rsidRDefault="00EF3DFB">
      <w:pPr>
        <w:spacing w:line="20" w:lineRule="exact"/>
        <w:rPr>
          <w:sz w:val="2"/>
        </w:rPr>
        <w:sectPr w:rsidR="00EF3DFB">
          <w:type w:val="continuous"/>
          <w:pgSz w:w="12240" w:h="15840"/>
          <w:pgMar w:top="760" w:right="640" w:bottom="280" w:left="620" w:header="720" w:footer="720" w:gutter="0"/>
          <w:cols w:num="2" w:space="720" w:equalWidth="0">
            <w:col w:w="8433" w:space="40"/>
            <w:col w:w="2507"/>
          </w:cols>
        </w:sectPr>
      </w:pPr>
    </w:p>
    <w:p w14:paraId="7326C93F" w14:textId="77777777" w:rsidR="00EF3DFB" w:rsidRDefault="00EF3DFB">
      <w:pPr>
        <w:pStyle w:val="BodyText"/>
        <w:spacing w:before="7"/>
        <w:rPr>
          <w:b/>
          <w:sz w:val="2"/>
        </w:rPr>
      </w:pPr>
    </w:p>
    <w:tbl>
      <w:tblPr>
        <w:tblW w:w="0" w:type="auto"/>
        <w:tblInd w:w="190" w:type="dxa"/>
        <w:tblLayout w:type="fixed"/>
        <w:tblCellMar>
          <w:left w:w="0" w:type="dxa"/>
          <w:right w:w="0" w:type="dxa"/>
        </w:tblCellMar>
        <w:tblLook w:val="01E0" w:firstRow="1" w:lastRow="1" w:firstColumn="1" w:lastColumn="1" w:noHBand="0" w:noVBand="0"/>
      </w:tblPr>
      <w:tblGrid>
        <w:gridCol w:w="4845"/>
        <w:gridCol w:w="964"/>
        <w:gridCol w:w="975"/>
        <w:gridCol w:w="975"/>
        <w:gridCol w:w="975"/>
        <w:gridCol w:w="975"/>
        <w:gridCol w:w="911"/>
      </w:tblGrid>
      <w:tr w:rsidR="00EF3DFB" w14:paraId="7326C947" w14:textId="77777777">
        <w:trPr>
          <w:trHeight w:val="280"/>
        </w:trPr>
        <w:tc>
          <w:tcPr>
            <w:tcW w:w="4845" w:type="dxa"/>
          </w:tcPr>
          <w:p w14:paraId="7326C940" w14:textId="77777777" w:rsidR="00EF3DFB" w:rsidRDefault="00D27C17">
            <w:pPr>
              <w:pStyle w:val="TableParagraph"/>
              <w:spacing w:before="53"/>
              <w:ind w:left="52"/>
              <w:rPr>
                <w:b/>
                <w:sz w:val="18"/>
              </w:rPr>
            </w:pPr>
            <w:r>
              <w:rPr>
                <w:b/>
                <w:sz w:val="18"/>
              </w:rPr>
              <w:t>Change in benefit obligation:</w:t>
            </w:r>
          </w:p>
        </w:tc>
        <w:tc>
          <w:tcPr>
            <w:tcW w:w="964" w:type="dxa"/>
            <w:tcBorders>
              <w:top w:val="single" w:sz="8" w:space="0" w:color="000000"/>
              <w:bottom w:val="single" w:sz="8" w:space="0" w:color="000000"/>
            </w:tcBorders>
          </w:tcPr>
          <w:p w14:paraId="7326C941" w14:textId="77777777" w:rsidR="00EF3DFB" w:rsidRDefault="00D27C17">
            <w:pPr>
              <w:pStyle w:val="TableParagraph"/>
              <w:spacing w:before="53"/>
              <w:ind w:left="270"/>
              <w:rPr>
                <w:b/>
                <w:sz w:val="18"/>
              </w:rPr>
            </w:pPr>
            <w:r>
              <w:rPr>
                <w:b/>
                <w:sz w:val="18"/>
              </w:rPr>
              <w:t>2020</w:t>
            </w:r>
          </w:p>
        </w:tc>
        <w:tc>
          <w:tcPr>
            <w:tcW w:w="975" w:type="dxa"/>
            <w:tcBorders>
              <w:top w:val="single" w:sz="8" w:space="0" w:color="000000"/>
              <w:bottom w:val="single" w:sz="8" w:space="0" w:color="000000"/>
            </w:tcBorders>
          </w:tcPr>
          <w:p w14:paraId="7326C942" w14:textId="77777777" w:rsidR="00EF3DFB" w:rsidRDefault="00D27C17">
            <w:pPr>
              <w:pStyle w:val="TableParagraph"/>
              <w:spacing w:before="53"/>
              <w:ind w:left="281"/>
              <w:rPr>
                <w:b/>
                <w:sz w:val="18"/>
              </w:rPr>
            </w:pPr>
            <w:r>
              <w:rPr>
                <w:b/>
                <w:sz w:val="18"/>
              </w:rPr>
              <w:t>2019</w:t>
            </w:r>
          </w:p>
        </w:tc>
        <w:tc>
          <w:tcPr>
            <w:tcW w:w="975" w:type="dxa"/>
            <w:tcBorders>
              <w:top w:val="single" w:sz="8" w:space="0" w:color="000000"/>
              <w:bottom w:val="single" w:sz="8" w:space="0" w:color="000000"/>
            </w:tcBorders>
          </w:tcPr>
          <w:p w14:paraId="7326C943" w14:textId="77777777" w:rsidR="00EF3DFB" w:rsidRDefault="00D27C17">
            <w:pPr>
              <w:pStyle w:val="TableParagraph"/>
              <w:spacing w:before="53"/>
              <w:ind w:left="281"/>
              <w:rPr>
                <w:b/>
                <w:sz w:val="18"/>
              </w:rPr>
            </w:pPr>
            <w:r>
              <w:rPr>
                <w:b/>
                <w:sz w:val="18"/>
              </w:rPr>
              <w:t>2020</w:t>
            </w:r>
          </w:p>
        </w:tc>
        <w:tc>
          <w:tcPr>
            <w:tcW w:w="975" w:type="dxa"/>
            <w:tcBorders>
              <w:top w:val="single" w:sz="8" w:space="0" w:color="000000"/>
              <w:bottom w:val="single" w:sz="8" w:space="0" w:color="000000"/>
            </w:tcBorders>
          </w:tcPr>
          <w:p w14:paraId="7326C944" w14:textId="77777777" w:rsidR="00EF3DFB" w:rsidRDefault="00D27C17">
            <w:pPr>
              <w:pStyle w:val="TableParagraph"/>
              <w:spacing w:before="53"/>
              <w:ind w:left="281"/>
              <w:rPr>
                <w:b/>
                <w:sz w:val="18"/>
              </w:rPr>
            </w:pPr>
            <w:r>
              <w:rPr>
                <w:b/>
                <w:sz w:val="18"/>
              </w:rPr>
              <w:t>2019</w:t>
            </w:r>
          </w:p>
        </w:tc>
        <w:tc>
          <w:tcPr>
            <w:tcW w:w="975" w:type="dxa"/>
            <w:tcBorders>
              <w:top w:val="single" w:sz="8" w:space="0" w:color="000000"/>
              <w:bottom w:val="single" w:sz="8" w:space="0" w:color="000000"/>
            </w:tcBorders>
          </w:tcPr>
          <w:p w14:paraId="7326C945" w14:textId="77777777" w:rsidR="00EF3DFB" w:rsidRDefault="00D27C17">
            <w:pPr>
              <w:pStyle w:val="TableParagraph"/>
              <w:spacing w:before="53"/>
              <w:ind w:left="281"/>
              <w:rPr>
                <w:b/>
                <w:sz w:val="18"/>
              </w:rPr>
            </w:pPr>
            <w:r>
              <w:rPr>
                <w:b/>
                <w:sz w:val="18"/>
              </w:rPr>
              <w:t>2020</w:t>
            </w:r>
          </w:p>
        </w:tc>
        <w:tc>
          <w:tcPr>
            <w:tcW w:w="911" w:type="dxa"/>
            <w:tcBorders>
              <w:top w:val="single" w:sz="8" w:space="0" w:color="000000"/>
              <w:bottom w:val="single" w:sz="8" w:space="0" w:color="000000"/>
            </w:tcBorders>
          </w:tcPr>
          <w:p w14:paraId="7326C946" w14:textId="77777777" w:rsidR="00EF3DFB" w:rsidRDefault="00D27C17">
            <w:pPr>
              <w:pStyle w:val="TableParagraph"/>
              <w:spacing w:before="53"/>
              <w:ind w:left="280"/>
              <w:rPr>
                <w:b/>
                <w:sz w:val="18"/>
              </w:rPr>
            </w:pPr>
            <w:r>
              <w:rPr>
                <w:b/>
                <w:sz w:val="18"/>
              </w:rPr>
              <w:t>2019</w:t>
            </w:r>
          </w:p>
        </w:tc>
      </w:tr>
      <w:tr w:rsidR="00EF3DFB" w14:paraId="7326C94F" w14:textId="77777777">
        <w:trPr>
          <w:trHeight w:val="245"/>
        </w:trPr>
        <w:tc>
          <w:tcPr>
            <w:tcW w:w="4845" w:type="dxa"/>
            <w:shd w:val="clear" w:color="auto" w:fill="CCEDFF"/>
          </w:tcPr>
          <w:p w14:paraId="7326C948" w14:textId="77777777" w:rsidR="00EF3DFB" w:rsidRDefault="00D27C17">
            <w:pPr>
              <w:pStyle w:val="TableParagraph"/>
              <w:spacing w:line="206" w:lineRule="exact"/>
              <w:ind w:left="52"/>
              <w:rPr>
                <w:sz w:val="18"/>
              </w:rPr>
            </w:pPr>
            <w:r>
              <w:rPr>
                <w:sz w:val="18"/>
              </w:rPr>
              <w:t>Benefit obligation at beginning of year</w:t>
            </w:r>
          </w:p>
        </w:tc>
        <w:tc>
          <w:tcPr>
            <w:tcW w:w="964" w:type="dxa"/>
            <w:tcBorders>
              <w:top w:val="single" w:sz="8" w:space="0" w:color="000000"/>
            </w:tcBorders>
            <w:shd w:val="clear" w:color="auto" w:fill="CCEDFF"/>
          </w:tcPr>
          <w:p w14:paraId="7326C949" w14:textId="77777777" w:rsidR="00EF3DFB" w:rsidRDefault="00D27C17">
            <w:pPr>
              <w:pStyle w:val="TableParagraph"/>
              <w:spacing w:before="8"/>
              <w:ind w:left="52"/>
              <w:rPr>
                <w:sz w:val="18"/>
              </w:rPr>
            </w:pPr>
            <w:r>
              <w:rPr>
                <w:sz w:val="18"/>
              </w:rPr>
              <w:t>$ 1,449</w:t>
            </w:r>
          </w:p>
        </w:tc>
        <w:tc>
          <w:tcPr>
            <w:tcW w:w="975" w:type="dxa"/>
            <w:tcBorders>
              <w:top w:val="single" w:sz="8" w:space="0" w:color="000000"/>
            </w:tcBorders>
            <w:shd w:val="clear" w:color="auto" w:fill="CCEDFF"/>
          </w:tcPr>
          <w:p w14:paraId="7326C94A" w14:textId="77777777" w:rsidR="00EF3DFB" w:rsidRDefault="00D27C17">
            <w:pPr>
              <w:pStyle w:val="TableParagraph"/>
              <w:spacing w:before="8"/>
              <w:ind w:left="63"/>
              <w:rPr>
                <w:sz w:val="18"/>
              </w:rPr>
            </w:pPr>
            <w:r>
              <w:rPr>
                <w:sz w:val="18"/>
              </w:rPr>
              <w:t>$ 1,348</w:t>
            </w:r>
          </w:p>
        </w:tc>
        <w:tc>
          <w:tcPr>
            <w:tcW w:w="975" w:type="dxa"/>
            <w:tcBorders>
              <w:top w:val="single" w:sz="8" w:space="0" w:color="000000"/>
            </w:tcBorders>
            <w:shd w:val="clear" w:color="auto" w:fill="CCEDFF"/>
          </w:tcPr>
          <w:p w14:paraId="7326C94B" w14:textId="77777777" w:rsidR="00EF3DFB" w:rsidRDefault="00D27C17">
            <w:pPr>
              <w:pStyle w:val="TableParagraph"/>
              <w:tabs>
                <w:tab w:val="left" w:pos="416"/>
              </w:tabs>
              <w:spacing w:before="8"/>
              <w:ind w:left="63"/>
              <w:rPr>
                <w:sz w:val="18"/>
              </w:rPr>
            </w:pPr>
            <w:r>
              <w:rPr>
                <w:sz w:val="18"/>
              </w:rPr>
              <w:t>$</w:t>
            </w:r>
            <w:r>
              <w:rPr>
                <w:sz w:val="18"/>
              </w:rPr>
              <w:tab/>
              <w:t>626</w:t>
            </w:r>
          </w:p>
        </w:tc>
        <w:tc>
          <w:tcPr>
            <w:tcW w:w="975" w:type="dxa"/>
            <w:tcBorders>
              <w:top w:val="single" w:sz="8" w:space="0" w:color="000000"/>
            </w:tcBorders>
            <w:shd w:val="clear" w:color="auto" w:fill="CCEDFF"/>
          </w:tcPr>
          <w:p w14:paraId="7326C94C" w14:textId="77777777" w:rsidR="00EF3DFB" w:rsidRDefault="00D27C17">
            <w:pPr>
              <w:pStyle w:val="TableParagraph"/>
              <w:tabs>
                <w:tab w:val="left" w:pos="416"/>
              </w:tabs>
              <w:spacing w:before="8"/>
              <w:ind w:left="63"/>
              <w:rPr>
                <w:sz w:val="18"/>
              </w:rPr>
            </w:pPr>
            <w:r>
              <w:rPr>
                <w:sz w:val="18"/>
              </w:rPr>
              <w:t>$</w:t>
            </w:r>
            <w:r>
              <w:rPr>
                <w:sz w:val="18"/>
              </w:rPr>
              <w:tab/>
              <w:t>581</w:t>
            </w:r>
          </w:p>
        </w:tc>
        <w:tc>
          <w:tcPr>
            <w:tcW w:w="975" w:type="dxa"/>
            <w:tcBorders>
              <w:top w:val="single" w:sz="8" w:space="0" w:color="000000"/>
            </w:tcBorders>
            <w:shd w:val="clear" w:color="auto" w:fill="CCEDFF"/>
          </w:tcPr>
          <w:p w14:paraId="7326C94D" w14:textId="77777777" w:rsidR="00EF3DFB" w:rsidRDefault="00D27C17">
            <w:pPr>
              <w:pStyle w:val="TableParagraph"/>
              <w:tabs>
                <w:tab w:val="left" w:pos="506"/>
              </w:tabs>
              <w:spacing w:before="8"/>
              <w:ind w:left="63"/>
              <w:rPr>
                <w:sz w:val="18"/>
              </w:rPr>
            </w:pPr>
            <w:r>
              <w:rPr>
                <w:sz w:val="18"/>
              </w:rPr>
              <w:t>$</w:t>
            </w:r>
            <w:r>
              <w:rPr>
                <w:sz w:val="18"/>
              </w:rPr>
              <w:tab/>
              <w:t>52</w:t>
            </w:r>
          </w:p>
        </w:tc>
        <w:tc>
          <w:tcPr>
            <w:tcW w:w="911" w:type="dxa"/>
            <w:tcBorders>
              <w:top w:val="single" w:sz="8" w:space="0" w:color="000000"/>
            </w:tcBorders>
            <w:shd w:val="clear" w:color="auto" w:fill="CCEDFF"/>
          </w:tcPr>
          <w:p w14:paraId="7326C94E" w14:textId="77777777" w:rsidR="00EF3DFB" w:rsidRDefault="00D27C17">
            <w:pPr>
              <w:pStyle w:val="TableParagraph"/>
              <w:tabs>
                <w:tab w:val="left" w:pos="506"/>
              </w:tabs>
              <w:spacing w:before="8"/>
              <w:ind w:left="63"/>
              <w:rPr>
                <w:sz w:val="18"/>
              </w:rPr>
            </w:pPr>
            <w:r>
              <w:rPr>
                <w:sz w:val="18"/>
              </w:rPr>
              <w:t>$</w:t>
            </w:r>
            <w:r>
              <w:rPr>
                <w:sz w:val="18"/>
              </w:rPr>
              <w:tab/>
              <w:t>53</w:t>
            </w:r>
          </w:p>
        </w:tc>
      </w:tr>
      <w:tr w:rsidR="00EF3DFB" w14:paraId="7326C957" w14:textId="77777777">
        <w:trPr>
          <w:trHeight w:val="255"/>
        </w:trPr>
        <w:tc>
          <w:tcPr>
            <w:tcW w:w="4845" w:type="dxa"/>
          </w:tcPr>
          <w:p w14:paraId="7326C950" w14:textId="77777777" w:rsidR="00EF3DFB" w:rsidRDefault="00D27C17">
            <w:pPr>
              <w:pStyle w:val="TableParagraph"/>
              <w:spacing w:before="9"/>
              <w:ind w:left="52"/>
              <w:rPr>
                <w:sz w:val="18"/>
              </w:rPr>
            </w:pPr>
            <w:r>
              <w:rPr>
                <w:sz w:val="18"/>
              </w:rPr>
              <w:t>Service cost</w:t>
            </w:r>
          </w:p>
        </w:tc>
        <w:tc>
          <w:tcPr>
            <w:tcW w:w="964" w:type="dxa"/>
          </w:tcPr>
          <w:p w14:paraId="7326C951" w14:textId="77777777" w:rsidR="00EF3DFB" w:rsidRDefault="00D27C17">
            <w:pPr>
              <w:pStyle w:val="TableParagraph"/>
              <w:spacing w:before="18"/>
              <w:ind w:left="495"/>
              <w:rPr>
                <w:sz w:val="18"/>
              </w:rPr>
            </w:pPr>
            <w:r>
              <w:rPr>
                <w:sz w:val="18"/>
              </w:rPr>
              <w:t>—</w:t>
            </w:r>
          </w:p>
        </w:tc>
        <w:tc>
          <w:tcPr>
            <w:tcW w:w="975" w:type="dxa"/>
          </w:tcPr>
          <w:p w14:paraId="7326C952" w14:textId="77777777" w:rsidR="00EF3DFB" w:rsidRDefault="00D27C17">
            <w:pPr>
              <w:pStyle w:val="TableParagraph"/>
              <w:spacing w:before="18"/>
              <w:ind w:left="596"/>
              <w:rPr>
                <w:sz w:val="18"/>
              </w:rPr>
            </w:pPr>
            <w:r>
              <w:rPr>
                <w:sz w:val="18"/>
              </w:rPr>
              <w:t>1</w:t>
            </w:r>
          </w:p>
        </w:tc>
        <w:tc>
          <w:tcPr>
            <w:tcW w:w="975" w:type="dxa"/>
          </w:tcPr>
          <w:p w14:paraId="7326C953" w14:textId="77777777" w:rsidR="00EF3DFB" w:rsidRDefault="00D27C17">
            <w:pPr>
              <w:pStyle w:val="TableParagraph"/>
              <w:spacing w:before="18"/>
              <w:ind w:left="596"/>
              <w:rPr>
                <w:sz w:val="18"/>
              </w:rPr>
            </w:pPr>
            <w:r>
              <w:rPr>
                <w:sz w:val="18"/>
              </w:rPr>
              <w:t>4</w:t>
            </w:r>
          </w:p>
        </w:tc>
        <w:tc>
          <w:tcPr>
            <w:tcW w:w="975" w:type="dxa"/>
          </w:tcPr>
          <w:p w14:paraId="7326C954" w14:textId="77777777" w:rsidR="00EF3DFB" w:rsidRDefault="00D27C17">
            <w:pPr>
              <w:pStyle w:val="TableParagraph"/>
              <w:spacing w:before="18"/>
              <w:ind w:left="596"/>
              <w:rPr>
                <w:sz w:val="18"/>
              </w:rPr>
            </w:pPr>
            <w:r>
              <w:rPr>
                <w:sz w:val="18"/>
              </w:rPr>
              <w:t>6</w:t>
            </w:r>
          </w:p>
        </w:tc>
        <w:tc>
          <w:tcPr>
            <w:tcW w:w="975" w:type="dxa"/>
          </w:tcPr>
          <w:p w14:paraId="7326C955" w14:textId="77777777" w:rsidR="00EF3DFB" w:rsidRDefault="00D27C17">
            <w:pPr>
              <w:pStyle w:val="TableParagraph"/>
              <w:spacing w:before="18"/>
              <w:ind w:left="506"/>
              <w:rPr>
                <w:sz w:val="18"/>
              </w:rPr>
            </w:pPr>
            <w:r>
              <w:rPr>
                <w:sz w:val="18"/>
              </w:rPr>
              <w:t>—</w:t>
            </w:r>
          </w:p>
        </w:tc>
        <w:tc>
          <w:tcPr>
            <w:tcW w:w="911" w:type="dxa"/>
          </w:tcPr>
          <w:p w14:paraId="7326C956" w14:textId="77777777" w:rsidR="00EF3DFB" w:rsidRDefault="00D27C17">
            <w:pPr>
              <w:pStyle w:val="TableParagraph"/>
              <w:spacing w:before="18"/>
              <w:ind w:left="506"/>
              <w:rPr>
                <w:sz w:val="18"/>
              </w:rPr>
            </w:pPr>
            <w:r>
              <w:rPr>
                <w:sz w:val="18"/>
              </w:rPr>
              <w:t>—</w:t>
            </w:r>
          </w:p>
        </w:tc>
      </w:tr>
      <w:tr w:rsidR="00EF3DFB" w14:paraId="7326C95F" w14:textId="77777777">
        <w:trPr>
          <w:trHeight w:val="255"/>
        </w:trPr>
        <w:tc>
          <w:tcPr>
            <w:tcW w:w="4845" w:type="dxa"/>
            <w:shd w:val="clear" w:color="auto" w:fill="CCEDFF"/>
          </w:tcPr>
          <w:p w14:paraId="7326C958" w14:textId="77777777" w:rsidR="00EF3DFB" w:rsidRDefault="00D27C17">
            <w:pPr>
              <w:pStyle w:val="TableParagraph"/>
              <w:spacing w:before="9"/>
              <w:ind w:left="52"/>
              <w:rPr>
                <w:sz w:val="18"/>
              </w:rPr>
            </w:pPr>
            <w:r>
              <w:rPr>
                <w:sz w:val="18"/>
              </w:rPr>
              <w:t>Interest cost</w:t>
            </w:r>
          </w:p>
        </w:tc>
        <w:tc>
          <w:tcPr>
            <w:tcW w:w="964" w:type="dxa"/>
            <w:shd w:val="clear" w:color="auto" w:fill="CCEDFF"/>
          </w:tcPr>
          <w:p w14:paraId="7326C959" w14:textId="77777777" w:rsidR="00EF3DFB" w:rsidRDefault="00D27C17">
            <w:pPr>
              <w:pStyle w:val="TableParagraph"/>
              <w:spacing w:before="18"/>
              <w:ind w:left="495"/>
              <w:rPr>
                <w:sz w:val="18"/>
              </w:rPr>
            </w:pPr>
            <w:r>
              <w:rPr>
                <w:sz w:val="18"/>
              </w:rPr>
              <w:t>35</w:t>
            </w:r>
          </w:p>
        </w:tc>
        <w:tc>
          <w:tcPr>
            <w:tcW w:w="975" w:type="dxa"/>
            <w:shd w:val="clear" w:color="auto" w:fill="CCEDFF"/>
          </w:tcPr>
          <w:p w14:paraId="7326C95A" w14:textId="77777777" w:rsidR="00EF3DFB" w:rsidRDefault="00D27C17">
            <w:pPr>
              <w:pStyle w:val="TableParagraph"/>
              <w:spacing w:before="18"/>
              <w:ind w:left="506"/>
              <w:rPr>
                <w:sz w:val="18"/>
              </w:rPr>
            </w:pPr>
            <w:r>
              <w:rPr>
                <w:sz w:val="18"/>
              </w:rPr>
              <w:t>49</w:t>
            </w:r>
          </w:p>
        </w:tc>
        <w:tc>
          <w:tcPr>
            <w:tcW w:w="975" w:type="dxa"/>
            <w:shd w:val="clear" w:color="auto" w:fill="CCEDFF"/>
          </w:tcPr>
          <w:p w14:paraId="7326C95B" w14:textId="77777777" w:rsidR="00EF3DFB" w:rsidRDefault="00D27C17">
            <w:pPr>
              <w:pStyle w:val="TableParagraph"/>
              <w:spacing w:before="18"/>
              <w:ind w:left="596"/>
              <w:rPr>
                <w:sz w:val="18"/>
              </w:rPr>
            </w:pPr>
            <w:r>
              <w:rPr>
                <w:sz w:val="18"/>
              </w:rPr>
              <w:t>9</w:t>
            </w:r>
          </w:p>
        </w:tc>
        <w:tc>
          <w:tcPr>
            <w:tcW w:w="975" w:type="dxa"/>
            <w:shd w:val="clear" w:color="auto" w:fill="CCEDFF"/>
          </w:tcPr>
          <w:p w14:paraId="7326C95C" w14:textId="77777777" w:rsidR="00EF3DFB" w:rsidRDefault="00D27C17">
            <w:pPr>
              <w:pStyle w:val="TableParagraph"/>
              <w:spacing w:before="18"/>
              <w:ind w:left="506"/>
              <w:rPr>
                <w:sz w:val="18"/>
              </w:rPr>
            </w:pPr>
            <w:r>
              <w:rPr>
                <w:sz w:val="18"/>
              </w:rPr>
              <w:t>13</w:t>
            </w:r>
          </w:p>
        </w:tc>
        <w:tc>
          <w:tcPr>
            <w:tcW w:w="975" w:type="dxa"/>
            <w:shd w:val="clear" w:color="auto" w:fill="CCEDFF"/>
          </w:tcPr>
          <w:p w14:paraId="7326C95D" w14:textId="77777777" w:rsidR="00EF3DFB" w:rsidRDefault="00D27C17">
            <w:pPr>
              <w:pStyle w:val="TableParagraph"/>
              <w:spacing w:before="18"/>
              <w:ind w:left="596"/>
              <w:rPr>
                <w:sz w:val="18"/>
              </w:rPr>
            </w:pPr>
            <w:r>
              <w:rPr>
                <w:sz w:val="18"/>
              </w:rPr>
              <w:t>1</w:t>
            </w:r>
          </w:p>
        </w:tc>
        <w:tc>
          <w:tcPr>
            <w:tcW w:w="911" w:type="dxa"/>
            <w:shd w:val="clear" w:color="auto" w:fill="CCEDFF"/>
          </w:tcPr>
          <w:p w14:paraId="7326C95E" w14:textId="77777777" w:rsidR="00EF3DFB" w:rsidRDefault="00D27C17">
            <w:pPr>
              <w:pStyle w:val="TableParagraph"/>
              <w:spacing w:before="18"/>
              <w:ind w:left="596"/>
              <w:rPr>
                <w:sz w:val="18"/>
              </w:rPr>
            </w:pPr>
            <w:r>
              <w:rPr>
                <w:sz w:val="18"/>
              </w:rPr>
              <w:t>2</w:t>
            </w:r>
          </w:p>
        </w:tc>
      </w:tr>
      <w:tr w:rsidR="00EF3DFB" w14:paraId="7326C967" w14:textId="77777777">
        <w:trPr>
          <w:trHeight w:val="255"/>
        </w:trPr>
        <w:tc>
          <w:tcPr>
            <w:tcW w:w="4845" w:type="dxa"/>
          </w:tcPr>
          <w:p w14:paraId="7326C960" w14:textId="77777777" w:rsidR="00EF3DFB" w:rsidRDefault="00D27C17">
            <w:pPr>
              <w:pStyle w:val="TableParagraph"/>
              <w:spacing w:before="9"/>
              <w:ind w:left="52"/>
              <w:rPr>
                <w:sz w:val="18"/>
              </w:rPr>
            </w:pPr>
            <w:r>
              <w:rPr>
                <w:sz w:val="18"/>
              </w:rPr>
              <w:t>Actuarial loss</w:t>
            </w:r>
          </w:p>
        </w:tc>
        <w:tc>
          <w:tcPr>
            <w:tcW w:w="964" w:type="dxa"/>
          </w:tcPr>
          <w:p w14:paraId="7326C961" w14:textId="77777777" w:rsidR="00EF3DFB" w:rsidRDefault="00D27C17">
            <w:pPr>
              <w:pStyle w:val="TableParagraph"/>
              <w:spacing w:before="18"/>
              <w:ind w:left="405"/>
              <w:rPr>
                <w:sz w:val="18"/>
              </w:rPr>
            </w:pPr>
            <w:r>
              <w:rPr>
                <w:sz w:val="18"/>
              </w:rPr>
              <w:t>133</w:t>
            </w:r>
          </w:p>
        </w:tc>
        <w:tc>
          <w:tcPr>
            <w:tcW w:w="975" w:type="dxa"/>
          </w:tcPr>
          <w:p w14:paraId="7326C962" w14:textId="77777777" w:rsidR="00EF3DFB" w:rsidRDefault="00D27C17">
            <w:pPr>
              <w:pStyle w:val="TableParagraph"/>
              <w:spacing w:before="18"/>
              <w:ind w:left="416"/>
              <w:rPr>
                <w:sz w:val="18"/>
              </w:rPr>
            </w:pPr>
            <w:r>
              <w:rPr>
                <w:sz w:val="18"/>
              </w:rPr>
              <w:t>151</w:t>
            </w:r>
          </w:p>
        </w:tc>
        <w:tc>
          <w:tcPr>
            <w:tcW w:w="975" w:type="dxa"/>
          </w:tcPr>
          <w:p w14:paraId="7326C963" w14:textId="77777777" w:rsidR="00EF3DFB" w:rsidRDefault="00D27C17">
            <w:pPr>
              <w:pStyle w:val="TableParagraph"/>
              <w:spacing w:before="18"/>
              <w:ind w:left="506"/>
              <w:rPr>
                <w:sz w:val="18"/>
              </w:rPr>
            </w:pPr>
            <w:r>
              <w:rPr>
                <w:sz w:val="18"/>
              </w:rPr>
              <w:t>29</w:t>
            </w:r>
          </w:p>
        </w:tc>
        <w:tc>
          <w:tcPr>
            <w:tcW w:w="975" w:type="dxa"/>
          </w:tcPr>
          <w:p w14:paraId="7326C964" w14:textId="77777777" w:rsidR="00EF3DFB" w:rsidRDefault="00D27C17">
            <w:pPr>
              <w:pStyle w:val="TableParagraph"/>
              <w:spacing w:before="18"/>
              <w:ind w:left="506"/>
              <w:rPr>
                <w:sz w:val="18"/>
              </w:rPr>
            </w:pPr>
            <w:r>
              <w:rPr>
                <w:sz w:val="18"/>
              </w:rPr>
              <w:t>45</w:t>
            </w:r>
          </w:p>
        </w:tc>
        <w:tc>
          <w:tcPr>
            <w:tcW w:w="975" w:type="dxa"/>
          </w:tcPr>
          <w:p w14:paraId="7326C965" w14:textId="77777777" w:rsidR="00EF3DFB" w:rsidRDefault="00D27C17">
            <w:pPr>
              <w:pStyle w:val="TableParagraph"/>
              <w:spacing w:before="18"/>
              <w:ind w:left="596"/>
              <w:rPr>
                <w:sz w:val="18"/>
              </w:rPr>
            </w:pPr>
            <w:r>
              <w:rPr>
                <w:sz w:val="18"/>
              </w:rPr>
              <w:t>2</w:t>
            </w:r>
          </w:p>
        </w:tc>
        <w:tc>
          <w:tcPr>
            <w:tcW w:w="911" w:type="dxa"/>
          </w:tcPr>
          <w:p w14:paraId="7326C966" w14:textId="77777777" w:rsidR="00EF3DFB" w:rsidRDefault="00D27C17">
            <w:pPr>
              <w:pStyle w:val="TableParagraph"/>
              <w:spacing w:before="18"/>
              <w:ind w:left="596"/>
              <w:rPr>
                <w:sz w:val="18"/>
              </w:rPr>
            </w:pPr>
            <w:r>
              <w:rPr>
                <w:sz w:val="18"/>
              </w:rPr>
              <w:t>2</w:t>
            </w:r>
          </w:p>
        </w:tc>
      </w:tr>
      <w:tr w:rsidR="00EF3DFB" w14:paraId="7326C96F" w14:textId="77777777">
        <w:trPr>
          <w:trHeight w:val="255"/>
        </w:trPr>
        <w:tc>
          <w:tcPr>
            <w:tcW w:w="4845" w:type="dxa"/>
            <w:shd w:val="clear" w:color="auto" w:fill="CCEDFF"/>
          </w:tcPr>
          <w:p w14:paraId="7326C968" w14:textId="77777777" w:rsidR="00EF3DFB" w:rsidRDefault="00D27C17">
            <w:pPr>
              <w:pStyle w:val="TableParagraph"/>
              <w:spacing w:before="9"/>
              <w:ind w:left="52"/>
              <w:rPr>
                <w:sz w:val="18"/>
              </w:rPr>
            </w:pPr>
            <w:r>
              <w:rPr>
                <w:sz w:val="18"/>
              </w:rPr>
              <w:t>Amendments</w:t>
            </w:r>
          </w:p>
        </w:tc>
        <w:tc>
          <w:tcPr>
            <w:tcW w:w="964" w:type="dxa"/>
            <w:shd w:val="clear" w:color="auto" w:fill="CCEDFF"/>
          </w:tcPr>
          <w:p w14:paraId="7326C969" w14:textId="77777777" w:rsidR="00EF3DFB" w:rsidRDefault="00D27C17">
            <w:pPr>
              <w:pStyle w:val="TableParagraph"/>
              <w:spacing w:before="18"/>
              <w:ind w:left="495"/>
              <w:rPr>
                <w:sz w:val="18"/>
              </w:rPr>
            </w:pPr>
            <w:r>
              <w:rPr>
                <w:sz w:val="18"/>
              </w:rPr>
              <w:t>—</w:t>
            </w:r>
          </w:p>
        </w:tc>
        <w:tc>
          <w:tcPr>
            <w:tcW w:w="975" w:type="dxa"/>
            <w:shd w:val="clear" w:color="auto" w:fill="CCEDFF"/>
          </w:tcPr>
          <w:p w14:paraId="7326C96A" w14:textId="77777777" w:rsidR="00EF3DFB" w:rsidRDefault="00D27C17">
            <w:pPr>
              <w:pStyle w:val="TableParagraph"/>
              <w:spacing w:before="18"/>
              <w:ind w:left="506"/>
              <w:rPr>
                <w:sz w:val="18"/>
              </w:rPr>
            </w:pPr>
            <w:r>
              <w:rPr>
                <w:sz w:val="18"/>
              </w:rPr>
              <w:t>—</w:t>
            </w:r>
          </w:p>
        </w:tc>
        <w:tc>
          <w:tcPr>
            <w:tcW w:w="975" w:type="dxa"/>
            <w:shd w:val="clear" w:color="auto" w:fill="CCEDFF"/>
          </w:tcPr>
          <w:p w14:paraId="7326C96B" w14:textId="77777777" w:rsidR="00EF3DFB" w:rsidRDefault="00D27C17">
            <w:pPr>
              <w:pStyle w:val="TableParagraph"/>
              <w:spacing w:before="18"/>
              <w:ind w:left="596"/>
              <w:rPr>
                <w:sz w:val="18"/>
              </w:rPr>
            </w:pPr>
            <w:r>
              <w:rPr>
                <w:sz w:val="18"/>
              </w:rPr>
              <w:t>1</w:t>
            </w:r>
          </w:p>
        </w:tc>
        <w:tc>
          <w:tcPr>
            <w:tcW w:w="975" w:type="dxa"/>
            <w:shd w:val="clear" w:color="auto" w:fill="CCEDFF"/>
          </w:tcPr>
          <w:p w14:paraId="7326C96C" w14:textId="77777777" w:rsidR="00EF3DFB" w:rsidRDefault="00D27C17">
            <w:pPr>
              <w:pStyle w:val="TableParagraph"/>
              <w:spacing w:before="18"/>
              <w:ind w:left="596"/>
              <w:rPr>
                <w:sz w:val="18"/>
              </w:rPr>
            </w:pPr>
            <w:r>
              <w:rPr>
                <w:sz w:val="18"/>
              </w:rPr>
              <w:t>1</w:t>
            </w:r>
          </w:p>
        </w:tc>
        <w:tc>
          <w:tcPr>
            <w:tcW w:w="975" w:type="dxa"/>
            <w:shd w:val="clear" w:color="auto" w:fill="CCEDFF"/>
          </w:tcPr>
          <w:p w14:paraId="7326C96D" w14:textId="77777777" w:rsidR="00EF3DFB" w:rsidRDefault="00D27C17">
            <w:pPr>
              <w:pStyle w:val="TableParagraph"/>
              <w:spacing w:before="18"/>
              <w:ind w:left="506"/>
              <w:rPr>
                <w:sz w:val="18"/>
              </w:rPr>
            </w:pPr>
            <w:r>
              <w:rPr>
                <w:sz w:val="18"/>
              </w:rPr>
              <w:t>—</w:t>
            </w:r>
          </w:p>
        </w:tc>
        <w:tc>
          <w:tcPr>
            <w:tcW w:w="911" w:type="dxa"/>
            <w:shd w:val="clear" w:color="auto" w:fill="CCEDFF"/>
          </w:tcPr>
          <w:p w14:paraId="7326C96E" w14:textId="77777777" w:rsidR="00EF3DFB" w:rsidRDefault="00D27C17">
            <w:pPr>
              <w:pStyle w:val="TableParagraph"/>
              <w:spacing w:before="18"/>
              <w:ind w:left="506"/>
              <w:rPr>
                <w:sz w:val="18"/>
              </w:rPr>
            </w:pPr>
            <w:r>
              <w:rPr>
                <w:sz w:val="18"/>
              </w:rPr>
              <w:t>—</w:t>
            </w:r>
          </w:p>
        </w:tc>
      </w:tr>
      <w:tr w:rsidR="00EF3DFB" w14:paraId="7326C977" w14:textId="77777777">
        <w:trPr>
          <w:trHeight w:val="255"/>
        </w:trPr>
        <w:tc>
          <w:tcPr>
            <w:tcW w:w="4845" w:type="dxa"/>
          </w:tcPr>
          <w:p w14:paraId="7326C970" w14:textId="77777777" w:rsidR="00EF3DFB" w:rsidRDefault="00D27C17">
            <w:pPr>
              <w:pStyle w:val="TableParagraph"/>
              <w:spacing w:before="9"/>
              <w:ind w:left="52"/>
              <w:rPr>
                <w:sz w:val="18"/>
              </w:rPr>
            </w:pPr>
            <w:r>
              <w:rPr>
                <w:sz w:val="18"/>
              </w:rPr>
              <w:t>Currency translation</w:t>
            </w:r>
          </w:p>
        </w:tc>
        <w:tc>
          <w:tcPr>
            <w:tcW w:w="964" w:type="dxa"/>
          </w:tcPr>
          <w:p w14:paraId="7326C971" w14:textId="77777777" w:rsidR="00EF3DFB" w:rsidRDefault="00D27C17">
            <w:pPr>
              <w:pStyle w:val="TableParagraph"/>
              <w:spacing w:before="18"/>
              <w:ind w:left="495"/>
              <w:rPr>
                <w:sz w:val="18"/>
              </w:rPr>
            </w:pPr>
            <w:r>
              <w:rPr>
                <w:sz w:val="18"/>
              </w:rPr>
              <w:t>—</w:t>
            </w:r>
          </w:p>
        </w:tc>
        <w:tc>
          <w:tcPr>
            <w:tcW w:w="975" w:type="dxa"/>
          </w:tcPr>
          <w:p w14:paraId="7326C972" w14:textId="77777777" w:rsidR="00EF3DFB" w:rsidRDefault="00D27C17">
            <w:pPr>
              <w:pStyle w:val="TableParagraph"/>
              <w:spacing w:before="18"/>
              <w:ind w:left="506"/>
              <w:rPr>
                <w:sz w:val="18"/>
              </w:rPr>
            </w:pPr>
            <w:r>
              <w:rPr>
                <w:sz w:val="18"/>
              </w:rPr>
              <w:t>—</w:t>
            </w:r>
          </w:p>
        </w:tc>
        <w:tc>
          <w:tcPr>
            <w:tcW w:w="975" w:type="dxa"/>
          </w:tcPr>
          <w:p w14:paraId="7326C973" w14:textId="77777777" w:rsidR="00EF3DFB" w:rsidRDefault="00D27C17">
            <w:pPr>
              <w:pStyle w:val="TableParagraph"/>
              <w:spacing w:before="18"/>
              <w:ind w:left="506"/>
              <w:rPr>
                <w:sz w:val="18"/>
              </w:rPr>
            </w:pPr>
            <w:r>
              <w:rPr>
                <w:sz w:val="18"/>
              </w:rPr>
              <w:t>29</w:t>
            </w:r>
          </w:p>
        </w:tc>
        <w:tc>
          <w:tcPr>
            <w:tcW w:w="975" w:type="dxa"/>
          </w:tcPr>
          <w:p w14:paraId="7326C974" w14:textId="77777777" w:rsidR="00EF3DFB" w:rsidRDefault="00D27C17">
            <w:pPr>
              <w:pStyle w:val="TableParagraph"/>
              <w:spacing w:before="18"/>
              <w:ind w:left="506"/>
              <w:rPr>
                <w:sz w:val="18"/>
              </w:rPr>
            </w:pPr>
            <w:r>
              <w:rPr>
                <w:sz w:val="18"/>
              </w:rPr>
              <w:t>15</w:t>
            </w:r>
          </w:p>
        </w:tc>
        <w:tc>
          <w:tcPr>
            <w:tcW w:w="975" w:type="dxa"/>
          </w:tcPr>
          <w:p w14:paraId="7326C975" w14:textId="77777777" w:rsidR="00EF3DFB" w:rsidRDefault="00D27C17">
            <w:pPr>
              <w:pStyle w:val="TableParagraph"/>
              <w:spacing w:before="18"/>
              <w:ind w:left="506"/>
              <w:rPr>
                <w:sz w:val="18"/>
              </w:rPr>
            </w:pPr>
            <w:r>
              <w:rPr>
                <w:sz w:val="18"/>
              </w:rPr>
              <w:t>—</w:t>
            </w:r>
          </w:p>
        </w:tc>
        <w:tc>
          <w:tcPr>
            <w:tcW w:w="911" w:type="dxa"/>
          </w:tcPr>
          <w:p w14:paraId="7326C976" w14:textId="77777777" w:rsidR="00EF3DFB" w:rsidRDefault="00D27C17">
            <w:pPr>
              <w:pStyle w:val="TableParagraph"/>
              <w:spacing w:before="18"/>
              <w:ind w:left="506"/>
              <w:rPr>
                <w:sz w:val="18"/>
              </w:rPr>
            </w:pPr>
            <w:r>
              <w:rPr>
                <w:sz w:val="18"/>
              </w:rPr>
              <w:t>—</w:t>
            </w:r>
          </w:p>
        </w:tc>
      </w:tr>
      <w:tr w:rsidR="00EF3DFB" w14:paraId="7326C97F" w14:textId="77777777">
        <w:trPr>
          <w:trHeight w:val="255"/>
        </w:trPr>
        <w:tc>
          <w:tcPr>
            <w:tcW w:w="4845" w:type="dxa"/>
            <w:shd w:val="clear" w:color="auto" w:fill="CCEDFF"/>
          </w:tcPr>
          <w:p w14:paraId="7326C978" w14:textId="77777777" w:rsidR="00EF3DFB" w:rsidRDefault="00D27C17">
            <w:pPr>
              <w:pStyle w:val="TableParagraph"/>
              <w:spacing w:before="9"/>
              <w:ind w:left="52"/>
              <w:rPr>
                <w:sz w:val="18"/>
              </w:rPr>
            </w:pPr>
            <w:r>
              <w:rPr>
                <w:sz w:val="18"/>
              </w:rPr>
              <w:t>Benefits paid</w:t>
            </w:r>
          </w:p>
        </w:tc>
        <w:tc>
          <w:tcPr>
            <w:tcW w:w="964" w:type="dxa"/>
            <w:shd w:val="clear" w:color="auto" w:fill="CCEDFF"/>
          </w:tcPr>
          <w:p w14:paraId="7326C979" w14:textId="77777777" w:rsidR="00EF3DFB" w:rsidRDefault="00D27C17">
            <w:pPr>
              <w:pStyle w:val="TableParagraph"/>
              <w:spacing w:before="18"/>
              <w:ind w:left="435"/>
              <w:rPr>
                <w:sz w:val="18"/>
              </w:rPr>
            </w:pPr>
            <w:r>
              <w:rPr>
                <w:sz w:val="18"/>
              </w:rPr>
              <w:t>(95)</w:t>
            </w:r>
          </w:p>
        </w:tc>
        <w:tc>
          <w:tcPr>
            <w:tcW w:w="975" w:type="dxa"/>
            <w:shd w:val="clear" w:color="auto" w:fill="CCEDFF"/>
          </w:tcPr>
          <w:p w14:paraId="7326C97A" w14:textId="77777777" w:rsidR="00EF3DFB" w:rsidRDefault="00D27C17">
            <w:pPr>
              <w:pStyle w:val="TableParagraph"/>
              <w:spacing w:before="18"/>
              <w:ind w:left="356"/>
              <w:rPr>
                <w:sz w:val="18"/>
              </w:rPr>
            </w:pPr>
            <w:r>
              <w:rPr>
                <w:sz w:val="18"/>
              </w:rPr>
              <w:t>(100)</w:t>
            </w:r>
          </w:p>
        </w:tc>
        <w:tc>
          <w:tcPr>
            <w:tcW w:w="975" w:type="dxa"/>
            <w:shd w:val="clear" w:color="auto" w:fill="CCEDFF"/>
          </w:tcPr>
          <w:p w14:paraId="7326C97B" w14:textId="77777777" w:rsidR="00EF3DFB" w:rsidRDefault="00D27C17">
            <w:pPr>
              <w:pStyle w:val="TableParagraph"/>
              <w:spacing w:before="18"/>
              <w:ind w:left="446"/>
              <w:rPr>
                <w:sz w:val="18"/>
              </w:rPr>
            </w:pPr>
            <w:r>
              <w:rPr>
                <w:sz w:val="18"/>
              </w:rPr>
              <w:t>(21)</w:t>
            </w:r>
          </w:p>
        </w:tc>
        <w:tc>
          <w:tcPr>
            <w:tcW w:w="975" w:type="dxa"/>
            <w:shd w:val="clear" w:color="auto" w:fill="CCEDFF"/>
          </w:tcPr>
          <w:p w14:paraId="7326C97C" w14:textId="77777777" w:rsidR="00EF3DFB" w:rsidRDefault="00D27C17">
            <w:pPr>
              <w:pStyle w:val="TableParagraph"/>
              <w:spacing w:before="18"/>
              <w:ind w:left="446"/>
              <w:rPr>
                <w:sz w:val="18"/>
              </w:rPr>
            </w:pPr>
            <w:r>
              <w:rPr>
                <w:sz w:val="18"/>
              </w:rPr>
              <w:t>(22)</w:t>
            </w:r>
          </w:p>
        </w:tc>
        <w:tc>
          <w:tcPr>
            <w:tcW w:w="975" w:type="dxa"/>
            <w:shd w:val="clear" w:color="auto" w:fill="CCEDFF"/>
          </w:tcPr>
          <w:p w14:paraId="7326C97D" w14:textId="77777777" w:rsidR="00EF3DFB" w:rsidRDefault="00D27C17">
            <w:pPr>
              <w:pStyle w:val="TableParagraph"/>
              <w:spacing w:before="18"/>
              <w:ind w:left="536"/>
              <w:rPr>
                <w:sz w:val="18"/>
              </w:rPr>
            </w:pPr>
            <w:r>
              <w:rPr>
                <w:sz w:val="18"/>
              </w:rPr>
              <w:t>(4)</w:t>
            </w:r>
          </w:p>
        </w:tc>
        <w:tc>
          <w:tcPr>
            <w:tcW w:w="911" w:type="dxa"/>
            <w:shd w:val="clear" w:color="auto" w:fill="CCEDFF"/>
          </w:tcPr>
          <w:p w14:paraId="7326C97E" w14:textId="77777777" w:rsidR="00EF3DFB" w:rsidRDefault="00D27C17">
            <w:pPr>
              <w:pStyle w:val="TableParagraph"/>
              <w:spacing w:before="18"/>
              <w:ind w:left="536"/>
              <w:rPr>
                <w:sz w:val="18"/>
              </w:rPr>
            </w:pPr>
            <w:r>
              <w:rPr>
                <w:sz w:val="18"/>
              </w:rPr>
              <w:t>(5)</w:t>
            </w:r>
          </w:p>
        </w:tc>
      </w:tr>
      <w:tr w:rsidR="00EF3DFB" w14:paraId="7326C987" w14:textId="77777777">
        <w:trPr>
          <w:trHeight w:val="255"/>
        </w:trPr>
        <w:tc>
          <w:tcPr>
            <w:tcW w:w="4845" w:type="dxa"/>
          </w:tcPr>
          <w:p w14:paraId="7326C980" w14:textId="77777777" w:rsidR="00EF3DFB" w:rsidRDefault="00D27C17">
            <w:pPr>
              <w:pStyle w:val="TableParagraph"/>
              <w:spacing w:before="9"/>
              <w:ind w:left="52"/>
              <w:rPr>
                <w:sz w:val="18"/>
              </w:rPr>
            </w:pPr>
            <w:r>
              <w:rPr>
                <w:sz w:val="18"/>
              </w:rPr>
              <w:t>Acquisitions and dispositions, net</w:t>
            </w:r>
          </w:p>
        </w:tc>
        <w:tc>
          <w:tcPr>
            <w:tcW w:w="964" w:type="dxa"/>
          </w:tcPr>
          <w:p w14:paraId="7326C981" w14:textId="77777777" w:rsidR="00EF3DFB" w:rsidRDefault="00D27C17">
            <w:pPr>
              <w:pStyle w:val="TableParagraph"/>
              <w:spacing w:before="18"/>
              <w:ind w:left="585"/>
              <w:rPr>
                <w:sz w:val="18"/>
              </w:rPr>
            </w:pPr>
            <w:r>
              <w:rPr>
                <w:sz w:val="18"/>
              </w:rPr>
              <w:t>2</w:t>
            </w:r>
          </w:p>
        </w:tc>
        <w:tc>
          <w:tcPr>
            <w:tcW w:w="975" w:type="dxa"/>
          </w:tcPr>
          <w:p w14:paraId="7326C982" w14:textId="77777777" w:rsidR="00EF3DFB" w:rsidRDefault="00D27C17">
            <w:pPr>
              <w:pStyle w:val="TableParagraph"/>
              <w:spacing w:before="18"/>
              <w:ind w:left="506"/>
              <w:rPr>
                <w:sz w:val="18"/>
              </w:rPr>
            </w:pPr>
            <w:r>
              <w:rPr>
                <w:sz w:val="18"/>
              </w:rPr>
              <w:t>—</w:t>
            </w:r>
          </w:p>
        </w:tc>
        <w:tc>
          <w:tcPr>
            <w:tcW w:w="975" w:type="dxa"/>
          </w:tcPr>
          <w:p w14:paraId="7326C983" w14:textId="77777777" w:rsidR="00EF3DFB" w:rsidRDefault="00D27C17">
            <w:pPr>
              <w:pStyle w:val="TableParagraph"/>
              <w:spacing w:before="18"/>
              <w:ind w:left="506"/>
              <w:rPr>
                <w:sz w:val="18"/>
              </w:rPr>
            </w:pPr>
            <w:r>
              <w:rPr>
                <w:sz w:val="18"/>
              </w:rPr>
              <w:t>—</w:t>
            </w:r>
          </w:p>
        </w:tc>
        <w:tc>
          <w:tcPr>
            <w:tcW w:w="975" w:type="dxa"/>
          </w:tcPr>
          <w:p w14:paraId="7326C984" w14:textId="77777777" w:rsidR="00EF3DFB" w:rsidRDefault="00D27C17">
            <w:pPr>
              <w:pStyle w:val="TableParagraph"/>
              <w:spacing w:before="18"/>
              <w:ind w:left="506"/>
              <w:rPr>
                <w:sz w:val="18"/>
              </w:rPr>
            </w:pPr>
            <w:r>
              <w:rPr>
                <w:sz w:val="18"/>
              </w:rPr>
              <w:t>—</w:t>
            </w:r>
          </w:p>
        </w:tc>
        <w:tc>
          <w:tcPr>
            <w:tcW w:w="975" w:type="dxa"/>
          </w:tcPr>
          <w:p w14:paraId="7326C985" w14:textId="77777777" w:rsidR="00EF3DFB" w:rsidRDefault="00D27C17">
            <w:pPr>
              <w:pStyle w:val="TableParagraph"/>
              <w:spacing w:before="18"/>
              <w:ind w:left="506"/>
              <w:rPr>
                <w:sz w:val="18"/>
              </w:rPr>
            </w:pPr>
            <w:r>
              <w:rPr>
                <w:sz w:val="18"/>
              </w:rPr>
              <w:t>—</w:t>
            </w:r>
          </w:p>
        </w:tc>
        <w:tc>
          <w:tcPr>
            <w:tcW w:w="911" w:type="dxa"/>
          </w:tcPr>
          <w:p w14:paraId="7326C986" w14:textId="77777777" w:rsidR="00EF3DFB" w:rsidRDefault="00D27C17">
            <w:pPr>
              <w:pStyle w:val="TableParagraph"/>
              <w:spacing w:before="18"/>
              <w:ind w:left="506"/>
              <w:rPr>
                <w:sz w:val="18"/>
              </w:rPr>
            </w:pPr>
            <w:r>
              <w:rPr>
                <w:sz w:val="18"/>
              </w:rPr>
              <w:t>—</w:t>
            </w:r>
          </w:p>
        </w:tc>
      </w:tr>
      <w:tr w:rsidR="00EF3DFB" w14:paraId="7326C98F" w14:textId="77777777">
        <w:trPr>
          <w:trHeight w:val="245"/>
        </w:trPr>
        <w:tc>
          <w:tcPr>
            <w:tcW w:w="4845" w:type="dxa"/>
            <w:shd w:val="clear" w:color="auto" w:fill="CCEDFF"/>
          </w:tcPr>
          <w:p w14:paraId="7326C988" w14:textId="77777777" w:rsidR="00EF3DFB" w:rsidRDefault="00D27C17">
            <w:pPr>
              <w:pStyle w:val="TableParagraph"/>
              <w:spacing w:before="9"/>
              <w:ind w:left="52"/>
              <w:rPr>
                <w:sz w:val="18"/>
              </w:rPr>
            </w:pPr>
            <w:r>
              <w:rPr>
                <w:sz w:val="18"/>
              </w:rPr>
              <w:t>Curtailments, settlements and other</w:t>
            </w:r>
          </w:p>
        </w:tc>
        <w:tc>
          <w:tcPr>
            <w:tcW w:w="964" w:type="dxa"/>
            <w:tcBorders>
              <w:bottom w:val="single" w:sz="8" w:space="0" w:color="000000"/>
            </w:tcBorders>
            <w:shd w:val="clear" w:color="auto" w:fill="CCEDFF"/>
          </w:tcPr>
          <w:p w14:paraId="7326C989" w14:textId="77777777" w:rsidR="00EF3DFB" w:rsidRDefault="00D27C17">
            <w:pPr>
              <w:pStyle w:val="TableParagraph"/>
              <w:spacing w:before="18"/>
              <w:ind w:left="345"/>
              <w:rPr>
                <w:sz w:val="18"/>
              </w:rPr>
            </w:pPr>
            <w:r>
              <w:rPr>
                <w:sz w:val="18"/>
              </w:rPr>
              <w:t>(167)</w:t>
            </w:r>
          </w:p>
        </w:tc>
        <w:tc>
          <w:tcPr>
            <w:tcW w:w="975" w:type="dxa"/>
            <w:tcBorders>
              <w:bottom w:val="single" w:sz="8" w:space="0" w:color="000000"/>
            </w:tcBorders>
            <w:shd w:val="clear" w:color="auto" w:fill="CCEDFF"/>
          </w:tcPr>
          <w:p w14:paraId="7326C98A" w14:textId="77777777" w:rsidR="00EF3DFB" w:rsidRDefault="00D27C17">
            <w:pPr>
              <w:pStyle w:val="TableParagraph"/>
              <w:spacing w:before="18"/>
              <w:ind w:left="506"/>
              <w:rPr>
                <w:sz w:val="18"/>
              </w:rPr>
            </w:pPr>
            <w:r>
              <w:rPr>
                <w:sz w:val="18"/>
              </w:rPr>
              <w:t>—</w:t>
            </w:r>
          </w:p>
        </w:tc>
        <w:tc>
          <w:tcPr>
            <w:tcW w:w="975" w:type="dxa"/>
            <w:tcBorders>
              <w:bottom w:val="single" w:sz="8" w:space="0" w:color="000000"/>
            </w:tcBorders>
            <w:shd w:val="clear" w:color="auto" w:fill="CCEDFF"/>
          </w:tcPr>
          <w:p w14:paraId="7326C98B" w14:textId="77777777" w:rsidR="00EF3DFB" w:rsidRDefault="00D27C17">
            <w:pPr>
              <w:pStyle w:val="TableParagraph"/>
              <w:spacing w:before="18"/>
              <w:ind w:left="536"/>
              <w:rPr>
                <w:sz w:val="18"/>
              </w:rPr>
            </w:pPr>
            <w:r>
              <w:rPr>
                <w:sz w:val="18"/>
              </w:rPr>
              <w:t>(9)</w:t>
            </w:r>
          </w:p>
        </w:tc>
        <w:tc>
          <w:tcPr>
            <w:tcW w:w="975" w:type="dxa"/>
            <w:tcBorders>
              <w:bottom w:val="single" w:sz="8" w:space="0" w:color="000000"/>
            </w:tcBorders>
            <w:shd w:val="clear" w:color="auto" w:fill="CCEDFF"/>
          </w:tcPr>
          <w:p w14:paraId="7326C98C" w14:textId="77777777" w:rsidR="00EF3DFB" w:rsidRDefault="00D27C17">
            <w:pPr>
              <w:pStyle w:val="TableParagraph"/>
              <w:spacing w:before="18"/>
              <w:ind w:left="446"/>
              <w:rPr>
                <w:sz w:val="18"/>
              </w:rPr>
            </w:pPr>
            <w:r>
              <w:rPr>
                <w:sz w:val="18"/>
              </w:rPr>
              <w:t>(13)</w:t>
            </w:r>
          </w:p>
        </w:tc>
        <w:tc>
          <w:tcPr>
            <w:tcW w:w="975" w:type="dxa"/>
            <w:tcBorders>
              <w:bottom w:val="single" w:sz="8" w:space="0" w:color="000000"/>
            </w:tcBorders>
            <w:shd w:val="clear" w:color="auto" w:fill="CCEDFF"/>
          </w:tcPr>
          <w:p w14:paraId="7326C98D" w14:textId="77777777" w:rsidR="00EF3DFB" w:rsidRDefault="00D27C17">
            <w:pPr>
              <w:pStyle w:val="TableParagraph"/>
              <w:spacing w:before="18"/>
              <w:ind w:left="506"/>
              <w:rPr>
                <w:sz w:val="18"/>
              </w:rPr>
            </w:pPr>
            <w:r>
              <w:rPr>
                <w:sz w:val="18"/>
              </w:rPr>
              <w:t>—</w:t>
            </w:r>
          </w:p>
        </w:tc>
        <w:tc>
          <w:tcPr>
            <w:tcW w:w="911" w:type="dxa"/>
            <w:tcBorders>
              <w:bottom w:val="single" w:sz="8" w:space="0" w:color="000000"/>
            </w:tcBorders>
            <w:shd w:val="clear" w:color="auto" w:fill="CCEDFF"/>
          </w:tcPr>
          <w:p w14:paraId="7326C98E" w14:textId="77777777" w:rsidR="00EF3DFB" w:rsidRDefault="00D27C17">
            <w:pPr>
              <w:pStyle w:val="TableParagraph"/>
              <w:spacing w:before="18"/>
              <w:ind w:left="506"/>
              <w:rPr>
                <w:sz w:val="18"/>
              </w:rPr>
            </w:pPr>
            <w:r>
              <w:rPr>
                <w:sz w:val="18"/>
              </w:rPr>
              <w:t>—</w:t>
            </w:r>
          </w:p>
        </w:tc>
      </w:tr>
      <w:tr w:rsidR="00EF3DFB" w14:paraId="7326C997" w14:textId="77777777">
        <w:trPr>
          <w:trHeight w:val="235"/>
        </w:trPr>
        <w:tc>
          <w:tcPr>
            <w:tcW w:w="4845" w:type="dxa"/>
          </w:tcPr>
          <w:p w14:paraId="7326C990" w14:textId="77777777" w:rsidR="00EF3DFB" w:rsidRDefault="00D27C17">
            <w:pPr>
              <w:pStyle w:val="TableParagraph"/>
              <w:spacing w:line="206" w:lineRule="exact"/>
              <w:ind w:left="52"/>
              <w:rPr>
                <w:sz w:val="18"/>
              </w:rPr>
            </w:pPr>
            <w:r>
              <w:rPr>
                <w:sz w:val="18"/>
              </w:rPr>
              <w:t>Benefit obligation at end of year (1)</w:t>
            </w:r>
          </w:p>
        </w:tc>
        <w:tc>
          <w:tcPr>
            <w:tcW w:w="964" w:type="dxa"/>
            <w:tcBorders>
              <w:top w:val="single" w:sz="8" w:space="0" w:color="000000"/>
              <w:bottom w:val="single" w:sz="8" w:space="0" w:color="000000"/>
            </w:tcBorders>
          </w:tcPr>
          <w:p w14:paraId="7326C991" w14:textId="77777777" w:rsidR="00EF3DFB" w:rsidRDefault="00D27C17">
            <w:pPr>
              <w:pStyle w:val="TableParagraph"/>
              <w:spacing w:before="8"/>
              <w:ind w:left="52"/>
              <w:rPr>
                <w:sz w:val="18"/>
              </w:rPr>
            </w:pPr>
            <w:r>
              <w:rPr>
                <w:sz w:val="18"/>
              </w:rPr>
              <w:t>$ 1,357</w:t>
            </w:r>
          </w:p>
        </w:tc>
        <w:tc>
          <w:tcPr>
            <w:tcW w:w="975" w:type="dxa"/>
            <w:tcBorders>
              <w:top w:val="single" w:sz="8" w:space="0" w:color="000000"/>
              <w:bottom w:val="single" w:sz="8" w:space="0" w:color="000000"/>
            </w:tcBorders>
          </w:tcPr>
          <w:p w14:paraId="7326C992" w14:textId="77777777" w:rsidR="00EF3DFB" w:rsidRDefault="00D27C17">
            <w:pPr>
              <w:pStyle w:val="TableParagraph"/>
              <w:spacing w:before="8"/>
              <w:ind w:left="63"/>
              <w:rPr>
                <w:sz w:val="18"/>
              </w:rPr>
            </w:pPr>
            <w:r>
              <w:rPr>
                <w:sz w:val="18"/>
              </w:rPr>
              <w:t>$ 1,449</w:t>
            </w:r>
          </w:p>
        </w:tc>
        <w:tc>
          <w:tcPr>
            <w:tcW w:w="975" w:type="dxa"/>
            <w:tcBorders>
              <w:top w:val="single" w:sz="8" w:space="0" w:color="000000"/>
              <w:bottom w:val="single" w:sz="8" w:space="0" w:color="000000"/>
            </w:tcBorders>
          </w:tcPr>
          <w:p w14:paraId="7326C993" w14:textId="77777777" w:rsidR="00EF3DFB" w:rsidRDefault="00D27C17">
            <w:pPr>
              <w:pStyle w:val="TableParagraph"/>
              <w:tabs>
                <w:tab w:val="left" w:pos="416"/>
              </w:tabs>
              <w:spacing w:before="8"/>
              <w:ind w:left="63"/>
              <w:rPr>
                <w:sz w:val="18"/>
              </w:rPr>
            </w:pPr>
            <w:r>
              <w:rPr>
                <w:sz w:val="18"/>
              </w:rPr>
              <w:t>$</w:t>
            </w:r>
            <w:r>
              <w:rPr>
                <w:sz w:val="18"/>
              </w:rPr>
              <w:tab/>
              <w:t>668</w:t>
            </w:r>
          </w:p>
        </w:tc>
        <w:tc>
          <w:tcPr>
            <w:tcW w:w="975" w:type="dxa"/>
            <w:tcBorders>
              <w:top w:val="single" w:sz="8" w:space="0" w:color="000000"/>
              <w:bottom w:val="single" w:sz="8" w:space="0" w:color="000000"/>
            </w:tcBorders>
          </w:tcPr>
          <w:p w14:paraId="7326C994" w14:textId="77777777" w:rsidR="00EF3DFB" w:rsidRDefault="00D27C17">
            <w:pPr>
              <w:pStyle w:val="TableParagraph"/>
              <w:tabs>
                <w:tab w:val="left" w:pos="416"/>
              </w:tabs>
              <w:spacing w:before="8"/>
              <w:ind w:left="63"/>
              <w:rPr>
                <w:sz w:val="18"/>
              </w:rPr>
            </w:pPr>
            <w:r>
              <w:rPr>
                <w:sz w:val="18"/>
              </w:rPr>
              <w:t>$</w:t>
            </w:r>
            <w:r>
              <w:rPr>
                <w:sz w:val="18"/>
              </w:rPr>
              <w:tab/>
              <w:t>626</w:t>
            </w:r>
          </w:p>
        </w:tc>
        <w:tc>
          <w:tcPr>
            <w:tcW w:w="975" w:type="dxa"/>
            <w:tcBorders>
              <w:top w:val="single" w:sz="8" w:space="0" w:color="000000"/>
              <w:bottom w:val="single" w:sz="8" w:space="0" w:color="000000"/>
            </w:tcBorders>
          </w:tcPr>
          <w:p w14:paraId="7326C995" w14:textId="77777777" w:rsidR="00EF3DFB" w:rsidRDefault="00D27C17">
            <w:pPr>
              <w:pStyle w:val="TableParagraph"/>
              <w:tabs>
                <w:tab w:val="left" w:pos="506"/>
              </w:tabs>
              <w:spacing w:before="8"/>
              <w:ind w:left="63"/>
              <w:rPr>
                <w:sz w:val="18"/>
              </w:rPr>
            </w:pPr>
            <w:r>
              <w:rPr>
                <w:sz w:val="18"/>
              </w:rPr>
              <w:t>$</w:t>
            </w:r>
            <w:r>
              <w:rPr>
                <w:sz w:val="18"/>
              </w:rPr>
              <w:tab/>
              <w:t>51</w:t>
            </w:r>
          </w:p>
        </w:tc>
        <w:tc>
          <w:tcPr>
            <w:tcW w:w="911" w:type="dxa"/>
            <w:tcBorders>
              <w:top w:val="single" w:sz="8" w:space="0" w:color="000000"/>
              <w:bottom w:val="single" w:sz="8" w:space="0" w:color="000000"/>
            </w:tcBorders>
          </w:tcPr>
          <w:p w14:paraId="7326C996" w14:textId="77777777" w:rsidR="00EF3DFB" w:rsidRDefault="00D27C17">
            <w:pPr>
              <w:pStyle w:val="TableParagraph"/>
              <w:tabs>
                <w:tab w:val="left" w:pos="506"/>
              </w:tabs>
              <w:spacing w:before="8"/>
              <w:ind w:left="63"/>
              <w:rPr>
                <w:sz w:val="18"/>
              </w:rPr>
            </w:pPr>
            <w:r>
              <w:rPr>
                <w:sz w:val="18"/>
              </w:rPr>
              <w:t>$</w:t>
            </w:r>
            <w:r>
              <w:rPr>
                <w:sz w:val="18"/>
              </w:rPr>
              <w:tab/>
              <w:t>52</w:t>
            </w:r>
          </w:p>
        </w:tc>
      </w:tr>
      <w:tr w:rsidR="00EF3DFB" w14:paraId="7326C99F" w14:textId="77777777">
        <w:trPr>
          <w:trHeight w:val="245"/>
        </w:trPr>
        <w:tc>
          <w:tcPr>
            <w:tcW w:w="4845" w:type="dxa"/>
            <w:shd w:val="clear" w:color="auto" w:fill="CCEDFF"/>
          </w:tcPr>
          <w:p w14:paraId="7326C998" w14:textId="77777777" w:rsidR="00EF3DFB" w:rsidRDefault="00D27C17">
            <w:pPr>
              <w:pStyle w:val="TableParagraph"/>
              <w:spacing w:line="203" w:lineRule="exact"/>
              <w:ind w:left="52"/>
              <w:rPr>
                <w:b/>
                <w:sz w:val="18"/>
              </w:rPr>
            </w:pPr>
            <w:r>
              <w:rPr>
                <w:b/>
                <w:sz w:val="18"/>
              </w:rPr>
              <w:t>Change in plan assets:</w:t>
            </w:r>
          </w:p>
        </w:tc>
        <w:tc>
          <w:tcPr>
            <w:tcW w:w="964" w:type="dxa"/>
            <w:tcBorders>
              <w:top w:val="single" w:sz="8" w:space="0" w:color="000000"/>
            </w:tcBorders>
            <w:shd w:val="clear" w:color="auto" w:fill="CCEDFF"/>
          </w:tcPr>
          <w:p w14:paraId="7326C999" w14:textId="77777777" w:rsidR="00EF3DFB" w:rsidRDefault="00EF3DFB">
            <w:pPr>
              <w:pStyle w:val="TableParagraph"/>
              <w:rPr>
                <w:sz w:val="16"/>
              </w:rPr>
            </w:pPr>
          </w:p>
        </w:tc>
        <w:tc>
          <w:tcPr>
            <w:tcW w:w="975" w:type="dxa"/>
            <w:tcBorders>
              <w:top w:val="single" w:sz="8" w:space="0" w:color="000000"/>
            </w:tcBorders>
            <w:shd w:val="clear" w:color="auto" w:fill="CCEDFF"/>
          </w:tcPr>
          <w:p w14:paraId="7326C99A" w14:textId="77777777" w:rsidR="00EF3DFB" w:rsidRDefault="00EF3DFB">
            <w:pPr>
              <w:pStyle w:val="TableParagraph"/>
              <w:rPr>
                <w:sz w:val="16"/>
              </w:rPr>
            </w:pPr>
          </w:p>
        </w:tc>
        <w:tc>
          <w:tcPr>
            <w:tcW w:w="975" w:type="dxa"/>
            <w:tcBorders>
              <w:top w:val="single" w:sz="8" w:space="0" w:color="000000"/>
            </w:tcBorders>
            <w:shd w:val="clear" w:color="auto" w:fill="CCEDFF"/>
          </w:tcPr>
          <w:p w14:paraId="7326C99B" w14:textId="77777777" w:rsidR="00EF3DFB" w:rsidRDefault="00EF3DFB">
            <w:pPr>
              <w:pStyle w:val="TableParagraph"/>
              <w:rPr>
                <w:sz w:val="16"/>
              </w:rPr>
            </w:pPr>
          </w:p>
        </w:tc>
        <w:tc>
          <w:tcPr>
            <w:tcW w:w="975" w:type="dxa"/>
            <w:tcBorders>
              <w:top w:val="single" w:sz="8" w:space="0" w:color="000000"/>
            </w:tcBorders>
            <w:shd w:val="clear" w:color="auto" w:fill="CCEDFF"/>
          </w:tcPr>
          <w:p w14:paraId="7326C99C" w14:textId="77777777" w:rsidR="00EF3DFB" w:rsidRDefault="00EF3DFB">
            <w:pPr>
              <w:pStyle w:val="TableParagraph"/>
              <w:rPr>
                <w:sz w:val="16"/>
              </w:rPr>
            </w:pPr>
          </w:p>
        </w:tc>
        <w:tc>
          <w:tcPr>
            <w:tcW w:w="975" w:type="dxa"/>
            <w:tcBorders>
              <w:top w:val="single" w:sz="8" w:space="0" w:color="000000"/>
            </w:tcBorders>
            <w:shd w:val="clear" w:color="auto" w:fill="CCEDFF"/>
          </w:tcPr>
          <w:p w14:paraId="7326C99D" w14:textId="77777777" w:rsidR="00EF3DFB" w:rsidRDefault="00EF3DFB">
            <w:pPr>
              <w:pStyle w:val="TableParagraph"/>
              <w:rPr>
                <w:sz w:val="16"/>
              </w:rPr>
            </w:pPr>
          </w:p>
        </w:tc>
        <w:tc>
          <w:tcPr>
            <w:tcW w:w="911" w:type="dxa"/>
            <w:tcBorders>
              <w:top w:val="single" w:sz="8" w:space="0" w:color="000000"/>
            </w:tcBorders>
            <w:shd w:val="clear" w:color="auto" w:fill="CCEDFF"/>
          </w:tcPr>
          <w:p w14:paraId="7326C99E" w14:textId="77777777" w:rsidR="00EF3DFB" w:rsidRDefault="00EF3DFB">
            <w:pPr>
              <w:pStyle w:val="TableParagraph"/>
              <w:rPr>
                <w:sz w:val="16"/>
              </w:rPr>
            </w:pPr>
          </w:p>
        </w:tc>
      </w:tr>
      <w:tr w:rsidR="00EF3DFB" w14:paraId="7326C9A7" w14:textId="77777777">
        <w:trPr>
          <w:trHeight w:val="255"/>
        </w:trPr>
        <w:tc>
          <w:tcPr>
            <w:tcW w:w="4845" w:type="dxa"/>
          </w:tcPr>
          <w:p w14:paraId="7326C9A0" w14:textId="77777777" w:rsidR="00EF3DFB" w:rsidRDefault="00D27C17">
            <w:pPr>
              <w:pStyle w:val="TableParagraph"/>
              <w:spacing w:before="9"/>
              <w:ind w:left="52"/>
              <w:rPr>
                <w:sz w:val="18"/>
              </w:rPr>
            </w:pPr>
            <w:r>
              <w:rPr>
                <w:sz w:val="18"/>
              </w:rPr>
              <w:t>Fair value of plan assets at beginning of year</w:t>
            </w:r>
          </w:p>
        </w:tc>
        <w:tc>
          <w:tcPr>
            <w:tcW w:w="964" w:type="dxa"/>
          </w:tcPr>
          <w:p w14:paraId="7326C9A1" w14:textId="77777777" w:rsidR="00EF3DFB" w:rsidRDefault="00D27C17">
            <w:pPr>
              <w:pStyle w:val="TableParagraph"/>
              <w:spacing w:before="18"/>
              <w:ind w:left="270"/>
              <w:rPr>
                <w:sz w:val="18"/>
              </w:rPr>
            </w:pPr>
            <w:r>
              <w:rPr>
                <w:sz w:val="18"/>
              </w:rPr>
              <w:t>1,228</w:t>
            </w:r>
          </w:p>
        </w:tc>
        <w:tc>
          <w:tcPr>
            <w:tcW w:w="975" w:type="dxa"/>
          </w:tcPr>
          <w:p w14:paraId="7326C9A2" w14:textId="77777777" w:rsidR="00EF3DFB" w:rsidRDefault="00D27C17">
            <w:pPr>
              <w:pStyle w:val="TableParagraph"/>
              <w:spacing w:before="18"/>
              <w:ind w:left="281"/>
              <w:rPr>
                <w:sz w:val="18"/>
              </w:rPr>
            </w:pPr>
            <w:r>
              <w:rPr>
                <w:sz w:val="18"/>
              </w:rPr>
              <w:t>1,105</w:t>
            </w:r>
          </w:p>
        </w:tc>
        <w:tc>
          <w:tcPr>
            <w:tcW w:w="975" w:type="dxa"/>
          </w:tcPr>
          <w:p w14:paraId="7326C9A3" w14:textId="77777777" w:rsidR="00EF3DFB" w:rsidRDefault="00D27C17">
            <w:pPr>
              <w:pStyle w:val="TableParagraph"/>
              <w:spacing w:before="18"/>
              <w:ind w:left="416"/>
              <w:rPr>
                <w:sz w:val="18"/>
              </w:rPr>
            </w:pPr>
            <w:r>
              <w:rPr>
                <w:sz w:val="18"/>
              </w:rPr>
              <w:t>580</w:t>
            </w:r>
          </w:p>
        </w:tc>
        <w:tc>
          <w:tcPr>
            <w:tcW w:w="975" w:type="dxa"/>
          </w:tcPr>
          <w:p w14:paraId="7326C9A4" w14:textId="77777777" w:rsidR="00EF3DFB" w:rsidRDefault="00D27C17">
            <w:pPr>
              <w:pStyle w:val="TableParagraph"/>
              <w:spacing w:before="18"/>
              <w:ind w:left="416"/>
              <w:rPr>
                <w:sz w:val="18"/>
              </w:rPr>
            </w:pPr>
            <w:r>
              <w:rPr>
                <w:sz w:val="18"/>
              </w:rPr>
              <w:t>532</w:t>
            </w:r>
          </w:p>
        </w:tc>
        <w:tc>
          <w:tcPr>
            <w:tcW w:w="975" w:type="dxa"/>
          </w:tcPr>
          <w:p w14:paraId="7326C9A5" w14:textId="77777777" w:rsidR="00EF3DFB" w:rsidRDefault="00D27C17">
            <w:pPr>
              <w:pStyle w:val="TableParagraph"/>
              <w:spacing w:before="18"/>
              <w:ind w:left="506"/>
              <w:rPr>
                <w:sz w:val="18"/>
              </w:rPr>
            </w:pPr>
            <w:r>
              <w:rPr>
                <w:sz w:val="18"/>
              </w:rPr>
              <w:t>—</w:t>
            </w:r>
          </w:p>
        </w:tc>
        <w:tc>
          <w:tcPr>
            <w:tcW w:w="911" w:type="dxa"/>
          </w:tcPr>
          <w:p w14:paraId="7326C9A6" w14:textId="77777777" w:rsidR="00EF3DFB" w:rsidRDefault="00D27C17">
            <w:pPr>
              <w:pStyle w:val="TableParagraph"/>
              <w:spacing w:before="18"/>
              <w:ind w:left="506"/>
              <w:rPr>
                <w:sz w:val="18"/>
              </w:rPr>
            </w:pPr>
            <w:r>
              <w:rPr>
                <w:sz w:val="18"/>
              </w:rPr>
              <w:t>—</w:t>
            </w:r>
          </w:p>
        </w:tc>
      </w:tr>
      <w:tr w:rsidR="00EF3DFB" w14:paraId="7326C9AF" w14:textId="77777777">
        <w:trPr>
          <w:trHeight w:val="255"/>
        </w:trPr>
        <w:tc>
          <w:tcPr>
            <w:tcW w:w="4845" w:type="dxa"/>
            <w:shd w:val="clear" w:color="auto" w:fill="CCEDFF"/>
          </w:tcPr>
          <w:p w14:paraId="7326C9A8" w14:textId="77777777" w:rsidR="00EF3DFB" w:rsidRDefault="00D27C17">
            <w:pPr>
              <w:pStyle w:val="TableParagraph"/>
              <w:spacing w:before="9"/>
              <w:ind w:left="52"/>
              <w:rPr>
                <w:sz w:val="18"/>
              </w:rPr>
            </w:pPr>
            <w:r>
              <w:rPr>
                <w:sz w:val="18"/>
              </w:rPr>
              <w:t>Actual return on plan assets</w:t>
            </w:r>
          </w:p>
        </w:tc>
        <w:tc>
          <w:tcPr>
            <w:tcW w:w="964" w:type="dxa"/>
            <w:shd w:val="clear" w:color="auto" w:fill="CCEDFF"/>
          </w:tcPr>
          <w:p w14:paraId="7326C9A9" w14:textId="77777777" w:rsidR="00EF3DFB" w:rsidRDefault="00D27C17">
            <w:pPr>
              <w:pStyle w:val="TableParagraph"/>
              <w:spacing w:before="18"/>
              <w:ind w:left="405"/>
              <w:rPr>
                <w:sz w:val="18"/>
              </w:rPr>
            </w:pPr>
            <w:r>
              <w:rPr>
                <w:sz w:val="18"/>
              </w:rPr>
              <w:t>178</w:t>
            </w:r>
          </w:p>
        </w:tc>
        <w:tc>
          <w:tcPr>
            <w:tcW w:w="975" w:type="dxa"/>
            <w:shd w:val="clear" w:color="auto" w:fill="CCEDFF"/>
          </w:tcPr>
          <w:p w14:paraId="7326C9AA" w14:textId="77777777" w:rsidR="00EF3DFB" w:rsidRDefault="00D27C17">
            <w:pPr>
              <w:pStyle w:val="TableParagraph"/>
              <w:spacing w:before="18"/>
              <w:ind w:left="416"/>
              <w:rPr>
                <w:sz w:val="18"/>
              </w:rPr>
            </w:pPr>
            <w:r>
              <w:rPr>
                <w:sz w:val="18"/>
              </w:rPr>
              <w:t>213</w:t>
            </w:r>
          </w:p>
        </w:tc>
        <w:tc>
          <w:tcPr>
            <w:tcW w:w="975" w:type="dxa"/>
            <w:shd w:val="clear" w:color="auto" w:fill="CCEDFF"/>
          </w:tcPr>
          <w:p w14:paraId="7326C9AB" w14:textId="77777777" w:rsidR="00EF3DFB" w:rsidRDefault="00D27C17">
            <w:pPr>
              <w:pStyle w:val="TableParagraph"/>
              <w:spacing w:before="18"/>
              <w:ind w:left="506"/>
              <w:rPr>
                <w:sz w:val="18"/>
              </w:rPr>
            </w:pPr>
            <w:r>
              <w:rPr>
                <w:sz w:val="18"/>
              </w:rPr>
              <w:t>47</w:t>
            </w:r>
          </w:p>
        </w:tc>
        <w:tc>
          <w:tcPr>
            <w:tcW w:w="975" w:type="dxa"/>
            <w:shd w:val="clear" w:color="auto" w:fill="CCEDFF"/>
          </w:tcPr>
          <w:p w14:paraId="7326C9AC" w14:textId="77777777" w:rsidR="00EF3DFB" w:rsidRDefault="00D27C17">
            <w:pPr>
              <w:pStyle w:val="TableParagraph"/>
              <w:spacing w:before="18"/>
              <w:ind w:left="506"/>
              <w:rPr>
                <w:sz w:val="18"/>
              </w:rPr>
            </w:pPr>
            <w:r>
              <w:rPr>
                <w:sz w:val="18"/>
              </w:rPr>
              <w:t>51</w:t>
            </w:r>
          </w:p>
        </w:tc>
        <w:tc>
          <w:tcPr>
            <w:tcW w:w="975" w:type="dxa"/>
            <w:shd w:val="clear" w:color="auto" w:fill="CCEDFF"/>
          </w:tcPr>
          <w:p w14:paraId="7326C9AD" w14:textId="77777777" w:rsidR="00EF3DFB" w:rsidRDefault="00D27C17">
            <w:pPr>
              <w:pStyle w:val="TableParagraph"/>
              <w:spacing w:before="13"/>
              <w:ind w:left="506"/>
              <w:rPr>
                <w:sz w:val="18"/>
              </w:rPr>
            </w:pPr>
            <w:r>
              <w:rPr>
                <w:sz w:val="18"/>
              </w:rPr>
              <w:t>—</w:t>
            </w:r>
          </w:p>
        </w:tc>
        <w:tc>
          <w:tcPr>
            <w:tcW w:w="911" w:type="dxa"/>
            <w:shd w:val="clear" w:color="auto" w:fill="CCEDFF"/>
          </w:tcPr>
          <w:p w14:paraId="7326C9AE" w14:textId="77777777" w:rsidR="00EF3DFB" w:rsidRDefault="00D27C17">
            <w:pPr>
              <w:pStyle w:val="TableParagraph"/>
              <w:spacing w:before="18"/>
              <w:ind w:left="506"/>
              <w:rPr>
                <w:sz w:val="18"/>
              </w:rPr>
            </w:pPr>
            <w:r>
              <w:rPr>
                <w:sz w:val="18"/>
              </w:rPr>
              <w:t>—</w:t>
            </w:r>
          </w:p>
        </w:tc>
      </w:tr>
      <w:tr w:rsidR="00EF3DFB" w14:paraId="7326C9B7" w14:textId="77777777">
        <w:trPr>
          <w:trHeight w:val="255"/>
        </w:trPr>
        <w:tc>
          <w:tcPr>
            <w:tcW w:w="4845" w:type="dxa"/>
          </w:tcPr>
          <w:p w14:paraId="7326C9B0" w14:textId="77777777" w:rsidR="00EF3DFB" w:rsidRDefault="00D27C17">
            <w:pPr>
              <w:pStyle w:val="TableParagraph"/>
              <w:spacing w:before="9"/>
              <w:ind w:left="52"/>
              <w:rPr>
                <w:sz w:val="18"/>
              </w:rPr>
            </w:pPr>
            <w:r>
              <w:rPr>
                <w:sz w:val="18"/>
              </w:rPr>
              <w:t>Contributions</w:t>
            </w:r>
          </w:p>
        </w:tc>
        <w:tc>
          <w:tcPr>
            <w:tcW w:w="964" w:type="dxa"/>
          </w:tcPr>
          <w:p w14:paraId="7326C9B1" w14:textId="77777777" w:rsidR="00EF3DFB" w:rsidRDefault="00D27C17">
            <w:pPr>
              <w:pStyle w:val="TableParagraph"/>
              <w:spacing w:before="18"/>
              <w:ind w:left="495"/>
              <w:rPr>
                <w:sz w:val="18"/>
              </w:rPr>
            </w:pPr>
            <w:r>
              <w:rPr>
                <w:sz w:val="18"/>
              </w:rPr>
              <w:t>17</w:t>
            </w:r>
          </w:p>
        </w:tc>
        <w:tc>
          <w:tcPr>
            <w:tcW w:w="975" w:type="dxa"/>
          </w:tcPr>
          <w:p w14:paraId="7326C9B2" w14:textId="77777777" w:rsidR="00EF3DFB" w:rsidRDefault="00D27C17">
            <w:pPr>
              <w:pStyle w:val="TableParagraph"/>
              <w:spacing w:before="18"/>
              <w:ind w:left="506"/>
              <w:rPr>
                <w:sz w:val="18"/>
              </w:rPr>
            </w:pPr>
            <w:r>
              <w:rPr>
                <w:sz w:val="18"/>
              </w:rPr>
              <w:t>10</w:t>
            </w:r>
          </w:p>
        </w:tc>
        <w:tc>
          <w:tcPr>
            <w:tcW w:w="975" w:type="dxa"/>
          </w:tcPr>
          <w:p w14:paraId="7326C9B3" w14:textId="77777777" w:rsidR="00EF3DFB" w:rsidRDefault="00D27C17">
            <w:pPr>
              <w:pStyle w:val="TableParagraph"/>
              <w:spacing w:before="18"/>
              <w:ind w:left="596"/>
              <w:rPr>
                <w:sz w:val="18"/>
              </w:rPr>
            </w:pPr>
            <w:r>
              <w:rPr>
                <w:sz w:val="18"/>
              </w:rPr>
              <w:t>8</w:t>
            </w:r>
          </w:p>
        </w:tc>
        <w:tc>
          <w:tcPr>
            <w:tcW w:w="975" w:type="dxa"/>
          </w:tcPr>
          <w:p w14:paraId="7326C9B4" w14:textId="77777777" w:rsidR="00EF3DFB" w:rsidRDefault="00D27C17">
            <w:pPr>
              <w:pStyle w:val="TableParagraph"/>
              <w:spacing w:before="18"/>
              <w:ind w:left="506"/>
              <w:rPr>
                <w:sz w:val="18"/>
              </w:rPr>
            </w:pPr>
            <w:r>
              <w:rPr>
                <w:sz w:val="18"/>
              </w:rPr>
              <w:t>13</w:t>
            </w:r>
          </w:p>
        </w:tc>
        <w:tc>
          <w:tcPr>
            <w:tcW w:w="975" w:type="dxa"/>
          </w:tcPr>
          <w:p w14:paraId="7326C9B5" w14:textId="77777777" w:rsidR="00EF3DFB" w:rsidRDefault="00D27C17">
            <w:pPr>
              <w:pStyle w:val="TableParagraph"/>
              <w:spacing w:before="13"/>
              <w:ind w:left="596"/>
              <w:rPr>
                <w:sz w:val="18"/>
              </w:rPr>
            </w:pPr>
            <w:r>
              <w:rPr>
                <w:sz w:val="18"/>
              </w:rPr>
              <w:t>4</w:t>
            </w:r>
          </w:p>
        </w:tc>
        <w:tc>
          <w:tcPr>
            <w:tcW w:w="911" w:type="dxa"/>
          </w:tcPr>
          <w:p w14:paraId="7326C9B6" w14:textId="77777777" w:rsidR="00EF3DFB" w:rsidRDefault="00D27C17">
            <w:pPr>
              <w:pStyle w:val="TableParagraph"/>
              <w:spacing w:before="18"/>
              <w:ind w:left="506"/>
              <w:rPr>
                <w:sz w:val="18"/>
              </w:rPr>
            </w:pPr>
            <w:r>
              <w:rPr>
                <w:sz w:val="18"/>
              </w:rPr>
              <w:t>—</w:t>
            </w:r>
          </w:p>
        </w:tc>
      </w:tr>
      <w:tr w:rsidR="00EF3DFB" w14:paraId="7326C9BF" w14:textId="77777777">
        <w:trPr>
          <w:trHeight w:val="255"/>
        </w:trPr>
        <w:tc>
          <w:tcPr>
            <w:tcW w:w="4845" w:type="dxa"/>
            <w:shd w:val="clear" w:color="auto" w:fill="CCEDFF"/>
          </w:tcPr>
          <w:p w14:paraId="7326C9B8" w14:textId="77777777" w:rsidR="00EF3DFB" w:rsidRDefault="00D27C17">
            <w:pPr>
              <w:pStyle w:val="TableParagraph"/>
              <w:spacing w:before="9"/>
              <w:ind w:left="52"/>
              <w:rPr>
                <w:sz w:val="18"/>
              </w:rPr>
            </w:pPr>
            <w:r>
              <w:rPr>
                <w:sz w:val="18"/>
              </w:rPr>
              <w:t>Currency translation</w:t>
            </w:r>
          </w:p>
        </w:tc>
        <w:tc>
          <w:tcPr>
            <w:tcW w:w="964" w:type="dxa"/>
            <w:shd w:val="clear" w:color="auto" w:fill="CCEDFF"/>
          </w:tcPr>
          <w:p w14:paraId="7326C9B9" w14:textId="77777777" w:rsidR="00EF3DFB" w:rsidRDefault="00D27C17">
            <w:pPr>
              <w:pStyle w:val="TableParagraph"/>
              <w:spacing w:before="18"/>
              <w:ind w:left="495"/>
              <w:rPr>
                <w:sz w:val="18"/>
              </w:rPr>
            </w:pPr>
            <w:r>
              <w:rPr>
                <w:sz w:val="18"/>
              </w:rPr>
              <w:t>—</w:t>
            </w:r>
          </w:p>
        </w:tc>
        <w:tc>
          <w:tcPr>
            <w:tcW w:w="975" w:type="dxa"/>
            <w:shd w:val="clear" w:color="auto" w:fill="CCEDFF"/>
          </w:tcPr>
          <w:p w14:paraId="7326C9BA" w14:textId="77777777" w:rsidR="00EF3DFB" w:rsidRDefault="00D27C17">
            <w:pPr>
              <w:pStyle w:val="TableParagraph"/>
              <w:spacing w:before="18"/>
              <w:ind w:left="506"/>
              <w:rPr>
                <w:sz w:val="18"/>
              </w:rPr>
            </w:pPr>
            <w:r>
              <w:rPr>
                <w:sz w:val="18"/>
              </w:rPr>
              <w:t>—</w:t>
            </w:r>
          </w:p>
        </w:tc>
        <w:tc>
          <w:tcPr>
            <w:tcW w:w="975" w:type="dxa"/>
            <w:shd w:val="clear" w:color="auto" w:fill="CCEDFF"/>
          </w:tcPr>
          <w:p w14:paraId="7326C9BB" w14:textId="77777777" w:rsidR="00EF3DFB" w:rsidRDefault="00D27C17">
            <w:pPr>
              <w:pStyle w:val="TableParagraph"/>
              <w:spacing w:before="18"/>
              <w:ind w:left="506"/>
              <w:rPr>
                <w:sz w:val="18"/>
              </w:rPr>
            </w:pPr>
            <w:r>
              <w:rPr>
                <w:sz w:val="18"/>
              </w:rPr>
              <w:t>22</w:t>
            </w:r>
          </w:p>
        </w:tc>
        <w:tc>
          <w:tcPr>
            <w:tcW w:w="975" w:type="dxa"/>
            <w:shd w:val="clear" w:color="auto" w:fill="CCEDFF"/>
          </w:tcPr>
          <w:p w14:paraId="7326C9BC" w14:textId="77777777" w:rsidR="00EF3DFB" w:rsidRDefault="00D27C17">
            <w:pPr>
              <w:pStyle w:val="TableParagraph"/>
              <w:spacing w:before="18"/>
              <w:ind w:left="506"/>
              <w:rPr>
                <w:sz w:val="18"/>
              </w:rPr>
            </w:pPr>
            <w:r>
              <w:rPr>
                <w:sz w:val="18"/>
              </w:rPr>
              <w:t>19</w:t>
            </w:r>
          </w:p>
        </w:tc>
        <w:tc>
          <w:tcPr>
            <w:tcW w:w="975" w:type="dxa"/>
            <w:shd w:val="clear" w:color="auto" w:fill="CCEDFF"/>
          </w:tcPr>
          <w:p w14:paraId="7326C9BD" w14:textId="77777777" w:rsidR="00EF3DFB" w:rsidRDefault="00D27C17">
            <w:pPr>
              <w:pStyle w:val="TableParagraph"/>
              <w:spacing w:before="13"/>
              <w:ind w:left="506"/>
              <w:rPr>
                <w:sz w:val="18"/>
              </w:rPr>
            </w:pPr>
            <w:r>
              <w:rPr>
                <w:sz w:val="18"/>
              </w:rPr>
              <w:t>—</w:t>
            </w:r>
          </w:p>
        </w:tc>
        <w:tc>
          <w:tcPr>
            <w:tcW w:w="911" w:type="dxa"/>
            <w:shd w:val="clear" w:color="auto" w:fill="CCEDFF"/>
          </w:tcPr>
          <w:p w14:paraId="7326C9BE" w14:textId="77777777" w:rsidR="00EF3DFB" w:rsidRDefault="00D27C17">
            <w:pPr>
              <w:pStyle w:val="TableParagraph"/>
              <w:spacing w:before="18"/>
              <w:ind w:left="506"/>
              <w:rPr>
                <w:sz w:val="18"/>
              </w:rPr>
            </w:pPr>
            <w:r>
              <w:rPr>
                <w:sz w:val="18"/>
              </w:rPr>
              <w:t>—</w:t>
            </w:r>
          </w:p>
        </w:tc>
      </w:tr>
      <w:tr w:rsidR="00EF3DFB" w14:paraId="7326C9C7" w14:textId="77777777">
        <w:trPr>
          <w:trHeight w:val="255"/>
        </w:trPr>
        <w:tc>
          <w:tcPr>
            <w:tcW w:w="4845" w:type="dxa"/>
          </w:tcPr>
          <w:p w14:paraId="7326C9C0" w14:textId="77777777" w:rsidR="00EF3DFB" w:rsidRDefault="00D27C17">
            <w:pPr>
              <w:pStyle w:val="TableParagraph"/>
              <w:spacing w:before="9"/>
              <w:ind w:left="52"/>
              <w:rPr>
                <w:sz w:val="18"/>
              </w:rPr>
            </w:pPr>
            <w:r>
              <w:rPr>
                <w:sz w:val="18"/>
              </w:rPr>
              <w:t>Benefits paid</w:t>
            </w:r>
          </w:p>
        </w:tc>
        <w:tc>
          <w:tcPr>
            <w:tcW w:w="964" w:type="dxa"/>
          </w:tcPr>
          <w:p w14:paraId="7326C9C1" w14:textId="77777777" w:rsidR="00EF3DFB" w:rsidRDefault="00D27C17">
            <w:pPr>
              <w:pStyle w:val="TableParagraph"/>
              <w:spacing w:before="18"/>
              <w:ind w:left="435"/>
              <w:rPr>
                <w:sz w:val="18"/>
              </w:rPr>
            </w:pPr>
            <w:r>
              <w:rPr>
                <w:sz w:val="18"/>
              </w:rPr>
              <w:t>(95)</w:t>
            </w:r>
          </w:p>
        </w:tc>
        <w:tc>
          <w:tcPr>
            <w:tcW w:w="975" w:type="dxa"/>
          </w:tcPr>
          <w:p w14:paraId="7326C9C2" w14:textId="77777777" w:rsidR="00EF3DFB" w:rsidRDefault="00D27C17">
            <w:pPr>
              <w:pStyle w:val="TableParagraph"/>
              <w:spacing w:before="18"/>
              <w:ind w:left="356"/>
              <w:rPr>
                <w:sz w:val="18"/>
              </w:rPr>
            </w:pPr>
            <w:r>
              <w:rPr>
                <w:sz w:val="18"/>
              </w:rPr>
              <w:t>(100)</w:t>
            </w:r>
          </w:p>
        </w:tc>
        <w:tc>
          <w:tcPr>
            <w:tcW w:w="975" w:type="dxa"/>
          </w:tcPr>
          <w:p w14:paraId="7326C9C3" w14:textId="77777777" w:rsidR="00EF3DFB" w:rsidRDefault="00D27C17">
            <w:pPr>
              <w:pStyle w:val="TableParagraph"/>
              <w:spacing w:before="18"/>
              <w:ind w:left="446"/>
              <w:rPr>
                <w:sz w:val="18"/>
              </w:rPr>
            </w:pPr>
            <w:r>
              <w:rPr>
                <w:sz w:val="18"/>
              </w:rPr>
              <w:t>(21)</w:t>
            </w:r>
          </w:p>
        </w:tc>
        <w:tc>
          <w:tcPr>
            <w:tcW w:w="975" w:type="dxa"/>
          </w:tcPr>
          <w:p w14:paraId="7326C9C4" w14:textId="77777777" w:rsidR="00EF3DFB" w:rsidRDefault="00D27C17">
            <w:pPr>
              <w:pStyle w:val="TableParagraph"/>
              <w:spacing w:before="18"/>
              <w:ind w:left="446"/>
              <w:rPr>
                <w:sz w:val="18"/>
              </w:rPr>
            </w:pPr>
            <w:r>
              <w:rPr>
                <w:sz w:val="18"/>
              </w:rPr>
              <w:t>(22)</w:t>
            </w:r>
          </w:p>
        </w:tc>
        <w:tc>
          <w:tcPr>
            <w:tcW w:w="975" w:type="dxa"/>
          </w:tcPr>
          <w:p w14:paraId="7326C9C5" w14:textId="77777777" w:rsidR="00EF3DFB" w:rsidRDefault="00D27C17">
            <w:pPr>
              <w:pStyle w:val="TableParagraph"/>
              <w:spacing w:before="13"/>
              <w:ind w:left="536"/>
              <w:rPr>
                <w:sz w:val="18"/>
              </w:rPr>
            </w:pPr>
            <w:r>
              <w:rPr>
                <w:sz w:val="18"/>
              </w:rPr>
              <w:t>(4)</w:t>
            </w:r>
          </w:p>
        </w:tc>
        <w:tc>
          <w:tcPr>
            <w:tcW w:w="911" w:type="dxa"/>
          </w:tcPr>
          <w:p w14:paraId="7326C9C6" w14:textId="77777777" w:rsidR="00EF3DFB" w:rsidRDefault="00D27C17">
            <w:pPr>
              <w:pStyle w:val="TableParagraph"/>
              <w:spacing w:before="18"/>
              <w:ind w:left="506"/>
              <w:rPr>
                <w:sz w:val="18"/>
              </w:rPr>
            </w:pPr>
            <w:r>
              <w:rPr>
                <w:sz w:val="18"/>
              </w:rPr>
              <w:t>—</w:t>
            </w:r>
          </w:p>
        </w:tc>
      </w:tr>
      <w:tr w:rsidR="00EF3DFB" w14:paraId="7326C9CF" w14:textId="77777777">
        <w:trPr>
          <w:trHeight w:val="245"/>
        </w:trPr>
        <w:tc>
          <w:tcPr>
            <w:tcW w:w="4845" w:type="dxa"/>
            <w:shd w:val="clear" w:color="auto" w:fill="CCEDFF"/>
          </w:tcPr>
          <w:p w14:paraId="7326C9C8" w14:textId="77777777" w:rsidR="00EF3DFB" w:rsidRDefault="00D27C17">
            <w:pPr>
              <w:pStyle w:val="TableParagraph"/>
              <w:spacing w:before="9"/>
              <w:ind w:left="52"/>
              <w:rPr>
                <w:sz w:val="18"/>
              </w:rPr>
            </w:pPr>
            <w:r>
              <w:rPr>
                <w:sz w:val="18"/>
              </w:rPr>
              <w:t>Settlements and other</w:t>
            </w:r>
          </w:p>
        </w:tc>
        <w:tc>
          <w:tcPr>
            <w:tcW w:w="964" w:type="dxa"/>
            <w:tcBorders>
              <w:bottom w:val="single" w:sz="8" w:space="0" w:color="000000"/>
            </w:tcBorders>
            <w:shd w:val="clear" w:color="auto" w:fill="CCEDFF"/>
          </w:tcPr>
          <w:p w14:paraId="7326C9C9" w14:textId="77777777" w:rsidR="00EF3DFB" w:rsidRDefault="00D27C17">
            <w:pPr>
              <w:pStyle w:val="TableParagraph"/>
              <w:spacing w:before="18"/>
              <w:ind w:left="345"/>
              <w:rPr>
                <w:sz w:val="18"/>
              </w:rPr>
            </w:pPr>
            <w:r>
              <w:rPr>
                <w:sz w:val="18"/>
              </w:rPr>
              <w:t>(167)</w:t>
            </w:r>
          </w:p>
        </w:tc>
        <w:tc>
          <w:tcPr>
            <w:tcW w:w="975" w:type="dxa"/>
            <w:tcBorders>
              <w:bottom w:val="single" w:sz="8" w:space="0" w:color="000000"/>
            </w:tcBorders>
            <w:shd w:val="clear" w:color="auto" w:fill="CCEDFF"/>
          </w:tcPr>
          <w:p w14:paraId="7326C9CA" w14:textId="77777777" w:rsidR="00EF3DFB" w:rsidRDefault="00D27C17">
            <w:pPr>
              <w:pStyle w:val="TableParagraph"/>
              <w:spacing w:before="18"/>
              <w:ind w:left="506"/>
              <w:rPr>
                <w:sz w:val="18"/>
              </w:rPr>
            </w:pPr>
            <w:r>
              <w:rPr>
                <w:sz w:val="18"/>
              </w:rPr>
              <w:t>—</w:t>
            </w:r>
          </w:p>
        </w:tc>
        <w:tc>
          <w:tcPr>
            <w:tcW w:w="975" w:type="dxa"/>
            <w:tcBorders>
              <w:bottom w:val="single" w:sz="8" w:space="0" w:color="000000"/>
            </w:tcBorders>
            <w:shd w:val="clear" w:color="auto" w:fill="CCEDFF"/>
          </w:tcPr>
          <w:p w14:paraId="7326C9CB" w14:textId="77777777" w:rsidR="00EF3DFB" w:rsidRDefault="00D27C17">
            <w:pPr>
              <w:pStyle w:val="TableParagraph"/>
              <w:spacing w:before="18"/>
              <w:ind w:left="536"/>
              <w:rPr>
                <w:sz w:val="18"/>
              </w:rPr>
            </w:pPr>
            <w:r>
              <w:rPr>
                <w:sz w:val="18"/>
              </w:rPr>
              <w:t>(9)</w:t>
            </w:r>
          </w:p>
        </w:tc>
        <w:tc>
          <w:tcPr>
            <w:tcW w:w="975" w:type="dxa"/>
            <w:tcBorders>
              <w:bottom w:val="single" w:sz="8" w:space="0" w:color="000000"/>
            </w:tcBorders>
            <w:shd w:val="clear" w:color="auto" w:fill="CCEDFF"/>
          </w:tcPr>
          <w:p w14:paraId="7326C9CC" w14:textId="77777777" w:rsidR="00EF3DFB" w:rsidRDefault="00D27C17">
            <w:pPr>
              <w:pStyle w:val="TableParagraph"/>
              <w:spacing w:before="18"/>
              <w:ind w:left="446"/>
              <w:rPr>
                <w:sz w:val="18"/>
              </w:rPr>
            </w:pPr>
            <w:r>
              <w:rPr>
                <w:sz w:val="18"/>
              </w:rPr>
              <w:t>(13)</w:t>
            </w:r>
          </w:p>
        </w:tc>
        <w:tc>
          <w:tcPr>
            <w:tcW w:w="975" w:type="dxa"/>
            <w:tcBorders>
              <w:bottom w:val="single" w:sz="8" w:space="0" w:color="000000"/>
            </w:tcBorders>
            <w:shd w:val="clear" w:color="auto" w:fill="CCEDFF"/>
          </w:tcPr>
          <w:p w14:paraId="7326C9CD" w14:textId="77777777" w:rsidR="00EF3DFB" w:rsidRDefault="00D27C17">
            <w:pPr>
              <w:pStyle w:val="TableParagraph"/>
              <w:spacing w:before="13"/>
              <w:ind w:left="506"/>
              <w:rPr>
                <w:sz w:val="18"/>
              </w:rPr>
            </w:pPr>
            <w:r>
              <w:rPr>
                <w:sz w:val="18"/>
              </w:rPr>
              <w:t>—</w:t>
            </w:r>
          </w:p>
        </w:tc>
        <w:tc>
          <w:tcPr>
            <w:tcW w:w="911" w:type="dxa"/>
            <w:tcBorders>
              <w:bottom w:val="single" w:sz="8" w:space="0" w:color="000000"/>
            </w:tcBorders>
            <w:shd w:val="clear" w:color="auto" w:fill="CCEDFF"/>
          </w:tcPr>
          <w:p w14:paraId="7326C9CE" w14:textId="77777777" w:rsidR="00EF3DFB" w:rsidRDefault="00D27C17">
            <w:pPr>
              <w:pStyle w:val="TableParagraph"/>
              <w:spacing w:before="18"/>
              <w:ind w:left="506"/>
              <w:rPr>
                <w:sz w:val="18"/>
              </w:rPr>
            </w:pPr>
            <w:r>
              <w:rPr>
                <w:sz w:val="18"/>
              </w:rPr>
              <w:t>—</w:t>
            </w:r>
          </w:p>
        </w:tc>
      </w:tr>
      <w:tr w:rsidR="00EF3DFB" w14:paraId="7326C9D7" w14:textId="77777777">
        <w:trPr>
          <w:trHeight w:val="235"/>
        </w:trPr>
        <w:tc>
          <w:tcPr>
            <w:tcW w:w="4845" w:type="dxa"/>
          </w:tcPr>
          <w:p w14:paraId="7326C9D0" w14:textId="77777777" w:rsidR="00EF3DFB" w:rsidRDefault="00D27C17">
            <w:pPr>
              <w:pStyle w:val="TableParagraph"/>
              <w:spacing w:line="206" w:lineRule="exact"/>
              <w:ind w:left="52"/>
              <w:rPr>
                <w:sz w:val="18"/>
              </w:rPr>
            </w:pPr>
            <w:r>
              <w:rPr>
                <w:sz w:val="18"/>
              </w:rPr>
              <w:t>Fair value of plan assets at end of year</w:t>
            </w:r>
          </w:p>
        </w:tc>
        <w:tc>
          <w:tcPr>
            <w:tcW w:w="964" w:type="dxa"/>
            <w:tcBorders>
              <w:top w:val="single" w:sz="8" w:space="0" w:color="000000"/>
              <w:bottom w:val="single" w:sz="8" w:space="0" w:color="000000"/>
            </w:tcBorders>
          </w:tcPr>
          <w:p w14:paraId="7326C9D1" w14:textId="77777777" w:rsidR="00EF3DFB" w:rsidRDefault="00D27C17">
            <w:pPr>
              <w:pStyle w:val="TableParagraph"/>
              <w:spacing w:before="8"/>
              <w:ind w:left="52"/>
              <w:rPr>
                <w:sz w:val="18"/>
              </w:rPr>
            </w:pPr>
            <w:r>
              <w:rPr>
                <w:sz w:val="18"/>
              </w:rPr>
              <w:t>$ 1,161</w:t>
            </w:r>
          </w:p>
        </w:tc>
        <w:tc>
          <w:tcPr>
            <w:tcW w:w="975" w:type="dxa"/>
            <w:tcBorders>
              <w:top w:val="single" w:sz="8" w:space="0" w:color="000000"/>
              <w:bottom w:val="single" w:sz="8" w:space="0" w:color="000000"/>
            </w:tcBorders>
          </w:tcPr>
          <w:p w14:paraId="7326C9D2" w14:textId="77777777" w:rsidR="00EF3DFB" w:rsidRDefault="00D27C17">
            <w:pPr>
              <w:pStyle w:val="TableParagraph"/>
              <w:spacing w:before="8"/>
              <w:ind w:left="63"/>
              <w:rPr>
                <w:sz w:val="18"/>
              </w:rPr>
            </w:pPr>
            <w:r>
              <w:rPr>
                <w:sz w:val="18"/>
              </w:rPr>
              <w:t>$ 1,228</w:t>
            </w:r>
          </w:p>
        </w:tc>
        <w:tc>
          <w:tcPr>
            <w:tcW w:w="975" w:type="dxa"/>
            <w:tcBorders>
              <w:top w:val="single" w:sz="8" w:space="0" w:color="000000"/>
              <w:bottom w:val="single" w:sz="8" w:space="0" w:color="000000"/>
            </w:tcBorders>
          </w:tcPr>
          <w:p w14:paraId="7326C9D3" w14:textId="77777777" w:rsidR="00EF3DFB" w:rsidRDefault="00D27C17">
            <w:pPr>
              <w:pStyle w:val="TableParagraph"/>
              <w:tabs>
                <w:tab w:val="left" w:pos="416"/>
              </w:tabs>
              <w:spacing w:before="8"/>
              <w:ind w:left="63"/>
              <w:rPr>
                <w:sz w:val="18"/>
              </w:rPr>
            </w:pPr>
            <w:r>
              <w:rPr>
                <w:sz w:val="18"/>
              </w:rPr>
              <w:t>$</w:t>
            </w:r>
            <w:r>
              <w:rPr>
                <w:sz w:val="18"/>
              </w:rPr>
              <w:tab/>
              <w:t>627</w:t>
            </w:r>
          </w:p>
        </w:tc>
        <w:tc>
          <w:tcPr>
            <w:tcW w:w="975" w:type="dxa"/>
            <w:tcBorders>
              <w:top w:val="single" w:sz="8" w:space="0" w:color="000000"/>
              <w:bottom w:val="single" w:sz="8" w:space="0" w:color="000000"/>
            </w:tcBorders>
          </w:tcPr>
          <w:p w14:paraId="7326C9D4" w14:textId="77777777" w:rsidR="00EF3DFB" w:rsidRDefault="00D27C17">
            <w:pPr>
              <w:pStyle w:val="TableParagraph"/>
              <w:tabs>
                <w:tab w:val="left" w:pos="416"/>
              </w:tabs>
              <w:spacing w:before="8"/>
              <w:ind w:left="63"/>
              <w:rPr>
                <w:sz w:val="18"/>
              </w:rPr>
            </w:pPr>
            <w:r>
              <w:rPr>
                <w:sz w:val="18"/>
              </w:rPr>
              <w:t>$</w:t>
            </w:r>
            <w:r>
              <w:rPr>
                <w:sz w:val="18"/>
              </w:rPr>
              <w:tab/>
              <w:t>580</w:t>
            </w:r>
          </w:p>
        </w:tc>
        <w:tc>
          <w:tcPr>
            <w:tcW w:w="975" w:type="dxa"/>
            <w:tcBorders>
              <w:top w:val="single" w:sz="8" w:space="0" w:color="000000"/>
              <w:bottom w:val="single" w:sz="8" w:space="0" w:color="000000"/>
            </w:tcBorders>
          </w:tcPr>
          <w:p w14:paraId="7326C9D5" w14:textId="77777777" w:rsidR="00EF3DFB" w:rsidRDefault="00D27C17">
            <w:pPr>
              <w:pStyle w:val="TableParagraph"/>
              <w:tabs>
                <w:tab w:val="left" w:pos="506"/>
              </w:tabs>
              <w:spacing w:before="8"/>
              <w:ind w:left="63"/>
              <w:rPr>
                <w:sz w:val="18"/>
              </w:rPr>
            </w:pPr>
            <w:r>
              <w:rPr>
                <w:sz w:val="18"/>
              </w:rPr>
              <w:t>$</w:t>
            </w:r>
            <w:r>
              <w:rPr>
                <w:sz w:val="18"/>
              </w:rPr>
              <w:tab/>
              <w:t>—</w:t>
            </w:r>
          </w:p>
        </w:tc>
        <w:tc>
          <w:tcPr>
            <w:tcW w:w="911" w:type="dxa"/>
            <w:tcBorders>
              <w:top w:val="single" w:sz="8" w:space="0" w:color="000000"/>
              <w:bottom w:val="single" w:sz="8" w:space="0" w:color="000000"/>
            </w:tcBorders>
          </w:tcPr>
          <w:p w14:paraId="7326C9D6" w14:textId="77777777" w:rsidR="00EF3DFB" w:rsidRDefault="00D27C17">
            <w:pPr>
              <w:pStyle w:val="TableParagraph"/>
              <w:tabs>
                <w:tab w:val="left" w:pos="506"/>
              </w:tabs>
              <w:spacing w:before="8"/>
              <w:ind w:left="63"/>
              <w:rPr>
                <w:sz w:val="18"/>
              </w:rPr>
            </w:pPr>
            <w:r>
              <w:rPr>
                <w:sz w:val="18"/>
              </w:rPr>
              <w:t>$</w:t>
            </w:r>
            <w:r>
              <w:rPr>
                <w:sz w:val="18"/>
              </w:rPr>
              <w:tab/>
              <w:t>—</w:t>
            </w:r>
          </w:p>
        </w:tc>
      </w:tr>
      <w:tr w:rsidR="00EF3DFB" w14:paraId="7326C9DF" w14:textId="77777777">
        <w:trPr>
          <w:trHeight w:val="248"/>
        </w:trPr>
        <w:tc>
          <w:tcPr>
            <w:tcW w:w="4845" w:type="dxa"/>
            <w:shd w:val="clear" w:color="auto" w:fill="CCEDFF"/>
          </w:tcPr>
          <w:p w14:paraId="7326C9D8" w14:textId="77777777" w:rsidR="00EF3DFB" w:rsidRDefault="00D27C17">
            <w:pPr>
              <w:pStyle w:val="TableParagraph"/>
              <w:spacing w:line="206" w:lineRule="exact"/>
              <w:ind w:left="52"/>
              <w:rPr>
                <w:sz w:val="18"/>
              </w:rPr>
            </w:pPr>
            <w:r>
              <w:rPr>
                <w:sz w:val="18"/>
              </w:rPr>
              <w:t>Funded status at end of year</w:t>
            </w:r>
          </w:p>
        </w:tc>
        <w:tc>
          <w:tcPr>
            <w:tcW w:w="964" w:type="dxa"/>
            <w:tcBorders>
              <w:top w:val="single" w:sz="8" w:space="0" w:color="000000"/>
              <w:bottom w:val="single" w:sz="8" w:space="0" w:color="000000"/>
            </w:tcBorders>
            <w:shd w:val="clear" w:color="auto" w:fill="CCEDFF"/>
          </w:tcPr>
          <w:p w14:paraId="7326C9D9" w14:textId="77777777" w:rsidR="00EF3DFB" w:rsidRDefault="00D27C17">
            <w:pPr>
              <w:pStyle w:val="TableParagraph"/>
              <w:tabs>
                <w:tab w:val="left" w:pos="345"/>
              </w:tabs>
              <w:spacing w:before="8"/>
              <w:ind w:left="52"/>
              <w:rPr>
                <w:sz w:val="18"/>
              </w:rPr>
            </w:pPr>
            <w:r>
              <w:rPr>
                <w:sz w:val="18"/>
                <w:u w:val="single"/>
              </w:rPr>
              <w:t>$</w:t>
            </w:r>
            <w:r>
              <w:rPr>
                <w:sz w:val="18"/>
                <w:u w:val="single"/>
              </w:rPr>
              <w:tab/>
              <w:t>(196)</w:t>
            </w:r>
            <w:r>
              <w:rPr>
                <w:spacing w:val="-16"/>
                <w:sz w:val="18"/>
                <w:u w:val="single"/>
              </w:rPr>
              <w:t xml:space="preserve"> </w:t>
            </w:r>
          </w:p>
        </w:tc>
        <w:tc>
          <w:tcPr>
            <w:tcW w:w="975" w:type="dxa"/>
            <w:tcBorders>
              <w:top w:val="single" w:sz="8" w:space="0" w:color="000000"/>
              <w:bottom w:val="single" w:sz="8" w:space="0" w:color="000000"/>
            </w:tcBorders>
            <w:shd w:val="clear" w:color="auto" w:fill="CCEDFF"/>
          </w:tcPr>
          <w:p w14:paraId="7326C9DA" w14:textId="77777777" w:rsidR="00EF3DFB" w:rsidRDefault="00D27C17">
            <w:pPr>
              <w:pStyle w:val="TableParagraph"/>
              <w:tabs>
                <w:tab w:val="left" w:pos="356"/>
              </w:tabs>
              <w:spacing w:before="8"/>
              <w:ind w:left="63"/>
              <w:rPr>
                <w:sz w:val="18"/>
              </w:rPr>
            </w:pPr>
            <w:r>
              <w:rPr>
                <w:sz w:val="18"/>
                <w:u w:val="single"/>
              </w:rPr>
              <w:t>$</w:t>
            </w:r>
            <w:r>
              <w:rPr>
                <w:sz w:val="18"/>
                <w:u w:val="single"/>
              </w:rPr>
              <w:tab/>
              <w:t>(221)</w:t>
            </w:r>
            <w:r>
              <w:rPr>
                <w:spacing w:val="-16"/>
                <w:sz w:val="18"/>
                <w:u w:val="single"/>
              </w:rPr>
              <w:t xml:space="preserve"> </w:t>
            </w:r>
          </w:p>
        </w:tc>
        <w:tc>
          <w:tcPr>
            <w:tcW w:w="975" w:type="dxa"/>
            <w:tcBorders>
              <w:top w:val="single" w:sz="8" w:space="0" w:color="000000"/>
              <w:bottom w:val="single" w:sz="8" w:space="0" w:color="000000"/>
            </w:tcBorders>
            <w:shd w:val="clear" w:color="auto" w:fill="CCEDFF"/>
          </w:tcPr>
          <w:p w14:paraId="7326C9DB" w14:textId="77777777" w:rsidR="00EF3DFB" w:rsidRDefault="00D27C17">
            <w:pPr>
              <w:pStyle w:val="TableParagraph"/>
              <w:tabs>
                <w:tab w:val="left" w:pos="446"/>
              </w:tabs>
              <w:spacing w:before="8"/>
              <w:ind w:left="63"/>
              <w:rPr>
                <w:sz w:val="18"/>
              </w:rPr>
            </w:pPr>
            <w:r>
              <w:rPr>
                <w:sz w:val="18"/>
                <w:u w:val="single"/>
              </w:rPr>
              <w:t>$</w:t>
            </w:r>
            <w:r>
              <w:rPr>
                <w:sz w:val="18"/>
                <w:u w:val="single"/>
              </w:rPr>
              <w:tab/>
              <w:t>(41)</w:t>
            </w:r>
            <w:r>
              <w:rPr>
                <w:spacing w:val="-16"/>
                <w:sz w:val="18"/>
                <w:u w:val="single"/>
              </w:rPr>
              <w:t xml:space="preserve"> </w:t>
            </w:r>
          </w:p>
        </w:tc>
        <w:tc>
          <w:tcPr>
            <w:tcW w:w="975" w:type="dxa"/>
            <w:tcBorders>
              <w:top w:val="single" w:sz="8" w:space="0" w:color="000000"/>
              <w:bottom w:val="single" w:sz="8" w:space="0" w:color="000000"/>
            </w:tcBorders>
            <w:shd w:val="clear" w:color="auto" w:fill="CCEDFF"/>
          </w:tcPr>
          <w:p w14:paraId="7326C9DC" w14:textId="77777777" w:rsidR="00EF3DFB" w:rsidRDefault="00D27C17">
            <w:pPr>
              <w:pStyle w:val="TableParagraph"/>
              <w:tabs>
                <w:tab w:val="left" w:pos="446"/>
              </w:tabs>
              <w:spacing w:before="8"/>
              <w:ind w:left="63"/>
              <w:rPr>
                <w:sz w:val="18"/>
              </w:rPr>
            </w:pPr>
            <w:r>
              <w:rPr>
                <w:sz w:val="18"/>
                <w:u w:val="single"/>
              </w:rPr>
              <w:t>$</w:t>
            </w:r>
            <w:r>
              <w:rPr>
                <w:sz w:val="18"/>
                <w:u w:val="single"/>
              </w:rPr>
              <w:tab/>
              <w:t>(46)</w:t>
            </w:r>
            <w:r>
              <w:rPr>
                <w:spacing w:val="-16"/>
                <w:sz w:val="18"/>
                <w:u w:val="single"/>
              </w:rPr>
              <w:t xml:space="preserve"> </w:t>
            </w:r>
          </w:p>
        </w:tc>
        <w:tc>
          <w:tcPr>
            <w:tcW w:w="975" w:type="dxa"/>
            <w:tcBorders>
              <w:top w:val="single" w:sz="8" w:space="0" w:color="000000"/>
              <w:bottom w:val="single" w:sz="8" w:space="0" w:color="000000"/>
            </w:tcBorders>
            <w:shd w:val="clear" w:color="auto" w:fill="CCEDFF"/>
          </w:tcPr>
          <w:p w14:paraId="7326C9DD" w14:textId="77777777" w:rsidR="00EF3DFB" w:rsidRDefault="00D27C17">
            <w:pPr>
              <w:pStyle w:val="TableParagraph"/>
              <w:tabs>
                <w:tab w:val="left" w:pos="382"/>
              </w:tabs>
              <w:spacing w:before="8"/>
              <w:ind w:right="62"/>
              <w:jc w:val="right"/>
              <w:rPr>
                <w:sz w:val="18"/>
              </w:rPr>
            </w:pPr>
            <w:r>
              <w:rPr>
                <w:sz w:val="18"/>
                <w:u w:val="single"/>
              </w:rPr>
              <w:t>$</w:t>
            </w:r>
            <w:r>
              <w:rPr>
                <w:sz w:val="18"/>
                <w:u w:val="single"/>
              </w:rPr>
              <w:tab/>
              <w:t>(51)</w:t>
            </w:r>
            <w:r>
              <w:rPr>
                <w:spacing w:val="-16"/>
                <w:sz w:val="18"/>
                <w:u w:val="single"/>
              </w:rPr>
              <w:t xml:space="preserve"> </w:t>
            </w:r>
          </w:p>
        </w:tc>
        <w:tc>
          <w:tcPr>
            <w:tcW w:w="911" w:type="dxa"/>
            <w:tcBorders>
              <w:top w:val="single" w:sz="8" w:space="0" w:color="000000"/>
              <w:bottom w:val="single" w:sz="8" w:space="0" w:color="000000"/>
            </w:tcBorders>
            <w:shd w:val="clear" w:color="auto" w:fill="CCEDFF"/>
          </w:tcPr>
          <w:p w14:paraId="7326C9DE" w14:textId="77777777" w:rsidR="00EF3DFB" w:rsidRDefault="00D27C17">
            <w:pPr>
              <w:pStyle w:val="TableParagraph"/>
              <w:tabs>
                <w:tab w:val="left" w:pos="382"/>
              </w:tabs>
              <w:spacing w:before="8"/>
              <w:jc w:val="right"/>
              <w:rPr>
                <w:sz w:val="18"/>
              </w:rPr>
            </w:pPr>
            <w:r>
              <w:rPr>
                <w:sz w:val="18"/>
                <w:u w:val="single"/>
              </w:rPr>
              <w:t>$</w:t>
            </w:r>
            <w:r>
              <w:rPr>
                <w:sz w:val="18"/>
                <w:u w:val="single"/>
              </w:rPr>
              <w:tab/>
              <w:t>(52)</w:t>
            </w:r>
            <w:r>
              <w:rPr>
                <w:spacing w:val="-16"/>
                <w:sz w:val="18"/>
                <w:u w:val="single"/>
              </w:rPr>
              <w:t xml:space="preserve"> </w:t>
            </w:r>
          </w:p>
        </w:tc>
      </w:tr>
      <w:tr w:rsidR="00EF3DFB" w14:paraId="7326C9E7" w14:textId="77777777">
        <w:trPr>
          <w:trHeight w:val="231"/>
        </w:trPr>
        <w:tc>
          <w:tcPr>
            <w:tcW w:w="4845" w:type="dxa"/>
          </w:tcPr>
          <w:p w14:paraId="7326C9E0" w14:textId="77777777" w:rsidR="00EF3DFB" w:rsidRDefault="00D27C17">
            <w:pPr>
              <w:pStyle w:val="TableParagraph"/>
              <w:spacing w:line="183" w:lineRule="exact"/>
              <w:ind w:left="52"/>
              <w:rPr>
                <w:b/>
                <w:sz w:val="18"/>
              </w:rPr>
            </w:pPr>
            <w:r>
              <w:rPr>
                <w:b/>
                <w:sz w:val="18"/>
              </w:rPr>
              <w:t>Amounts recognized in the Consolidated Balance Sheets:</w:t>
            </w:r>
          </w:p>
        </w:tc>
        <w:tc>
          <w:tcPr>
            <w:tcW w:w="964" w:type="dxa"/>
            <w:tcBorders>
              <w:top w:val="single" w:sz="8" w:space="0" w:color="000000"/>
            </w:tcBorders>
          </w:tcPr>
          <w:p w14:paraId="7326C9E1" w14:textId="77777777" w:rsidR="00EF3DFB" w:rsidRDefault="00EF3DFB">
            <w:pPr>
              <w:pStyle w:val="TableParagraph"/>
              <w:rPr>
                <w:sz w:val="16"/>
              </w:rPr>
            </w:pPr>
          </w:p>
        </w:tc>
        <w:tc>
          <w:tcPr>
            <w:tcW w:w="975" w:type="dxa"/>
            <w:tcBorders>
              <w:top w:val="single" w:sz="8" w:space="0" w:color="000000"/>
            </w:tcBorders>
          </w:tcPr>
          <w:p w14:paraId="7326C9E2" w14:textId="77777777" w:rsidR="00EF3DFB" w:rsidRDefault="00EF3DFB">
            <w:pPr>
              <w:pStyle w:val="TableParagraph"/>
              <w:rPr>
                <w:sz w:val="16"/>
              </w:rPr>
            </w:pPr>
          </w:p>
        </w:tc>
        <w:tc>
          <w:tcPr>
            <w:tcW w:w="975" w:type="dxa"/>
            <w:tcBorders>
              <w:top w:val="single" w:sz="8" w:space="0" w:color="000000"/>
            </w:tcBorders>
          </w:tcPr>
          <w:p w14:paraId="7326C9E3" w14:textId="77777777" w:rsidR="00EF3DFB" w:rsidRDefault="00EF3DFB">
            <w:pPr>
              <w:pStyle w:val="TableParagraph"/>
              <w:rPr>
                <w:sz w:val="16"/>
              </w:rPr>
            </w:pPr>
          </w:p>
        </w:tc>
        <w:tc>
          <w:tcPr>
            <w:tcW w:w="975" w:type="dxa"/>
            <w:tcBorders>
              <w:top w:val="single" w:sz="8" w:space="0" w:color="000000"/>
            </w:tcBorders>
          </w:tcPr>
          <w:p w14:paraId="7326C9E4" w14:textId="77777777" w:rsidR="00EF3DFB" w:rsidRDefault="00EF3DFB">
            <w:pPr>
              <w:pStyle w:val="TableParagraph"/>
              <w:rPr>
                <w:sz w:val="16"/>
              </w:rPr>
            </w:pPr>
          </w:p>
        </w:tc>
        <w:tc>
          <w:tcPr>
            <w:tcW w:w="975" w:type="dxa"/>
            <w:tcBorders>
              <w:top w:val="single" w:sz="8" w:space="0" w:color="000000"/>
            </w:tcBorders>
          </w:tcPr>
          <w:p w14:paraId="7326C9E5" w14:textId="77777777" w:rsidR="00EF3DFB" w:rsidRDefault="00EF3DFB">
            <w:pPr>
              <w:pStyle w:val="TableParagraph"/>
              <w:rPr>
                <w:sz w:val="16"/>
              </w:rPr>
            </w:pPr>
          </w:p>
        </w:tc>
        <w:tc>
          <w:tcPr>
            <w:tcW w:w="911" w:type="dxa"/>
            <w:tcBorders>
              <w:top w:val="single" w:sz="8" w:space="0" w:color="000000"/>
            </w:tcBorders>
          </w:tcPr>
          <w:p w14:paraId="7326C9E6" w14:textId="77777777" w:rsidR="00EF3DFB" w:rsidRDefault="00EF3DFB">
            <w:pPr>
              <w:pStyle w:val="TableParagraph"/>
              <w:rPr>
                <w:sz w:val="16"/>
              </w:rPr>
            </w:pPr>
          </w:p>
        </w:tc>
      </w:tr>
      <w:tr w:rsidR="00EF3DFB" w14:paraId="7326C9EF" w14:textId="77777777">
        <w:trPr>
          <w:trHeight w:val="255"/>
        </w:trPr>
        <w:tc>
          <w:tcPr>
            <w:tcW w:w="4845" w:type="dxa"/>
            <w:shd w:val="clear" w:color="auto" w:fill="CCEDFF"/>
          </w:tcPr>
          <w:p w14:paraId="7326C9E8" w14:textId="77777777" w:rsidR="00EF3DFB" w:rsidRDefault="00D27C17">
            <w:pPr>
              <w:pStyle w:val="TableParagraph"/>
              <w:spacing w:before="9"/>
              <w:ind w:left="52"/>
              <w:rPr>
                <w:sz w:val="18"/>
              </w:rPr>
            </w:pPr>
            <w:r>
              <w:rPr>
                <w:sz w:val="18"/>
              </w:rPr>
              <w:t>Prepaid benefit cost, included in other assets</w:t>
            </w:r>
          </w:p>
        </w:tc>
        <w:tc>
          <w:tcPr>
            <w:tcW w:w="964" w:type="dxa"/>
            <w:shd w:val="clear" w:color="auto" w:fill="CCEDFF"/>
          </w:tcPr>
          <w:p w14:paraId="7326C9E9" w14:textId="77777777" w:rsidR="00EF3DFB" w:rsidRDefault="00D27C17">
            <w:pPr>
              <w:pStyle w:val="TableParagraph"/>
              <w:tabs>
                <w:tab w:val="left" w:pos="495"/>
              </w:tabs>
              <w:spacing w:before="18"/>
              <w:ind w:left="52"/>
              <w:rPr>
                <w:sz w:val="18"/>
              </w:rPr>
            </w:pPr>
            <w:r>
              <w:rPr>
                <w:sz w:val="18"/>
              </w:rPr>
              <w:t>$</w:t>
            </w:r>
            <w:r>
              <w:rPr>
                <w:sz w:val="18"/>
              </w:rPr>
              <w:tab/>
              <w:t>—</w:t>
            </w:r>
          </w:p>
        </w:tc>
        <w:tc>
          <w:tcPr>
            <w:tcW w:w="975" w:type="dxa"/>
            <w:shd w:val="clear" w:color="auto" w:fill="CCEDFF"/>
          </w:tcPr>
          <w:p w14:paraId="7326C9EA" w14:textId="77777777" w:rsidR="00EF3DFB" w:rsidRDefault="00D27C17">
            <w:pPr>
              <w:pStyle w:val="TableParagraph"/>
              <w:tabs>
                <w:tab w:val="left" w:pos="506"/>
              </w:tabs>
              <w:spacing w:before="18"/>
              <w:ind w:left="63"/>
              <w:rPr>
                <w:sz w:val="18"/>
              </w:rPr>
            </w:pPr>
            <w:r>
              <w:rPr>
                <w:sz w:val="18"/>
              </w:rPr>
              <w:t>$</w:t>
            </w:r>
            <w:r>
              <w:rPr>
                <w:sz w:val="18"/>
              </w:rPr>
              <w:tab/>
              <w:t>—</w:t>
            </w:r>
          </w:p>
        </w:tc>
        <w:tc>
          <w:tcPr>
            <w:tcW w:w="975" w:type="dxa"/>
            <w:shd w:val="clear" w:color="auto" w:fill="CCEDFF"/>
          </w:tcPr>
          <w:p w14:paraId="7326C9EB" w14:textId="77777777" w:rsidR="00EF3DFB" w:rsidRDefault="00D27C17">
            <w:pPr>
              <w:pStyle w:val="TableParagraph"/>
              <w:tabs>
                <w:tab w:val="left" w:pos="416"/>
              </w:tabs>
              <w:spacing w:before="18"/>
              <w:ind w:left="63"/>
              <w:rPr>
                <w:sz w:val="18"/>
              </w:rPr>
            </w:pPr>
            <w:r>
              <w:rPr>
                <w:sz w:val="18"/>
              </w:rPr>
              <w:t>$</w:t>
            </w:r>
            <w:r>
              <w:rPr>
                <w:sz w:val="18"/>
              </w:rPr>
              <w:tab/>
              <w:t>104</w:t>
            </w:r>
          </w:p>
        </w:tc>
        <w:tc>
          <w:tcPr>
            <w:tcW w:w="975" w:type="dxa"/>
            <w:shd w:val="clear" w:color="auto" w:fill="CCEDFF"/>
          </w:tcPr>
          <w:p w14:paraId="7326C9EC" w14:textId="77777777" w:rsidR="00EF3DFB" w:rsidRDefault="00D27C17">
            <w:pPr>
              <w:pStyle w:val="TableParagraph"/>
              <w:tabs>
                <w:tab w:val="left" w:pos="506"/>
              </w:tabs>
              <w:spacing w:before="18"/>
              <w:ind w:left="63"/>
              <w:rPr>
                <w:sz w:val="18"/>
              </w:rPr>
            </w:pPr>
            <w:r>
              <w:rPr>
                <w:sz w:val="18"/>
              </w:rPr>
              <w:t>$</w:t>
            </w:r>
            <w:r>
              <w:rPr>
                <w:sz w:val="18"/>
              </w:rPr>
              <w:tab/>
              <w:t>89</w:t>
            </w:r>
          </w:p>
        </w:tc>
        <w:tc>
          <w:tcPr>
            <w:tcW w:w="975" w:type="dxa"/>
            <w:shd w:val="clear" w:color="auto" w:fill="CCEDFF"/>
          </w:tcPr>
          <w:p w14:paraId="7326C9ED" w14:textId="77777777" w:rsidR="00EF3DFB" w:rsidRDefault="00D27C17">
            <w:pPr>
              <w:pStyle w:val="TableParagraph"/>
              <w:tabs>
                <w:tab w:val="left" w:pos="506"/>
              </w:tabs>
              <w:spacing w:before="18"/>
              <w:ind w:left="63"/>
              <w:rPr>
                <w:sz w:val="18"/>
              </w:rPr>
            </w:pPr>
            <w:r>
              <w:rPr>
                <w:sz w:val="18"/>
              </w:rPr>
              <w:t>$</w:t>
            </w:r>
            <w:r>
              <w:rPr>
                <w:sz w:val="18"/>
              </w:rPr>
              <w:tab/>
              <w:t>—</w:t>
            </w:r>
          </w:p>
        </w:tc>
        <w:tc>
          <w:tcPr>
            <w:tcW w:w="911" w:type="dxa"/>
            <w:shd w:val="clear" w:color="auto" w:fill="CCEDFF"/>
          </w:tcPr>
          <w:p w14:paraId="7326C9EE" w14:textId="77777777" w:rsidR="00EF3DFB" w:rsidRDefault="00D27C17">
            <w:pPr>
              <w:pStyle w:val="TableParagraph"/>
              <w:tabs>
                <w:tab w:val="left" w:pos="506"/>
              </w:tabs>
              <w:spacing w:before="18"/>
              <w:ind w:left="63"/>
              <w:rPr>
                <w:sz w:val="18"/>
              </w:rPr>
            </w:pPr>
            <w:r>
              <w:rPr>
                <w:sz w:val="18"/>
              </w:rPr>
              <w:t>$</w:t>
            </w:r>
            <w:r>
              <w:rPr>
                <w:sz w:val="18"/>
              </w:rPr>
              <w:tab/>
              <w:t>—</w:t>
            </w:r>
          </w:p>
        </w:tc>
      </w:tr>
      <w:tr w:rsidR="00EF3DFB" w14:paraId="7326C9F7" w14:textId="77777777">
        <w:trPr>
          <w:trHeight w:val="255"/>
        </w:trPr>
        <w:tc>
          <w:tcPr>
            <w:tcW w:w="4845" w:type="dxa"/>
          </w:tcPr>
          <w:p w14:paraId="7326C9F0" w14:textId="77777777" w:rsidR="00EF3DFB" w:rsidRDefault="00D27C17">
            <w:pPr>
              <w:pStyle w:val="TableParagraph"/>
              <w:spacing w:before="9"/>
              <w:ind w:left="52"/>
              <w:rPr>
                <w:sz w:val="18"/>
              </w:rPr>
            </w:pPr>
            <w:r>
              <w:rPr>
                <w:sz w:val="18"/>
              </w:rPr>
              <w:t>Accrued current benefit cost—other accrued liabilities</w:t>
            </w:r>
          </w:p>
        </w:tc>
        <w:tc>
          <w:tcPr>
            <w:tcW w:w="964" w:type="dxa"/>
          </w:tcPr>
          <w:p w14:paraId="7326C9F1" w14:textId="77777777" w:rsidR="00EF3DFB" w:rsidRDefault="00D27C17">
            <w:pPr>
              <w:pStyle w:val="TableParagraph"/>
              <w:spacing w:before="18"/>
              <w:ind w:left="435"/>
              <w:rPr>
                <w:sz w:val="18"/>
              </w:rPr>
            </w:pPr>
            <w:r>
              <w:rPr>
                <w:sz w:val="18"/>
              </w:rPr>
              <w:t>(11)</w:t>
            </w:r>
          </w:p>
        </w:tc>
        <w:tc>
          <w:tcPr>
            <w:tcW w:w="975" w:type="dxa"/>
          </w:tcPr>
          <w:p w14:paraId="7326C9F2" w14:textId="77777777" w:rsidR="00EF3DFB" w:rsidRDefault="00D27C17">
            <w:pPr>
              <w:pStyle w:val="TableParagraph"/>
              <w:spacing w:before="18"/>
              <w:ind w:left="446"/>
              <w:rPr>
                <w:sz w:val="18"/>
              </w:rPr>
            </w:pPr>
            <w:r>
              <w:rPr>
                <w:sz w:val="18"/>
              </w:rPr>
              <w:t>(15)</w:t>
            </w:r>
          </w:p>
        </w:tc>
        <w:tc>
          <w:tcPr>
            <w:tcW w:w="975" w:type="dxa"/>
          </w:tcPr>
          <w:p w14:paraId="7326C9F3" w14:textId="77777777" w:rsidR="00EF3DFB" w:rsidRDefault="00D27C17">
            <w:pPr>
              <w:pStyle w:val="TableParagraph"/>
              <w:spacing w:before="18"/>
              <w:ind w:left="536"/>
              <w:rPr>
                <w:sz w:val="18"/>
              </w:rPr>
            </w:pPr>
            <w:r>
              <w:rPr>
                <w:sz w:val="18"/>
              </w:rPr>
              <w:t>(5)</w:t>
            </w:r>
          </w:p>
        </w:tc>
        <w:tc>
          <w:tcPr>
            <w:tcW w:w="975" w:type="dxa"/>
          </w:tcPr>
          <w:p w14:paraId="7326C9F4" w14:textId="77777777" w:rsidR="00EF3DFB" w:rsidRDefault="00D27C17">
            <w:pPr>
              <w:pStyle w:val="TableParagraph"/>
              <w:spacing w:before="18"/>
              <w:ind w:left="536"/>
              <w:rPr>
                <w:sz w:val="18"/>
              </w:rPr>
            </w:pPr>
            <w:r>
              <w:rPr>
                <w:sz w:val="18"/>
              </w:rPr>
              <w:t>(4)</w:t>
            </w:r>
          </w:p>
        </w:tc>
        <w:tc>
          <w:tcPr>
            <w:tcW w:w="975" w:type="dxa"/>
          </w:tcPr>
          <w:p w14:paraId="7326C9F5" w14:textId="77777777" w:rsidR="00EF3DFB" w:rsidRDefault="00D27C17">
            <w:pPr>
              <w:pStyle w:val="TableParagraph"/>
              <w:spacing w:before="18"/>
              <w:ind w:left="536"/>
              <w:rPr>
                <w:sz w:val="18"/>
              </w:rPr>
            </w:pPr>
            <w:r>
              <w:rPr>
                <w:sz w:val="18"/>
              </w:rPr>
              <w:t>(5)</w:t>
            </w:r>
          </w:p>
        </w:tc>
        <w:tc>
          <w:tcPr>
            <w:tcW w:w="911" w:type="dxa"/>
          </w:tcPr>
          <w:p w14:paraId="7326C9F6" w14:textId="77777777" w:rsidR="00EF3DFB" w:rsidRDefault="00D27C17">
            <w:pPr>
              <w:pStyle w:val="TableParagraph"/>
              <w:spacing w:before="18"/>
              <w:ind w:left="536"/>
              <w:rPr>
                <w:sz w:val="18"/>
              </w:rPr>
            </w:pPr>
            <w:r>
              <w:rPr>
                <w:sz w:val="18"/>
              </w:rPr>
              <w:t>(6)</w:t>
            </w:r>
          </w:p>
        </w:tc>
      </w:tr>
      <w:tr w:rsidR="00EF3DFB" w14:paraId="7326C9FF" w14:textId="77777777">
        <w:trPr>
          <w:trHeight w:val="245"/>
        </w:trPr>
        <w:tc>
          <w:tcPr>
            <w:tcW w:w="4845" w:type="dxa"/>
            <w:shd w:val="clear" w:color="auto" w:fill="CCEDFF"/>
          </w:tcPr>
          <w:p w14:paraId="7326C9F8" w14:textId="77777777" w:rsidR="00EF3DFB" w:rsidRDefault="00D27C17">
            <w:pPr>
              <w:pStyle w:val="TableParagraph"/>
              <w:spacing w:before="9"/>
              <w:ind w:left="52"/>
              <w:rPr>
                <w:sz w:val="18"/>
              </w:rPr>
            </w:pPr>
            <w:r>
              <w:rPr>
                <w:sz w:val="18"/>
              </w:rPr>
              <w:t>Accrued noncurrent benefit cost— other noncurrent liabilities</w:t>
            </w:r>
          </w:p>
        </w:tc>
        <w:tc>
          <w:tcPr>
            <w:tcW w:w="964" w:type="dxa"/>
            <w:tcBorders>
              <w:bottom w:val="single" w:sz="8" w:space="0" w:color="000000"/>
            </w:tcBorders>
            <w:shd w:val="clear" w:color="auto" w:fill="CCEDFF"/>
          </w:tcPr>
          <w:p w14:paraId="7326C9F9" w14:textId="77777777" w:rsidR="00EF3DFB" w:rsidRDefault="00D27C17">
            <w:pPr>
              <w:pStyle w:val="TableParagraph"/>
              <w:spacing w:before="18"/>
              <w:ind w:left="345"/>
              <w:rPr>
                <w:sz w:val="18"/>
              </w:rPr>
            </w:pPr>
            <w:r>
              <w:rPr>
                <w:sz w:val="18"/>
              </w:rPr>
              <w:t>(185)</w:t>
            </w:r>
          </w:p>
        </w:tc>
        <w:tc>
          <w:tcPr>
            <w:tcW w:w="975" w:type="dxa"/>
            <w:tcBorders>
              <w:bottom w:val="single" w:sz="8" w:space="0" w:color="000000"/>
            </w:tcBorders>
            <w:shd w:val="clear" w:color="auto" w:fill="CCEDFF"/>
          </w:tcPr>
          <w:p w14:paraId="7326C9FA" w14:textId="77777777" w:rsidR="00EF3DFB" w:rsidRDefault="00D27C17">
            <w:pPr>
              <w:pStyle w:val="TableParagraph"/>
              <w:spacing w:before="18"/>
              <w:ind w:left="356"/>
              <w:rPr>
                <w:sz w:val="18"/>
              </w:rPr>
            </w:pPr>
            <w:r>
              <w:rPr>
                <w:sz w:val="18"/>
              </w:rPr>
              <w:t>(206)</w:t>
            </w:r>
          </w:p>
        </w:tc>
        <w:tc>
          <w:tcPr>
            <w:tcW w:w="975" w:type="dxa"/>
            <w:tcBorders>
              <w:bottom w:val="single" w:sz="8" w:space="0" w:color="000000"/>
            </w:tcBorders>
            <w:shd w:val="clear" w:color="auto" w:fill="CCEDFF"/>
          </w:tcPr>
          <w:p w14:paraId="7326C9FB" w14:textId="77777777" w:rsidR="00EF3DFB" w:rsidRDefault="00D27C17">
            <w:pPr>
              <w:pStyle w:val="TableParagraph"/>
              <w:spacing w:before="18"/>
              <w:ind w:left="356"/>
              <w:rPr>
                <w:sz w:val="18"/>
              </w:rPr>
            </w:pPr>
            <w:r>
              <w:rPr>
                <w:sz w:val="18"/>
              </w:rPr>
              <w:t>(140)</w:t>
            </w:r>
          </w:p>
        </w:tc>
        <w:tc>
          <w:tcPr>
            <w:tcW w:w="975" w:type="dxa"/>
            <w:tcBorders>
              <w:bottom w:val="single" w:sz="8" w:space="0" w:color="000000"/>
            </w:tcBorders>
            <w:shd w:val="clear" w:color="auto" w:fill="CCEDFF"/>
          </w:tcPr>
          <w:p w14:paraId="7326C9FC" w14:textId="77777777" w:rsidR="00EF3DFB" w:rsidRDefault="00D27C17">
            <w:pPr>
              <w:pStyle w:val="TableParagraph"/>
              <w:spacing w:before="18"/>
              <w:ind w:left="356"/>
              <w:rPr>
                <w:sz w:val="18"/>
              </w:rPr>
            </w:pPr>
            <w:r>
              <w:rPr>
                <w:sz w:val="18"/>
              </w:rPr>
              <w:t>(131)</w:t>
            </w:r>
          </w:p>
        </w:tc>
        <w:tc>
          <w:tcPr>
            <w:tcW w:w="975" w:type="dxa"/>
            <w:tcBorders>
              <w:bottom w:val="single" w:sz="8" w:space="0" w:color="000000"/>
            </w:tcBorders>
            <w:shd w:val="clear" w:color="auto" w:fill="CCEDFF"/>
          </w:tcPr>
          <w:p w14:paraId="7326C9FD" w14:textId="77777777" w:rsidR="00EF3DFB" w:rsidRDefault="00D27C17">
            <w:pPr>
              <w:pStyle w:val="TableParagraph"/>
              <w:spacing w:before="18"/>
              <w:ind w:left="446"/>
              <w:rPr>
                <w:sz w:val="18"/>
              </w:rPr>
            </w:pPr>
            <w:r>
              <w:rPr>
                <w:sz w:val="18"/>
              </w:rPr>
              <w:t>(46)</w:t>
            </w:r>
          </w:p>
        </w:tc>
        <w:tc>
          <w:tcPr>
            <w:tcW w:w="911" w:type="dxa"/>
            <w:tcBorders>
              <w:bottom w:val="single" w:sz="8" w:space="0" w:color="000000"/>
            </w:tcBorders>
            <w:shd w:val="clear" w:color="auto" w:fill="CCEDFF"/>
          </w:tcPr>
          <w:p w14:paraId="7326C9FE" w14:textId="77777777" w:rsidR="00EF3DFB" w:rsidRDefault="00D27C17">
            <w:pPr>
              <w:pStyle w:val="TableParagraph"/>
              <w:spacing w:before="18"/>
              <w:ind w:left="446"/>
              <w:rPr>
                <w:sz w:val="18"/>
              </w:rPr>
            </w:pPr>
            <w:r>
              <w:rPr>
                <w:sz w:val="18"/>
              </w:rPr>
              <w:t>(46)</w:t>
            </w:r>
          </w:p>
        </w:tc>
      </w:tr>
      <w:tr w:rsidR="00EF3DFB" w14:paraId="7326CA07" w14:textId="77777777">
        <w:trPr>
          <w:trHeight w:val="248"/>
        </w:trPr>
        <w:tc>
          <w:tcPr>
            <w:tcW w:w="4845" w:type="dxa"/>
          </w:tcPr>
          <w:p w14:paraId="7326CA00" w14:textId="77777777" w:rsidR="00EF3DFB" w:rsidRDefault="00D27C17">
            <w:pPr>
              <w:pStyle w:val="TableParagraph"/>
              <w:spacing w:line="206" w:lineRule="exact"/>
              <w:ind w:left="52"/>
              <w:rPr>
                <w:sz w:val="18"/>
              </w:rPr>
            </w:pPr>
            <w:r>
              <w:rPr>
                <w:sz w:val="18"/>
              </w:rPr>
              <w:t>Net amount recognized</w:t>
            </w:r>
          </w:p>
        </w:tc>
        <w:tc>
          <w:tcPr>
            <w:tcW w:w="964" w:type="dxa"/>
            <w:tcBorders>
              <w:top w:val="single" w:sz="8" w:space="0" w:color="000000"/>
              <w:bottom w:val="single" w:sz="8" w:space="0" w:color="000000"/>
            </w:tcBorders>
          </w:tcPr>
          <w:p w14:paraId="7326CA01" w14:textId="77777777" w:rsidR="00EF3DFB" w:rsidRDefault="00D27C17">
            <w:pPr>
              <w:pStyle w:val="TableParagraph"/>
              <w:tabs>
                <w:tab w:val="left" w:pos="345"/>
              </w:tabs>
              <w:spacing w:before="8"/>
              <w:ind w:left="52"/>
              <w:rPr>
                <w:sz w:val="18"/>
              </w:rPr>
            </w:pPr>
            <w:r>
              <w:rPr>
                <w:sz w:val="18"/>
                <w:u w:val="single"/>
              </w:rPr>
              <w:t>$</w:t>
            </w:r>
            <w:r>
              <w:rPr>
                <w:sz w:val="18"/>
                <w:u w:val="single"/>
              </w:rPr>
              <w:tab/>
              <w:t>(196)</w:t>
            </w:r>
            <w:r>
              <w:rPr>
                <w:spacing w:val="-16"/>
                <w:sz w:val="18"/>
                <w:u w:val="single"/>
              </w:rPr>
              <w:t xml:space="preserve"> </w:t>
            </w:r>
          </w:p>
        </w:tc>
        <w:tc>
          <w:tcPr>
            <w:tcW w:w="975" w:type="dxa"/>
            <w:tcBorders>
              <w:top w:val="single" w:sz="8" w:space="0" w:color="000000"/>
              <w:bottom w:val="single" w:sz="8" w:space="0" w:color="000000"/>
            </w:tcBorders>
          </w:tcPr>
          <w:p w14:paraId="7326CA02" w14:textId="77777777" w:rsidR="00EF3DFB" w:rsidRDefault="00D27C17">
            <w:pPr>
              <w:pStyle w:val="TableParagraph"/>
              <w:tabs>
                <w:tab w:val="left" w:pos="356"/>
              </w:tabs>
              <w:spacing w:before="8"/>
              <w:ind w:left="63"/>
              <w:rPr>
                <w:sz w:val="18"/>
              </w:rPr>
            </w:pPr>
            <w:r>
              <w:rPr>
                <w:sz w:val="18"/>
                <w:u w:val="single"/>
              </w:rPr>
              <w:t>$</w:t>
            </w:r>
            <w:r>
              <w:rPr>
                <w:sz w:val="18"/>
                <w:u w:val="single"/>
              </w:rPr>
              <w:tab/>
              <w:t>(221)</w:t>
            </w:r>
            <w:r>
              <w:rPr>
                <w:spacing w:val="-16"/>
                <w:sz w:val="18"/>
                <w:u w:val="single"/>
              </w:rPr>
              <w:t xml:space="preserve"> </w:t>
            </w:r>
          </w:p>
        </w:tc>
        <w:tc>
          <w:tcPr>
            <w:tcW w:w="975" w:type="dxa"/>
            <w:tcBorders>
              <w:top w:val="single" w:sz="8" w:space="0" w:color="000000"/>
              <w:bottom w:val="single" w:sz="8" w:space="0" w:color="000000"/>
            </w:tcBorders>
          </w:tcPr>
          <w:p w14:paraId="7326CA03" w14:textId="77777777" w:rsidR="00EF3DFB" w:rsidRDefault="00D27C17">
            <w:pPr>
              <w:pStyle w:val="TableParagraph"/>
              <w:tabs>
                <w:tab w:val="left" w:pos="446"/>
              </w:tabs>
              <w:spacing w:before="8"/>
              <w:ind w:left="63"/>
              <w:rPr>
                <w:sz w:val="18"/>
              </w:rPr>
            </w:pPr>
            <w:r>
              <w:rPr>
                <w:sz w:val="18"/>
                <w:u w:val="single"/>
              </w:rPr>
              <w:t>$</w:t>
            </w:r>
            <w:r>
              <w:rPr>
                <w:sz w:val="18"/>
                <w:u w:val="single"/>
              </w:rPr>
              <w:tab/>
              <w:t>(41)</w:t>
            </w:r>
            <w:r>
              <w:rPr>
                <w:spacing w:val="-16"/>
                <w:sz w:val="18"/>
                <w:u w:val="single"/>
              </w:rPr>
              <w:t xml:space="preserve"> </w:t>
            </w:r>
          </w:p>
        </w:tc>
        <w:tc>
          <w:tcPr>
            <w:tcW w:w="975" w:type="dxa"/>
            <w:tcBorders>
              <w:top w:val="single" w:sz="8" w:space="0" w:color="000000"/>
              <w:bottom w:val="single" w:sz="8" w:space="0" w:color="000000"/>
            </w:tcBorders>
          </w:tcPr>
          <w:p w14:paraId="7326CA04" w14:textId="77777777" w:rsidR="00EF3DFB" w:rsidRDefault="00D27C17">
            <w:pPr>
              <w:pStyle w:val="TableParagraph"/>
              <w:tabs>
                <w:tab w:val="left" w:pos="446"/>
              </w:tabs>
              <w:spacing w:before="8"/>
              <w:ind w:left="63"/>
              <w:rPr>
                <w:sz w:val="18"/>
              </w:rPr>
            </w:pPr>
            <w:r>
              <w:rPr>
                <w:sz w:val="18"/>
                <w:u w:val="single"/>
              </w:rPr>
              <w:t>$</w:t>
            </w:r>
            <w:r>
              <w:rPr>
                <w:sz w:val="18"/>
                <w:u w:val="single"/>
              </w:rPr>
              <w:tab/>
              <w:t>(46)</w:t>
            </w:r>
            <w:r>
              <w:rPr>
                <w:spacing w:val="-16"/>
                <w:sz w:val="18"/>
                <w:u w:val="single"/>
              </w:rPr>
              <w:t xml:space="preserve"> </w:t>
            </w:r>
          </w:p>
        </w:tc>
        <w:tc>
          <w:tcPr>
            <w:tcW w:w="975" w:type="dxa"/>
            <w:tcBorders>
              <w:top w:val="single" w:sz="8" w:space="0" w:color="000000"/>
              <w:bottom w:val="single" w:sz="8" w:space="0" w:color="000000"/>
            </w:tcBorders>
          </w:tcPr>
          <w:p w14:paraId="7326CA05" w14:textId="77777777" w:rsidR="00EF3DFB" w:rsidRDefault="00D27C17">
            <w:pPr>
              <w:pStyle w:val="TableParagraph"/>
              <w:tabs>
                <w:tab w:val="left" w:pos="382"/>
              </w:tabs>
              <w:spacing w:before="8"/>
              <w:ind w:right="62"/>
              <w:jc w:val="right"/>
              <w:rPr>
                <w:sz w:val="18"/>
              </w:rPr>
            </w:pPr>
            <w:r>
              <w:rPr>
                <w:sz w:val="18"/>
                <w:u w:val="single"/>
              </w:rPr>
              <w:t>$</w:t>
            </w:r>
            <w:r>
              <w:rPr>
                <w:sz w:val="18"/>
                <w:u w:val="single"/>
              </w:rPr>
              <w:tab/>
              <w:t>(51)</w:t>
            </w:r>
            <w:r>
              <w:rPr>
                <w:spacing w:val="-16"/>
                <w:sz w:val="18"/>
                <w:u w:val="single"/>
              </w:rPr>
              <w:t xml:space="preserve"> </w:t>
            </w:r>
          </w:p>
        </w:tc>
        <w:tc>
          <w:tcPr>
            <w:tcW w:w="911" w:type="dxa"/>
            <w:tcBorders>
              <w:top w:val="single" w:sz="8" w:space="0" w:color="000000"/>
              <w:bottom w:val="single" w:sz="8" w:space="0" w:color="000000"/>
            </w:tcBorders>
          </w:tcPr>
          <w:p w14:paraId="7326CA06" w14:textId="77777777" w:rsidR="00EF3DFB" w:rsidRDefault="00D27C17">
            <w:pPr>
              <w:pStyle w:val="TableParagraph"/>
              <w:tabs>
                <w:tab w:val="left" w:pos="382"/>
              </w:tabs>
              <w:spacing w:before="8"/>
              <w:jc w:val="right"/>
              <w:rPr>
                <w:sz w:val="18"/>
              </w:rPr>
            </w:pPr>
            <w:r>
              <w:rPr>
                <w:sz w:val="18"/>
                <w:u w:val="single"/>
              </w:rPr>
              <w:t>$</w:t>
            </w:r>
            <w:r>
              <w:rPr>
                <w:sz w:val="18"/>
                <w:u w:val="single"/>
              </w:rPr>
              <w:tab/>
              <w:t>(52)</w:t>
            </w:r>
            <w:r>
              <w:rPr>
                <w:spacing w:val="-16"/>
                <w:sz w:val="18"/>
                <w:u w:val="single"/>
              </w:rPr>
              <w:t xml:space="preserve"> </w:t>
            </w:r>
          </w:p>
        </w:tc>
      </w:tr>
      <w:tr w:rsidR="00EF3DFB" w14:paraId="7326CA0F" w14:textId="77777777">
        <w:trPr>
          <w:trHeight w:val="231"/>
        </w:trPr>
        <w:tc>
          <w:tcPr>
            <w:tcW w:w="4845" w:type="dxa"/>
            <w:shd w:val="clear" w:color="auto" w:fill="CCEDFF"/>
          </w:tcPr>
          <w:p w14:paraId="7326CA08" w14:textId="77777777" w:rsidR="00EF3DFB" w:rsidRDefault="00D27C17">
            <w:pPr>
              <w:pStyle w:val="TableParagraph"/>
              <w:spacing w:line="183" w:lineRule="exact"/>
              <w:ind w:left="52"/>
              <w:rPr>
                <w:b/>
                <w:sz w:val="18"/>
              </w:rPr>
            </w:pPr>
            <w:r>
              <w:rPr>
                <w:b/>
                <w:sz w:val="18"/>
              </w:rPr>
              <w:t>Assumptions:</w:t>
            </w:r>
          </w:p>
        </w:tc>
        <w:tc>
          <w:tcPr>
            <w:tcW w:w="964" w:type="dxa"/>
            <w:tcBorders>
              <w:top w:val="single" w:sz="8" w:space="0" w:color="000000"/>
            </w:tcBorders>
            <w:shd w:val="clear" w:color="auto" w:fill="CCEDFF"/>
          </w:tcPr>
          <w:p w14:paraId="7326CA09" w14:textId="77777777" w:rsidR="00EF3DFB" w:rsidRDefault="00EF3DFB">
            <w:pPr>
              <w:pStyle w:val="TableParagraph"/>
              <w:rPr>
                <w:sz w:val="16"/>
              </w:rPr>
            </w:pPr>
          </w:p>
        </w:tc>
        <w:tc>
          <w:tcPr>
            <w:tcW w:w="975" w:type="dxa"/>
            <w:tcBorders>
              <w:top w:val="single" w:sz="8" w:space="0" w:color="000000"/>
            </w:tcBorders>
            <w:shd w:val="clear" w:color="auto" w:fill="CCEDFF"/>
          </w:tcPr>
          <w:p w14:paraId="7326CA0A" w14:textId="77777777" w:rsidR="00EF3DFB" w:rsidRDefault="00EF3DFB">
            <w:pPr>
              <w:pStyle w:val="TableParagraph"/>
              <w:rPr>
                <w:sz w:val="16"/>
              </w:rPr>
            </w:pPr>
          </w:p>
        </w:tc>
        <w:tc>
          <w:tcPr>
            <w:tcW w:w="975" w:type="dxa"/>
            <w:tcBorders>
              <w:top w:val="single" w:sz="8" w:space="0" w:color="000000"/>
            </w:tcBorders>
            <w:shd w:val="clear" w:color="auto" w:fill="CCEDFF"/>
          </w:tcPr>
          <w:p w14:paraId="7326CA0B" w14:textId="77777777" w:rsidR="00EF3DFB" w:rsidRDefault="00EF3DFB">
            <w:pPr>
              <w:pStyle w:val="TableParagraph"/>
              <w:rPr>
                <w:sz w:val="16"/>
              </w:rPr>
            </w:pPr>
          </w:p>
        </w:tc>
        <w:tc>
          <w:tcPr>
            <w:tcW w:w="975" w:type="dxa"/>
            <w:tcBorders>
              <w:top w:val="single" w:sz="8" w:space="0" w:color="000000"/>
            </w:tcBorders>
            <w:shd w:val="clear" w:color="auto" w:fill="CCEDFF"/>
          </w:tcPr>
          <w:p w14:paraId="7326CA0C" w14:textId="77777777" w:rsidR="00EF3DFB" w:rsidRDefault="00EF3DFB">
            <w:pPr>
              <w:pStyle w:val="TableParagraph"/>
              <w:rPr>
                <w:sz w:val="16"/>
              </w:rPr>
            </w:pPr>
          </w:p>
        </w:tc>
        <w:tc>
          <w:tcPr>
            <w:tcW w:w="975" w:type="dxa"/>
            <w:tcBorders>
              <w:top w:val="single" w:sz="8" w:space="0" w:color="000000"/>
            </w:tcBorders>
            <w:shd w:val="clear" w:color="auto" w:fill="CCEDFF"/>
          </w:tcPr>
          <w:p w14:paraId="7326CA0D" w14:textId="77777777" w:rsidR="00EF3DFB" w:rsidRDefault="00EF3DFB">
            <w:pPr>
              <w:pStyle w:val="TableParagraph"/>
              <w:rPr>
                <w:sz w:val="16"/>
              </w:rPr>
            </w:pPr>
          </w:p>
        </w:tc>
        <w:tc>
          <w:tcPr>
            <w:tcW w:w="911" w:type="dxa"/>
            <w:tcBorders>
              <w:top w:val="single" w:sz="8" w:space="0" w:color="000000"/>
            </w:tcBorders>
            <w:shd w:val="clear" w:color="auto" w:fill="CCEDFF"/>
          </w:tcPr>
          <w:p w14:paraId="7326CA0E" w14:textId="77777777" w:rsidR="00EF3DFB" w:rsidRDefault="00EF3DFB">
            <w:pPr>
              <w:pStyle w:val="TableParagraph"/>
              <w:rPr>
                <w:sz w:val="16"/>
              </w:rPr>
            </w:pPr>
          </w:p>
        </w:tc>
      </w:tr>
      <w:tr w:rsidR="00EF3DFB" w14:paraId="7326CA17" w14:textId="77777777">
        <w:trPr>
          <w:trHeight w:val="435"/>
        </w:trPr>
        <w:tc>
          <w:tcPr>
            <w:tcW w:w="4845" w:type="dxa"/>
          </w:tcPr>
          <w:p w14:paraId="7326CA10" w14:textId="77777777" w:rsidR="00EF3DFB" w:rsidRDefault="00D27C17">
            <w:pPr>
              <w:pStyle w:val="TableParagraph"/>
              <w:spacing w:before="1" w:line="216" w:lineRule="exact"/>
              <w:ind w:left="52" w:right="388"/>
              <w:rPr>
                <w:b/>
                <w:sz w:val="18"/>
              </w:rPr>
            </w:pPr>
            <w:r>
              <w:rPr>
                <w:b/>
                <w:sz w:val="18"/>
              </w:rPr>
              <w:t>Weighted-average assumptions used to determine benefit obligation:</w:t>
            </w:r>
          </w:p>
        </w:tc>
        <w:tc>
          <w:tcPr>
            <w:tcW w:w="964" w:type="dxa"/>
          </w:tcPr>
          <w:p w14:paraId="7326CA11" w14:textId="77777777" w:rsidR="00EF3DFB" w:rsidRDefault="00EF3DFB">
            <w:pPr>
              <w:pStyle w:val="TableParagraph"/>
              <w:rPr>
                <w:sz w:val="18"/>
              </w:rPr>
            </w:pPr>
          </w:p>
        </w:tc>
        <w:tc>
          <w:tcPr>
            <w:tcW w:w="975" w:type="dxa"/>
          </w:tcPr>
          <w:p w14:paraId="7326CA12" w14:textId="77777777" w:rsidR="00EF3DFB" w:rsidRDefault="00EF3DFB">
            <w:pPr>
              <w:pStyle w:val="TableParagraph"/>
              <w:rPr>
                <w:sz w:val="18"/>
              </w:rPr>
            </w:pPr>
          </w:p>
        </w:tc>
        <w:tc>
          <w:tcPr>
            <w:tcW w:w="975" w:type="dxa"/>
          </w:tcPr>
          <w:p w14:paraId="7326CA13" w14:textId="77777777" w:rsidR="00EF3DFB" w:rsidRDefault="00EF3DFB">
            <w:pPr>
              <w:pStyle w:val="TableParagraph"/>
              <w:rPr>
                <w:sz w:val="18"/>
              </w:rPr>
            </w:pPr>
          </w:p>
        </w:tc>
        <w:tc>
          <w:tcPr>
            <w:tcW w:w="975" w:type="dxa"/>
          </w:tcPr>
          <w:p w14:paraId="7326CA14" w14:textId="77777777" w:rsidR="00EF3DFB" w:rsidRDefault="00EF3DFB">
            <w:pPr>
              <w:pStyle w:val="TableParagraph"/>
              <w:rPr>
                <w:sz w:val="18"/>
              </w:rPr>
            </w:pPr>
          </w:p>
        </w:tc>
        <w:tc>
          <w:tcPr>
            <w:tcW w:w="975" w:type="dxa"/>
          </w:tcPr>
          <w:p w14:paraId="7326CA15" w14:textId="77777777" w:rsidR="00EF3DFB" w:rsidRDefault="00EF3DFB">
            <w:pPr>
              <w:pStyle w:val="TableParagraph"/>
              <w:rPr>
                <w:sz w:val="18"/>
              </w:rPr>
            </w:pPr>
          </w:p>
        </w:tc>
        <w:tc>
          <w:tcPr>
            <w:tcW w:w="911" w:type="dxa"/>
          </w:tcPr>
          <w:p w14:paraId="7326CA16" w14:textId="77777777" w:rsidR="00EF3DFB" w:rsidRDefault="00EF3DFB">
            <w:pPr>
              <w:pStyle w:val="TableParagraph"/>
              <w:rPr>
                <w:sz w:val="18"/>
              </w:rPr>
            </w:pPr>
          </w:p>
        </w:tc>
      </w:tr>
      <w:tr w:rsidR="00EF3DFB" w14:paraId="7326CA1F" w14:textId="77777777">
        <w:trPr>
          <w:trHeight w:val="255"/>
        </w:trPr>
        <w:tc>
          <w:tcPr>
            <w:tcW w:w="4845" w:type="dxa"/>
            <w:shd w:val="clear" w:color="auto" w:fill="CCEDFF"/>
          </w:tcPr>
          <w:p w14:paraId="7326CA18" w14:textId="77777777" w:rsidR="00EF3DFB" w:rsidRDefault="00D27C17">
            <w:pPr>
              <w:pStyle w:val="TableParagraph"/>
              <w:spacing w:before="9"/>
              <w:ind w:left="52"/>
              <w:rPr>
                <w:sz w:val="18"/>
              </w:rPr>
            </w:pPr>
            <w:r>
              <w:rPr>
                <w:sz w:val="18"/>
              </w:rPr>
              <w:t>Discount rate</w:t>
            </w:r>
          </w:p>
        </w:tc>
        <w:tc>
          <w:tcPr>
            <w:tcW w:w="964" w:type="dxa"/>
            <w:shd w:val="clear" w:color="auto" w:fill="CCEDFF"/>
          </w:tcPr>
          <w:p w14:paraId="7326CA19" w14:textId="77777777" w:rsidR="00EF3DFB" w:rsidRDefault="00D27C17">
            <w:pPr>
              <w:pStyle w:val="TableParagraph"/>
              <w:spacing w:before="18"/>
              <w:ind w:right="76"/>
              <w:jc w:val="right"/>
              <w:rPr>
                <w:sz w:val="18"/>
              </w:rPr>
            </w:pPr>
            <w:r>
              <w:rPr>
                <w:sz w:val="18"/>
              </w:rPr>
              <w:t>2.16 %</w:t>
            </w:r>
          </w:p>
        </w:tc>
        <w:tc>
          <w:tcPr>
            <w:tcW w:w="975" w:type="dxa"/>
            <w:shd w:val="clear" w:color="auto" w:fill="CCEDFF"/>
          </w:tcPr>
          <w:p w14:paraId="7326CA1A" w14:textId="77777777" w:rsidR="00EF3DFB" w:rsidRDefault="00D27C17">
            <w:pPr>
              <w:pStyle w:val="TableParagraph"/>
              <w:spacing w:before="18"/>
              <w:ind w:right="76"/>
              <w:jc w:val="right"/>
              <w:rPr>
                <w:sz w:val="18"/>
              </w:rPr>
            </w:pPr>
            <w:r>
              <w:rPr>
                <w:sz w:val="18"/>
              </w:rPr>
              <w:t>3.06 %</w:t>
            </w:r>
          </w:p>
        </w:tc>
        <w:tc>
          <w:tcPr>
            <w:tcW w:w="975" w:type="dxa"/>
            <w:shd w:val="clear" w:color="auto" w:fill="CCEDFF"/>
          </w:tcPr>
          <w:p w14:paraId="7326CA1B" w14:textId="77777777" w:rsidR="00EF3DFB" w:rsidRDefault="00D27C17">
            <w:pPr>
              <w:pStyle w:val="TableParagraph"/>
              <w:spacing w:before="18"/>
              <w:ind w:right="76"/>
              <w:jc w:val="right"/>
              <w:rPr>
                <w:sz w:val="18"/>
              </w:rPr>
            </w:pPr>
            <w:r>
              <w:rPr>
                <w:sz w:val="18"/>
              </w:rPr>
              <w:t>1.22 %</w:t>
            </w:r>
          </w:p>
        </w:tc>
        <w:tc>
          <w:tcPr>
            <w:tcW w:w="975" w:type="dxa"/>
            <w:shd w:val="clear" w:color="auto" w:fill="CCEDFF"/>
          </w:tcPr>
          <w:p w14:paraId="7326CA1C" w14:textId="77777777" w:rsidR="00EF3DFB" w:rsidRDefault="00D27C17">
            <w:pPr>
              <w:pStyle w:val="TableParagraph"/>
              <w:spacing w:before="18"/>
              <w:ind w:right="76"/>
              <w:jc w:val="right"/>
              <w:rPr>
                <w:sz w:val="18"/>
              </w:rPr>
            </w:pPr>
            <w:r>
              <w:rPr>
                <w:sz w:val="18"/>
              </w:rPr>
              <w:t>1.79 %</w:t>
            </w:r>
          </w:p>
        </w:tc>
        <w:tc>
          <w:tcPr>
            <w:tcW w:w="975" w:type="dxa"/>
            <w:shd w:val="clear" w:color="auto" w:fill="CCEDFF"/>
          </w:tcPr>
          <w:p w14:paraId="7326CA1D" w14:textId="77777777" w:rsidR="00EF3DFB" w:rsidRDefault="00D27C17">
            <w:pPr>
              <w:pStyle w:val="TableParagraph"/>
              <w:spacing w:before="18"/>
              <w:ind w:right="76"/>
              <w:jc w:val="right"/>
              <w:rPr>
                <w:sz w:val="18"/>
              </w:rPr>
            </w:pPr>
            <w:r>
              <w:rPr>
                <w:sz w:val="18"/>
              </w:rPr>
              <w:t>1.80 %</w:t>
            </w:r>
          </w:p>
        </w:tc>
        <w:tc>
          <w:tcPr>
            <w:tcW w:w="911" w:type="dxa"/>
            <w:shd w:val="clear" w:color="auto" w:fill="CCEDFF"/>
          </w:tcPr>
          <w:p w14:paraId="7326CA1E" w14:textId="77777777" w:rsidR="00EF3DFB" w:rsidRDefault="00D27C17">
            <w:pPr>
              <w:pStyle w:val="TableParagraph"/>
              <w:spacing w:before="18"/>
              <w:ind w:right="12"/>
              <w:jc w:val="right"/>
              <w:rPr>
                <w:sz w:val="18"/>
              </w:rPr>
            </w:pPr>
            <w:r>
              <w:rPr>
                <w:sz w:val="18"/>
              </w:rPr>
              <w:t>2.80 %</w:t>
            </w:r>
          </w:p>
        </w:tc>
      </w:tr>
      <w:tr w:rsidR="00EF3DFB" w14:paraId="7326CA27" w14:textId="77777777">
        <w:trPr>
          <w:trHeight w:val="255"/>
        </w:trPr>
        <w:tc>
          <w:tcPr>
            <w:tcW w:w="4845" w:type="dxa"/>
          </w:tcPr>
          <w:p w14:paraId="7326CA20" w14:textId="77777777" w:rsidR="00EF3DFB" w:rsidRDefault="00D27C17">
            <w:pPr>
              <w:pStyle w:val="TableParagraph"/>
              <w:spacing w:before="9"/>
              <w:ind w:left="52"/>
              <w:rPr>
                <w:sz w:val="18"/>
              </w:rPr>
            </w:pPr>
            <w:r>
              <w:rPr>
                <w:sz w:val="18"/>
              </w:rPr>
              <w:t>Long-term rate of compensation increase</w:t>
            </w:r>
          </w:p>
        </w:tc>
        <w:tc>
          <w:tcPr>
            <w:tcW w:w="964" w:type="dxa"/>
          </w:tcPr>
          <w:p w14:paraId="7326CA21" w14:textId="77777777" w:rsidR="00EF3DFB" w:rsidRDefault="00D27C17">
            <w:pPr>
              <w:pStyle w:val="TableParagraph"/>
              <w:spacing w:before="18"/>
              <w:ind w:right="76"/>
              <w:jc w:val="right"/>
              <w:rPr>
                <w:sz w:val="18"/>
              </w:rPr>
            </w:pPr>
            <w:r>
              <w:rPr>
                <w:sz w:val="18"/>
              </w:rPr>
              <w:t>3.00 %</w:t>
            </w:r>
          </w:p>
        </w:tc>
        <w:tc>
          <w:tcPr>
            <w:tcW w:w="975" w:type="dxa"/>
          </w:tcPr>
          <w:p w14:paraId="7326CA22" w14:textId="77777777" w:rsidR="00EF3DFB" w:rsidRDefault="00D27C17">
            <w:pPr>
              <w:pStyle w:val="TableParagraph"/>
              <w:spacing w:before="18"/>
              <w:ind w:right="76"/>
              <w:jc w:val="right"/>
              <w:rPr>
                <w:sz w:val="18"/>
              </w:rPr>
            </w:pPr>
            <w:r>
              <w:rPr>
                <w:sz w:val="18"/>
              </w:rPr>
              <w:t>3.00 %</w:t>
            </w:r>
          </w:p>
        </w:tc>
        <w:tc>
          <w:tcPr>
            <w:tcW w:w="975" w:type="dxa"/>
          </w:tcPr>
          <w:p w14:paraId="7326CA23" w14:textId="77777777" w:rsidR="00EF3DFB" w:rsidRDefault="00D27C17">
            <w:pPr>
              <w:pStyle w:val="TableParagraph"/>
              <w:spacing w:before="18"/>
              <w:ind w:right="76"/>
              <w:jc w:val="right"/>
              <w:rPr>
                <w:sz w:val="18"/>
              </w:rPr>
            </w:pPr>
            <w:r>
              <w:rPr>
                <w:sz w:val="18"/>
              </w:rPr>
              <w:t>2.18 %</w:t>
            </w:r>
          </w:p>
        </w:tc>
        <w:tc>
          <w:tcPr>
            <w:tcW w:w="975" w:type="dxa"/>
          </w:tcPr>
          <w:p w14:paraId="7326CA24" w14:textId="77777777" w:rsidR="00EF3DFB" w:rsidRDefault="00D27C17">
            <w:pPr>
              <w:pStyle w:val="TableParagraph"/>
              <w:spacing w:before="18"/>
              <w:ind w:right="76"/>
              <w:jc w:val="right"/>
              <w:rPr>
                <w:sz w:val="18"/>
              </w:rPr>
            </w:pPr>
            <w:r>
              <w:rPr>
                <w:sz w:val="18"/>
              </w:rPr>
              <w:t>2.31 %</w:t>
            </w:r>
          </w:p>
        </w:tc>
        <w:tc>
          <w:tcPr>
            <w:tcW w:w="975" w:type="dxa"/>
          </w:tcPr>
          <w:p w14:paraId="7326CA25" w14:textId="77777777" w:rsidR="00EF3DFB" w:rsidRDefault="00D27C17">
            <w:pPr>
              <w:pStyle w:val="TableParagraph"/>
              <w:spacing w:before="18"/>
              <w:ind w:right="76"/>
              <w:jc w:val="right"/>
              <w:rPr>
                <w:sz w:val="18"/>
              </w:rPr>
            </w:pPr>
            <w:r>
              <w:rPr>
                <w:sz w:val="18"/>
              </w:rPr>
              <w:t>— %</w:t>
            </w:r>
          </w:p>
        </w:tc>
        <w:tc>
          <w:tcPr>
            <w:tcW w:w="911" w:type="dxa"/>
          </w:tcPr>
          <w:p w14:paraId="7326CA26" w14:textId="77777777" w:rsidR="00EF3DFB" w:rsidRDefault="00D27C17">
            <w:pPr>
              <w:pStyle w:val="TableParagraph"/>
              <w:spacing w:before="18"/>
              <w:ind w:right="12"/>
              <w:jc w:val="right"/>
              <w:rPr>
                <w:sz w:val="18"/>
              </w:rPr>
            </w:pPr>
            <w:r>
              <w:rPr>
                <w:sz w:val="18"/>
              </w:rPr>
              <w:t>— %</w:t>
            </w:r>
          </w:p>
        </w:tc>
      </w:tr>
      <w:tr w:rsidR="00EF3DFB" w14:paraId="7326CA2F" w14:textId="77777777">
        <w:trPr>
          <w:trHeight w:val="255"/>
        </w:trPr>
        <w:tc>
          <w:tcPr>
            <w:tcW w:w="4845" w:type="dxa"/>
            <w:shd w:val="clear" w:color="auto" w:fill="CCEDFF"/>
          </w:tcPr>
          <w:p w14:paraId="7326CA28" w14:textId="77777777" w:rsidR="00EF3DFB" w:rsidRDefault="00D27C17">
            <w:pPr>
              <w:pStyle w:val="TableParagraph"/>
              <w:spacing w:before="9"/>
              <w:ind w:left="52"/>
              <w:rPr>
                <w:sz w:val="18"/>
              </w:rPr>
            </w:pPr>
            <w:r>
              <w:rPr>
                <w:sz w:val="18"/>
              </w:rPr>
              <w:t>Current health care cost trend rates</w:t>
            </w:r>
          </w:p>
        </w:tc>
        <w:tc>
          <w:tcPr>
            <w:tcW w:w="964" w:type="dxa"/>
            <w:shd w:val="clear" w:color="auto" w:fill="CCEDFF"/>
          </w:tcPr>
          <w:p w14:paraId="7326CA29" w14:textId="77777777" w:rsidR="00EF3DFB" w:rsidRDefault="00D27C17">
            <w:pPr>
              <w:pStyle w:val="TableParagraph"/>
              <w:spacing w:before="18"/>
              <w:ind w:right="76"/>
              <w:jc w:val="right"/>
              <w:rPr>
                <w:sz w:val="18"/>
              </w:rPr>
            </w:pPr>
            <w:r>
              <w:rPr>
                <w:sz w:val="18"/>
              </w:rPr>
              <w:t>— %</w:t>
            </w:r>
          </w:p>
        </w:tc>
        <w:tc>
          <w:tcPr>
            <w:tcW w:w="975" w:type="dxa"/>
            <w:shd w:val="clear" w:color="auto" w:fill="CCEDFF"/>
          </w:tcPr>
          <w:p w14:paraId="7326CA2A" w14:textId="77777777" w:rsidR="00EF3DFB" w:rsidRDefault="00D27C17">
            <w:pPr>
              <w:pStyle w:val="TableParagraph"/>
              <w:spacing w:before="18"/>
              <w:ind w:right="76"/>
              <w:jc w:val="right"/>
              <w:rPr>
                <w:sz w:val="18"/>
              </w:rPr>
            </w:pPr>
            <w:r>
              <w:rPr>
                <w:sz w:val="18"/>
              </w:rPr>
              <w:t>— %</w:t>
            </w:r>
          </w:p>
        </w:tc>
        <w:tc>
          <w:tcPr>
            <w:tcW w:w="975" w:type="dxa"/>
            <w:shd w:val="clear" w:color="auto" w:fill="CCEDFF"/>
          </w:tcPr>
          <w:p w14:paraId="7326CA2B" w14:textId="77777777" w:rsidR="00EF3DFB" w:rsidRDefault="00D27C17">
            <w:pPr>
              <w:pStyle w:val="TableParagraph"/>
              <w:spacing w:before="18"/>
              <w:ind w:right="76"/>
              <w:jc w:val="right"/>
              <w:rPr>
                <w:sz w:val="18"/>
              </w:rPr>
            </w:pPr>
            <w:r>
              <w:rPr>
                <w:sz w:val="18"/>
              </w:rPr>
              <w:t>— %</w:t>
            </w:r>
          </w:p>
        </w:tc>
        <w:tc>
          <w:tcPr>
            <w:tcW w:w="975" w:type="dxa"/>
            <w:shd w:val="clear" w:color="auto" w:fill="CCEDFF"/>
          </w:tcPr>
          <w:p w14:paraId="7326CA2C" w14:textId="77777777" w:rsidR="00EF3DFB" w:rsidRDefault="00D27C17">
            <w:pPr>
              <w:pStyle w:val="TableParagraph"/>
              <w:spacing w:before="18"/>
              <w:ind w:right="76"/>
              <w:jc w:val="right"/>
              <w:rPr>
                <w:sz w:val="18"/>
              </w:rPr>
            </w:pPr>
            <w:r>
              <w:rPr>
                <w:sz w:val="18"/>
              </w:rPr>
              <w:t>— %</w:t>
            </w:r>
          </w:p>
        </w:tc>
        <w:tc>
          <w:tcPr>
            <w:tcW w:w="975" w:type="dxa"/>
            <w:shd w:val="clear" w:color="auto" w:fill="CCEDFF"/>
          </w:tcPr>
          <w:p w14:paraId="7326CA2D" w14:textId="77777777" w:rsidR="00EF3DFB" w:rsidRDefault="00D27C17">
            <w:pPr>
              <w:pStyle w:val="TableParagraph"/>
              <w:spacing w:before="18"/>
              <w:ind w:right="76"/>
              <w:jc w:val="right"/>
              <w:rPr>
                <w:sz w:val="18"/>
              </w:rPr>
            </w:pPr>
            <w:r>
              <w:rPr>
                <w:sz w:val="18"/>
              </w:rPr>
              <w:t>6.48 %</w:t>
            </w:r>
          </w:p>
        </w:tc>
        <w:tc>
          <w:tcPr>
            <w:tcW w:w="911" w:type="dxa"/>
            <w:shd w:val="clear" w:color="auto" w:fill="CCEDFF"/>
          </w:tcPr>
          <w:p w14:paraId="7326CA2E" w14:textId="77777777" w:rsidR="00EF3DFB" w:rsidRDefault="00D27C17">
            <w:pPr>
              <w:pStyle w:val="TableParagraph"/>
              <w:spacing w:before="18"/>
              <w:ind w:right="12"/>
              <w:jc w:val="right"/>
              <w:rPr>
                <w:sz w:val="18"/>
              </w:rPr>
            </w:pPr>
            <w:r>
              <w:rPr>
                <w:sz w:val="18"/>
              </w:rPr>
              <w:t>6.74 %</w:t>
            </w:r>
          </w:p>
        </w:tc>
      </w:tr>
      <w:tr w:rsidR="00EF3DFB" w14:paraId="7326CA37" w14:textId="77777777">
        <w:trPr>
          <w:trHeight w:val="225"/>
        </w:trPr>
        <w:tc>
          <w:tcPr>
            <w:tcW w:w="4845" w:type="dxa"/>
          </w:tcPr>
          <w:p w14:paraId="7326CA30" w14:textId="77777777" w:rsidR="00EF3DFB" w:rsidRDefault="00D27C17">
            <w:pPr>
              <w:pStyle w:val="TableParagraph"/>
              <w:spacing w:before="9" w:line="196" w:lineRule="exact"/>
              <w:ind w:left="52"/>
              <w:rPr>
                <w:sz w:val="18"/>
              </w:rPr>
            </w:pPr>
            <w:r>
              <w:rPr>
                <w:sz w:val="18"/>
              </w:rPr>
              <w:t>Ultimate health care cost trend rates</w:t>
            </w:r>
          </w:p>
        </w:tc>
        <w:tc>
          <w:tcPr>
            <w:tcW w:w="964" w:type="dxa"/>
          </w:tcPr>
          <w:p w14:paraId="7326CA31" w14:textId="77777777" w:rsidR="00EF3DFB" w:rsidRDefault="00D27C17">
            <w:pPr>
              <w:pStyle w:val="TableParagraph"/>
              <w:spacing w:before="18" w:line="187" w:lineRule="exact"/>
              <w:ind w:right="76"/>
              <w:jc w:val="right"/>
              <w:rPr>
                <w:sz w:val="18"/>
              </w:rPr>
            </w:pPr>
            <w:r>
              <w:rPr>
                <w:sz w:val="18"/>
              </w:rPr>
              <w:t>— %</w:t>
            </w:r>
          </w:p>
        </w:tc>
        <w:tc>
          <w:tcPr>
            <w:tcW w:w="975" w:type="dxa"/>
          </w:tcPr>
          <w:p w14:paraId="7326CA32" w14:textId="77777777" w:rsidR="00EF3DFB" w:rsidRDefault="00D27C17">
            <w:pPr>
              <w:pStyle w:val="TableParagraph"/>
              <w:spacing w:before="18" w:line="187" w:lineRule="exact"/>
              <w:ind w:right="76"/>
              <w:jc w:val="right"/>
              <w:rPr>
                <w:sz w:val="18"/>
              </w:rPr>
            </w:pPr>
            <w:r>
              <w:rPr>
                <w:sz w:val="18"/>
              </w:rPr>
              <w:t>— %</w:t>
            </w:r>
          </w:p>
        </w:tc>
        <w:tc>
          <w:tcPr>
            <w:tcW w:w="975" w:type="dxa"/>
          </w:tcPr>
          <w:p w14:paraId="7326CA33" w14:textId="77777777" w:rsidR="00EF3DFB" w:rsidRDefault="00D27C17">
            <w:pPr>
              <w:pStyle w:val="TableParagraph"/>
              <w:spacing w:before="18" w:line="187" w:lineRule="exact"/>
              <w:ind w:right="76"/>
              <w:jc w:val="right"/>
              <w:rPr>
                <w:sz w:val="18"/>
              </w:rPr>
            </w:pPr>
            <w:r>
              <w:rPr>
                <w:sz w:val="18"/>
              </w:rPr>
              <w:t>— %</w:t>
            </w:r>
          </w:p>
        </w:tc>
        <w:tc>
          <w:tcPr>
            <w:tcW w:w="975" w:type="dxa"/>
          </w:tcPr>
          <w:p w14:paraId="7326CA34" w14:textId="77777777" w:rsidR="00EF3DFB" w:rsidRDefault="00D27C17">
            <w:pPr>
              <w:pStyle w:val="TableParagraph"/>
              <w:spacing w:before="18" w:line="187" w:lineRule="exact"/>
              <w:ind w:right="76"/>
              <w:jc w:val="right"/>
              <w:rPr>
                <w:sz w:val="18"/>
              </w:rPr>
            </w:pPr>
            <w:r>
              <w:rPr>
                <w:sz w:val="18"/>
              </w:rPr>
              <w:t>— %</w:t>
            </w:r>
          </w:p>
        </w:tc>
        <w:tc>
          <w:tcPr>
            <w:tcW w:w="975" w:type="dxa"/>
          </w:tcPr>
          <w:p w14:paraId="7326CA35" w14:textId="77777777" w:rsidR="00EF3DFB" w:rsidRDefault="00D27C17">
            <w:pPr>
              <w:pStyle w:val="TableParagraph"/>
              <w:spacing w:before="18" w:line="187" w:lineRule="exact"/>
              <w:ind w:right="76"/>
              <w:jc w:val="right"/>
              <w:rPr>
                <w:sz w:val="18"/>
              </w:rPr>
            </w:pPr>
            <w:r>
              <w:rPr>
                <w:sz w:val="18"/>
              </w:rPr>
              <w:t>4.50 %</w:t>
            </w:r>
          </w:p>
        </w:tc>
        <w:tc>
          <w:tcPr>
            <w:tcW w:w="911" w:type="dxa"/>
          </w:tcPr>
          <w:p w14:paraId="7326CA36" w14:textId="77777777" w:rsidR="00EF3DFB" w:rsidRDefault="00D27C17">
            <w:pPr>
              <w:pStyle w:val="TableParagraph"/>
              <w:spacing w:before="18" w:line="187" w:lineRule="exact"/>
              <w:ind w:right="12"/>
              <w:jc w:val="right"/>
              <w:rPr>
                <w:sz w:val="18"/>
              </w:rPr>
            </w:pPr>
            <w:r>
              <w:rPr>
                <w:sz w:val="18"/>
              </w:rPr>
              <w:t>4.50 %</w:t>
            </w:r>
          </w:p>
        </w:tc>
      </w:tr>
    </w:tbl>
    <w:p w14:paraId="7326CA38" w14:textId="77777777" w:rsidR="00EF3DFB" w:rsidRDefault="00EF3DFB">
      <w:pPr>
        <w:pStyle w:val="BodyText"/>
        <w:spacing w:before="3"/>
        <w:rPr>
          <w:b/>
          <w:sz w:val="10"/>
        </w:rPr>
      </w:pPr>
    </w:p>
    <w:p w14:paraId="7326CA39" w14:textId="77777777" w:rsidR="00EF3DFB" w:rsidRDefault="00D27C17">
      <w:pPr>
        <w:spacing w:before="93"/>
        <w:ind w:left="640"/>
        <w:rPr>
          <w:sz w:val="16"/>
        </w:rPr>
      </w:pPr>
      <w:r>
        <w:rPr>
          <w:sz w:val="16"/>
        </w:rPr>
        <w:t>(1) The accumulated benefit obligation for all defined benefit pension plans was $2.0 billion and $2.1 billion at December 31, 2020 and 2019, respectively.</w:t>
      </w:r>
    </w:p>
    <w:p w14:paraId="7326CA3A" w14:textId="77777777" w:rsidR="00EF3DFB" w:rsidRDefault="00EF3DFB">
      <w:pPr>
        <w:pStyle w:val="BodyText"/>
        <w:spacing w:before="8"/>
      </w:pPr>
    </w:p>
    <w:p w14:paraId="7326CA3B" w14:textId="77777777" w:rsidR="00EF3DFB" w:rsidRDefault="00D27C17">
      <w:pPr>
        <w:pStyle w:val="BodyText"/>
        <w:spacing w:before="1"/>
        <w:ind w:left="190"/>
      </w:pPr>
      <w:r>
        <w:t>There are no plan assets associated with the Company’s postretirement benefit plans.</w:t>
      </w:r>
    </w:p>
    <w:p w14:paraId="7326CA3C" w14:textId="77777777" w:rsidR="00EF3DFB" w:rsidRDefault="00EF3DFB">
      <w:pPr>
        <w:sectPr w:rsidR="00EF3DFB">
          <w:type w:val="continuous"/>
          <w:pgSz w:w="12240" w:h="15840"/>
          <w:pgMar w:top="760" w:right="640" w:bottom="280" w:left="620" w:header="720" w:footer="720" w:gutter="0"/>
          <w:cols w:space="720"/>
        </w:sectPr>
      </w:pPr>
    </w:p>
    <w:p w14:paraId="7326CA3D" w14:textId="77777777" w:rsidR="00EF3DFB" w:rsidRDefault="00D27C17">
      <w:pPr>
        <w:pStyle w:val="BodyText"/>
        <w:spacing w:before="72" w:line="249" w:lineRule="auto"/>
        <w:ind w:left="190" w:right="168"/>
        <w:jc w:val="both"/>
      </w:pPr>
      <w:r>
        <w:lastRenderedPageBreak/>
        <w:t>Th</w:t>
      </w:r>
      <w:r>
        <w:t>e current healthcare cost trend rate gradually declines through 2038 to the ultimate trend rate and remains level thereafter. A one percentage point change in assumed healthcare cost trend rate would not have a material effect on the postretirement benefit</w:t>
      </w:r>
      <w:r>
        <w:t xml:space="preserve"> obligation or the service and interest cost components of postretirement benefit costs.</w:t>
      </w:r>
    </w:p>
    <w:p w14:paraId="7326CA3E" w14:textId="77777777" w:rsidR="00EF3DFB" w:rsidRDefault="00EF3DFB">
      <w:pPr>
        <w:pStyle w:val="BodyText"/>
        <w:rPr>
          <w:sz w:val="21"/>
        </w:rPr>
      </w:pPr>
    </w:p>
    <w:p w14:paraId="7326CA3F" w14:textId="77777777" w:rsidR="00EF3DFB" w:rsidRDefault="00D27C17">
      <w:pPr>
        <w:pStyle w:val="BodyText"/>
        <w:spacing w:before="1" w:line="249" w:lineRule="auto"/>
        <w:ind w:left="190" w:right="167"/>
        <w:jc w:val="both"/>
      </w:pPr>
      <w:r>
        <w:t>Summary of under-funded or non-funded pension benefit plans with projected benefit obligations in excess of plan assets at December 31, (in millions):</w:t>
      </w:r>
    </w:p>
    <w:p w14:paraId="7326CA40" w14:textId="77777777" w:rsidR="00EF3DFB" w:rsidRDefault="00D27C17">
      <w:pPr>
        <w:spacing w:before="52" w:after="31"/>
        <w:ind w:right="772"/>
        <w:jc w:val="right"/>
        <w:rPr>
          <w:b/>
          <w:sz w:val="18"/>
        </w:rPr>
      </w:pPr>
      <w:r>
        <w:rPr>
          <w:b/>
          <w:sz w:val="18"/>
        </w:rPr>
        <w:t>Pension Benefit</w:t>
      </w:r>
      <w:r>
        <w:rPr>
          <w:b/>
          <w:sz w:val="18"/>
        </w:rPr>
        <w:t>s</w:t>
      </w:r>
    </w:p>
    <w:tbl>
      <w:tblPr>
        <w:tblW w:w="0" w:type="auto"/>
        <w:tblInd w:w="190" w:type="dxa"/>
        <w:tblLayout w:type="fixed"/>
        <w:tblCellMar>
          <w:left w:w="0" w:type="dxa"/>
          <w:right w:w="0" w:type="dxa"/>
        </w:tblCellMar>
        <w:tblLook w:val="01E0" w:firstRow="1" w:lastRow="1" w:firstColumn="1" w:lastColumn="1" w:noHBand="0" w:noVBand="0"/>
      </w:tblPr>
      <w:tblGrid>
        <w:gridCol w:w="8145"/>
        <w:gridCol w:w="1223"/>
        <w:gridCol w:w="1252"/>
      </w:tblGrid>
      <w:tr w:rsidR="00EF3DFB" w14:paraId="7326CA44" w14:textId="77777777">
        <w:trPr>
          <w:trHeight w:val="220"/>
        </w:trPr>
        <w:tc>
          <w:tcPr>
            <w:tcW w:w="8145" w:type="dxa"/>
          </w:tcPr>
          <w:p w14:paraId="7326CA41" w14:textId="77777777" w:rsidR="00EF3DFB" w:rsidRDefault="00EF3DFB">
            <w:pPr>
              <w:pStyle w:val="TableParagraph"/>
              <w:rPr>
                <w:sz w:val="14"/>
              </w:rPr>
            </w:pPr>
          </w:p>
        </w:tc>
        <w:tc>
          <w:tcPr>
            <w:tcW w:w="1223" w:type="dxa"/>
            <w:tcBorders>
              <w:top w:val="single" w:sz="8" w:space="0" w:color="000000"/>
              <w:bottom w:val="single" w:sz="8" w:space="0" w:color="000000"/>
            </w:tcBorders>
          </w:tcPr>
          <w:p w14:paraId="7326CA42" w14:textId="77777777" w:rsidR="00EF3DFB" w:rsidRDefault="00D27C17">
            <w:pPr>
              <w:pStyle w:val="TableParagraph"/>
              <w:spacing w:line="200" w:lineRule="exact"/>
              <w:ind w:left="400" w:right="422"/>
              <w:jc w:val="center"/>
              <w:rPr>
                <w:b/>
                <w:sz w:val="18"/>
              </w:rPr>
            </w:pPr>
            <w:r>
              <w:rPr>
                <w:b/>
                <w:sz w:val="18"/>
              </w:rPr>
              <w:t>2020</w:t>
            </w:r>
          </w:p>
        </w:tc>
        <w:tc>
          <w:tcPr>
            <w:tcW w:w="1252" w:type="dxa"/>
            <w:tcBorders>
              <w:top w:val="single" w:sz="8" w:space="0" w:color="000000"/>
              <w:bottom w:val="single" w:sz="8" w:space="0" w:color="000000"/>
            </w:tcBorders>
          </w:tcPr>
          <w:p w14:paraId="7326CA43" w14:textId="77777777" w:rsidR="00EF3DFB" w:rsidRDefault="00D27C17">
            <w:pPr>
              <w:pStyle w:val="TableParagraph"/>
              <w:spacing w:line="200" w:lineRule="exact"/>
              <w:ind w:left="452" w:right="400"/>
              <w:jc w:val="center"/>
              <w:rPr>
                <w:b/>
                <w:sz w:val="18"/>
              </w:rPr>
            </w:pPr>
            <w:r>
              <w:rPr>
                <w:b/>
                <w:sz w:val="18"/>
              </w:rPr>
              <w:t>2019</w:t>
            </w:r>
          </w:p>
        </w:tc>
      </w:tr>
      <w:tr w:rsidR="00EF3DFB" w14:paraId="7326CA48" w14:textId="77777777">
        <w:trPr>
          <w:trHeight w:val="275"/>
        </w:trPr>
        <w:tc>
          <w:tcPr>
            <w:tcW w:w="8145" w:type="dxa"/>
            <w:shd w:val="clear" w:color="auto" w:fill="CCEDFF"/>
          </w:tcPr>
          <w:p w14:paraId="7326CA45" w14:textId="77777777" w:rsidR="00EF3DFB" w:rsidRDefault="00D27C17">
            <w:pPr>
              <w:pStyle w:val="TableParagraph"/>
              <w:spacing w:line="224" w:lineRule="exact"/>
              <w:ind w:left="52"/>
              <w:rPr>
                <w:sz w:val="20"/>
              </w:rPr>
            </w:pPr>
            <w:r>
              <w:rPr>
                <w:sz w:val="20"/>
              </w:rPr>
              <w:t>Projected benefit obligation</w:t>
            </w:r>
          </w:p>
        </w:tc>
        <w:tc>
          <w:tcPr>
            <w:tcW w:w="1223" w:type="dxa"/>
            <w:tcBorders>
              <w:top w:val="single" w:sz="8" w:space="0" w:color="000000"/>
            </w:tcBorders>
            <w:shd w:val="clear" w:color="auto" w:fill="CCEDFF"/>
          </w:tcPr>
          <w:p w14:paraId="7326CA46" w14:textId="77777777" w:rsidR="00EF3DFB" w:rsidRDefault="00D27C17">
            <w:pPr>
              <w:pStyle w:val="TableParagraph"/>
              <w:tabs>
                <w:tab w:val="left" w:pos="615"/>
              </w:tabs>
              <w:spacing w:before="15"/>
              <w:ind w:right="102"/>
              <w:jc w:val="right"/>
              <w:rPr>
                <w:sz w:val="20"/>
              </w:rPr>
            </w:pPr>
            <w:r>
              <w:rPr>
                <w:sz w:val="20"/>
              </w:rPr>
              <w:t>$</w:t>
            </w:r>
            <w:r>
              <w:rPr>
                <w:sz w:val="20"/>
              </w:rPr>
              <w:tab/>
              <w:t>1,721</w:t>
            </w:r>
          </w:p>
        </w:tc>
        <w:tc>
          <w:tcPr>
            <w:tcW w:w="1252" w:type="dxa"/>
            <w:tcBorders>
              <w:top w:val="single" w:sz="8" w:space="0" w:color="000000"/>
            </w:tcBorders>
            <w:shd w:val="clear" w:color="auto" w:fill="CCEDFF"/>
          </w:tcPr>
          <w:p w14:paraId="7326CA47" w14:textId="77777777" w:rsidR="00EF3DFB" w:rsidRDefault="00D27C17">
            <w:pPr>
              <w:pStyle w:val="TableParagraph"/>
              <w:tabs>
                <w:tab w:val="left" w:pos="615"/>
              </w:tabs>
              <w:spacing w:before="15"/>
              <w:ind w:right="79"/>
              <w:jc w:val="right"/>
              <w:rPr>
                <w:sz w:val="20"/>
              </w:rPr>
            </w:pPr>
            <w:r>
              <w:rPr>
                <w:sz w:val="20"/>
              </w:rPr>
              <w:t>$</w:t>
            </w:r>
            <w:r>
              <w:rPr>
                <w:sz w:val="20"/>
              </w:rPr>
              <w:tab/>
              <w:t>1,792</w:t>
            </w:r>
          </w:p>
        </w:tc>
      </w:tr>
      <w:tr w:rsidR="00EF3DFB" w14:paraId="7326CA4C" w14:textId="77777777">
        <w:trPr>
          <w:trHeight w:val="255"/>
        </w:trPr>
        <w:tc>
          <w:tcPr>
            <w:tcW w:w="8145" w:type="dxa"/>
          </w:tcPr>
          <w:p w14:paraId="7326CA49" w14:textId="77777777" w:rsidR="00EF3DFB" w:rsidRDefault="00D27C17">
            <w:pPr>
              <w:pStyle w:val="TableParagraph"/>
              <w:spacing w:before="4"/>
              <w:ind w:left="52"/>
              <w:rPr>
                <w:sz w:val="20"/>
              </w:rPr>
            </w:pPr>
            <w:r>
              <w:rPr>
                <w:sz w:val="20"/>
              </w:rPr>
              <w:t>Fair value of plan assets</w:t>
            </w:r>
          </w:p>
        </w:tc>
        <w:tc>
          <w:tcPr>
            <w:tcW w:w="1223" w:type="dxa"/>
          </w:tcPr>
          <w:p w14:paraId="7326CA4A" w14:textId="77777777" w:rsidR="00EF3DFB" w:rsidRDefault="00D27C17">
            <w:pPr>
              <w:pStyle w:val="TableParagraph"/>
              <w:spacing w:before="25" w:line="210" w:lineRule="exact"/>
              <w:ind w:right="102"/>
              <w:jc w:val="right"/>
              <w:rPr>
                <w:sz w:val="20"/>
              </w:rPr>
            </w:pPr>
            <w:r>
              <w:rPr>
                <w:sz w:val="20"/>
              </w:rPr>
              <w:t>1,380</w:t>
            </w:r>
          </w:p>
        </w:tc>
        <w:tc>
          <w:tcPr>
            <w:tcW w:w="1252" w:type="dxa"/>
          </w:tcPr>
          <w:p w14:paraId="7326CA4B" w14:textId="77777777" w:rsidR="00EF3DFB" w:rsidRDefault="00D27C17">
            <w:pPr>
              <w:pStyle w:val="TableParagraph"/>
              <w:spacing w:before="25" w:line="210" w:lineRule="exact"/>
              <w:ind w:right="79"/>
              <w:jc w:val="right"/>
              <w:rPr>
                <w:sz w:val="20"/>
              </w:rPr>
            </w:pPr>
            <w:r>
              <w:rPr>
                <w:sz w:val="20"/>
              </w:rPr>
              <w:t>1,435</w:t>
            </w:r>
          </w:p>
        </w:tc>
      </w:tr>
    </w:tbl>
    <w:p w14:paraId="7326CA4D" w14:textId="77777777" w:rsidR="00EF3DFB" w:rsidRDefault="00EF3DFB">
      <w:pPr>
        <w:pStyle w:val="BodyText"/>
        <w:rPr>
          <w:b/>
        </w:rPr>
      </w:pPr>
    </w:p>
    <w:p w14:paraId="7326CA4E" w14:textId="77777777" w:rsidR="00EF3DFB" w:rsidRDefault="00EF3DFB">
      <w:pPr>
        <w:pStyle w:val="BodyText"/>
        <w:spacing w:before="4"/>
        <w:rPr>
          <w:b/>
          <w:sz w:val="18"/>
        </w:rPr>
      </w:pPr>
    </w:p>
    <w:p w14:paraId="7326CA4F" w14:textId="77777777" w:rsidR="00EF3DFB" w:rsidRDefault="00D27C17">
      <w:pPr>
        <w:pStyle w:val="BodyText"/>
        <w:ind w:left="190"/>
      </w:pPr>
      <w:r>
        <w:t>Summary of pension plans with accumulated obligations in excess of plan assets at December 31, (in millions):</w:t>
      </w:r>
    </w:p>
    <w:p w14:paraId="7326CA50" w14:textId="77777777" w:rsidR="00EF3DFB" w:rsidRDefault="00D27C17">
      <w:pPr>
        <w:spacing w:before="62" w:after="30"/>
        <w:ind w:right="772"/>
        <w:jc w:val="right"/>
        <w:rPr>
          <w:b/>
          <w:sz w:val="18"/>
        </w:rPr>
      </w:pPr>
      <w:r>
        <w:rPr>
          <w:b/>
          <w:sz w:val="18"/>
        </w:rPr>
        <w:t>Pension Benefits</w:t>
      </w:r>
    </w:p>
    <w:tbl>
      <w:tblPr>
        <w:tblW w:w="0" w:type="auto"/>
        <w:tblInd w:w="190" w:type="dxa"/>
        <w:tblLayout w:type="fixed"/>
        <w:tblCellMar>
          <w:left w:w="0" w:type="dxa"/>
          <w:right w:w="0" w:type="dxa"/>
        </w:tblCellMar>
        <w:tblLook w:val="01E0" w:firstRow="1" w:lastRow="1" w:firstColumn="1" w:lastColumn="1" w:noHBand="0" w:noVBand="0"/>
      </w:tblPr>
      <w:tblGrid>
        <w:gridCol w:w="8145"/>
        <w:gridCol w:w="1223"/>
        <w:gridCol w:w="1252"/>
      </w:tblGrid>
      <w:tr w:rsidR="00EF3DFB" w14:paraId="7326CA54" w14:textId="77777777">
        <w:trPr>
          <w:trHeight w:val="220"/>
        </w:trPr>
        <w:tc>
          <w:tcPr>
            <w:tcW w:w="8145" w:type="dxa"/>
          </w:tcPr>
          <w:p w14:paraId="7326CA51" w14:textId="77777777" w:rsidR="00EF3DFB" w:rsidRDefault="00EF3DFB">
            <w:pPr>
              <w:pStyle w:val="TableParagraph"/>
              <w:rPr>
                <w:sz w:val="14"/>
              </w:rPr>
            </w:pPr>
          </w:p>
        </w:tc>
        <w:tc>
          <w:tcPr>
            <w:tcW w:w="1223" w:type="dxa"/>
            <w:tcBorders>
              <w:top w:val="single" w:sz="8" w:space="0" w:color="000000"/>
              <w:bottom w:val="single" w:sz="8" w:space="0" w:color="000000"/>
            </w:tcBorders>
          </w:tcPr>
          <w:p w14:paraId="7326CA52" w14:textId="77777777" w:rsidR="00EF3DFB" w:rsidRDefault="00D27C17">
            <w:pPr>
              <w:pStyle w:val="TableParagraph"/>
              <w:spacing w:line="200" w:lineRule="exact"/>
              <w:ind w:left="400" w:right="422"/>
              <w:jc w:val="center"/>
              <w:rPr>
                <w:b/>
                <w:sz w:val="18"/>
              </w:rPr>
            </w:pPr>
            <w:r>
              <w:rPr>
                <w:b/>
                <w:sz w:val="18"/>
              </w:rPr>
              <w:t>2020</w:t>
            </w:r>
          </w:p>
        </w:tc>
        <w:tc>
          <w:tcPr>
            <w:tcW w:w="1252" w:type="dxa"/>
            <w:tcBorders>
              <w:top w:val="single" w:sz="8" w:space="0" w:color="000000"/>
              <w:bottom w:val="single" w:sz="8" w:space="0" w:color="000000"/>
            </w:tcBorders>
          </w:tcPr>
          <w:p w14:paraId="7326CA53" w14:textId="77777777" w:rsidR="00EF3DFB" w:rsidRDefault="00D27C17">
            <w:pPr>
              <w:pStyle w:val="TableParagraph"/>
              <w:spacing w:line="200" w:lineRule="exact"/>
              <w:ind w:left="452" w:right="400"/>
              <w:jc w:val="center"/>
              <w:rPr>
                <w:b/>
                <w:sz w:val="18"/>
              </w:rPr>
            </w:pPr>
            <w:r>
              <w:rPr>
                <w:b/>
                <w:sz w:val="18"/>
              </w:rPr>
              <w:t>2019</w:t>
            </w:r>
          </w:p>
        </w:tc>
      </w:tr>
      <w:tr w:rsidR="00EF3DFB" w14:paraId="7326CA58" w14:textId="77777777">
        <w:trPr>
          <w:trHeight w:val="275"/>
        </w:trPr>
        <w:tc>
          <w:tcPr>
            <w:tcW w:w="8145" w:type="dxa"/>
            <w:shd w:val="clear" w:color="auto" w:fill="CCEDFF"/>
          </w:tcPr>
          <w:p w14:paraId="7326CA55" w14:textId="77777777" w:rsidR="00EF3DFB" w:rsidRDefault="00D27C17">
            <w:pPr>
              <w:pStyle w:val="TableParagraph"/>
              <w:spacing w:line="224" w:lineRule="exact"/>
              <w:ind w:left="52"/>
              <w:rPr>
                <w:sz w:val="20"/>
              </w:rPr>
            </w:pPr>
            <w:r>
              <w:rPr>
                <w:sz w:val="20"/>
              </w:rPr>
              <w:t>Accumulated benefit obligation</w:t>
            </w:r>
          </w:p>
        </w:tc>
        <w:tc>
          <w:tcPr>
            <w:tcW w:w="1223" w:type="dxa"/>
            <w:tcBorders>
              <w:top w:val="single" w:sz="8" w:space="0" w:color="000000"/>
            </w:tcBorders>
            <w:shd w:val="clear" w:color="auto" w:fill="CCEDFF"/>
          </w:tcPr>
          <w:p w14:paraId="7326CA56" w14:textId="77777777" w:rsidR="00EF3DFB" w:rsidRDefault="00D27C17">
            <w:pPr>
              <w:pStyle w:val="TableParagraph"/>
              <w:tabs>
                <w:tab w:val="left" w:pos="615"/>
              </w:tabs>
              <w:spacing w:before="15"/>
              <w:ind w:right="102"/>
              <w:jc w:val="right"/>
              <w:rPr>
                <w:sz w:val="20"/>
              </w:rPr>
            </w:pPr>
            <w:r>
              <w:rPr>
                <w:sz w:val="20"/>
              </w:rPr>
              <w:t>$</w:t>
            </w:r>
            <w:r>
              <w:rPr>
                <w:sz w:val="20"/>
              </w:rPr>
              <w:tab/>
              <w:t>1,711</w:t>
            </w:r>
          </w:p>
        </w:tc>
        <w:tc>
          <w:tcPr>
            <w:tcW w:w="1252" w:type="dxa"/>
            <w:tcBorders>
              <w:top w:val="single" w:sz="8" w:space="0" w:color="000000"/>
            </w:tcBorders>
            <w:shd w:val="clear" w:color="auto" w:fill="CCEDFF"/>
          </w:tcPr>
          <w:p w14:paraId="7326CA57" w14:textId="77777777" w:rsidR="00EF3DFB" w:rsidRDefault="00D27C17">
            <w:pPr>
              <w:pStyle w:val="TableParagraph"/>
              <w:tabs>
                <w:tab w:val="left" w:pos="615"/>
              </w:tabs>
              <w:spacing w:before="15"/>
              <w:ind w:right="79"/>
              <w:jc w:val="right"/>
              <w:rPr>
                <w:sz w:val="20"/>
              </w:rPr>
            </w:pPr>
            <w:r>
              <w:rPr>
                <w:sz w:val="20"/>
              </w:rPr>
              <w:t>$</w:t>
            </w:r>
            <w:r>
              <w:rPr>
                <w:sz w:val="20"/>
              </w:rPr>
              <w:tab/>
              <w:t>1,784</w:t>
            </w:r>
          </w:p>
        </w:tc>
      </w:tr>
      <w:tr w:rsidR="00EF3DFB" w14:paraId="7326CA5E" w14:textId="77777777">
        <w:trPr>
          <w:trHeight w:val="803"/>
        </w:trPr>
        <w:tc>
          <w:tcPr>
            <w:tcW w:w="8145" w:type="dxa"/>
          </w:tcPr>
          <w:p w14:paraId="7326CA59" w14:textId="77777777" w:rsidR="00EF3DFB" w:rsidRDefault="00D27C17">
            <w:pPr>
              <w:pStyle w:val="TableParagraph"/>
              <w:spacing w:before="4"/>
              <w:ind w:left="52"/>
              <w:rPr>
                <w:sz w:val="20"/>
              </w:rPr>
            </w:pPr>
            <w:r>
              <w:rPr>
                <w:sz w:val="20"/>
              </w:rPr>
              <w:t>Fair value of plan assets</w:t>
            </w:r>
          </w:p>
          <w:p w14:paraId="7326CA5A" w14:textId="77777777" w:rsidR="00EF3DFB" w:rsidRDefault="00EF3DFB">
            <w:pPr>
              <w:pStyle w:val="TableParagraph"/>
              <w:spacing w:before="6"/>
              <w:rPr>
                <w:b/>
                <w:sz w:val="29"/>
              </w:rPr>
            </w:pPr>
          </w:p>
          <w:p w14:paraId="7326CA5B" w14:textId="77777777" w:rsidR="00EF3DFB" w:rsidRDefault="00D27C17">
            <w:pPr>
              <w:pStyle w:val="TableParagraph"/>
              <w:spacing w:line="210" w:lineRule="exact"/>
              <w:rPr>
                <w:b/>
                <w:sz w:val="20"/>
              </w:rPr>
            </w:pPr>
            <w:r>
              <w:rPr>
                <w:b/>
                <w:sz w:val="20"/>
              </w:rPr>
              <w:t>Pension and Postretirement Benefit Expense</w:t>
            </w:r>
          </w:p>
        </w:tc>
        <w:tc>
          <w:tcPr>
            <w:tcW w:w="1223" w:type="dxa"/>
          </w:tcPr>
          <w:p w14:paraId="7326CA5C" w14:textId="77777777" w:rsidR="00EF3DFB" w:rsidRDefault="00D27C17">
            <w:pPr>
              <w:pStyle w:val="TableParagraph"/>
              <w:spacing w:before="25"/>
              <w:ind w:right="102"/>
              <w:jc w:val="right"/>
              <w:rPr>
                <w:sz w:val="20"/>
              </w:rPr>
            </w:pPr>
            <w:r>
              <w:rPr>
                <w:sz w:val="20"/>
              </w:rPr>
              <w:t>1,380</w:t>
            </w:r>
          </w:p>
        </w:tc>
        <w:tc>
          <w:tcPr>
            <w:tcW w:w="1252" w:type="dxa"/>
          </w:tcPr>
          <w:p w14:paraId="7326CA5D" w14:textId="77777777" w:rsidR="00EF3DFB" w:rsidRDefault="00D27C17">
            <w:pPr>
              <w:pStyle w:val="TableParagraph"/>
              <w:spacing w:before="25"/>
              <w:ind w:right="79"/>
              <w:jc w:val="right"/>
              <w:rPr>
                <w:sz w:val="20"/>
              </w:rPr>
            </w:pPr>
            <w:r>
              <w:rPr>
                <w:sz w:val="20"/>
              </w:rPr>
              <w:t>1,435</w:t>
            </w:r>
          </w:p>
        </w:tc>
      </w:tr>
    </w:tbl>
    <w:p w14:paraId="7326CA5F" w14:textId="77777777" w:rsidR="00EF3DFB" w:rsidRDefault="00EF3DFB">
      <w:pPr>
        <w:pStyle w:val="BodyText"/>
        <w:rPr>
          <w:b/>
          <w:sz w:val="22"/>
        </w:rPr>
      </w:pPr>
    </w:p>
    <w:p w14:paraId="7326CA60" w14:textId="77777777" w:rsidR="00EF3DFB" w:rsidRDefault="00D27C17">
      <w:pPr>
        <w:pStyle w:val="BodyText"/>
        <w:ind w:left="190"/>
      </w:pPr>
      <w:r>
        <w:t>The components of pension and postretirement benefit expense for the periods indicated are as follows (dollars in millions):</w:t>
      </w:r>
    </w:p>
    <w:p w14:paraId="7326CA61" w14:textId="77777777" w:rsidR="00EF3DFB" w:rsidRDefault="00D27C17">
      <w:pPr>
        <w:spacing w:before="176" w:after="30"/>
        <w:ind w:left="7290"/>
        <w:rPr>
          <w:b/>
          <w:sz w:val="18"/>
        </w:rPr>
      </w:pPr>
      <w:r>
        <w:rPr>
          <w:b/>
          <w:sz w:val="18"/>
        </w:rPr>
        <w:t>Pension Benefits</w:t>
      </w:r>
    </w:p>
    <w:tbl>
      <w:tblPr>
        <w:tblW w:w="0" w:type="auto"/>
        <w:tblInd w:w="190" w:type="dxa"/>
        <w:tblLayout w:type="fixed"/>
        <w:tblCellMar>
          <w:left w:w="0" w:type="dxa"/>
          <w:right w:w="0" w:type="dxa"/>
        </w:tblCellMar>
        <w:tblLook w:val="01E0" w:firstRow="1" w:lastRow="1" w:firstColumn="1" w:lastColumn="1" w:noHBand="0" w:noVBand="0"/>
      </w:tblPr>
      <w:tblGrid>
        <w:gridCol w:w="4845"/>
        <w:gridCol w:w="906"/>
        <w:gridCol w:w="1063"/>
        <w:gridCol w:w="935"/>
        <w:gridCol w:w="925"/>
        <w:gridCol w:w="1060"/>
        <w:gridCol w:w="880"/>
      </w:tblGrid>
      <w:tr w:rsidR="00EF3DFB" w14:paraId="7326CA69" w14:textId="77777777">
        <w:trPr>
          <w:trHeight w:val="235"/>
        </w:trPr>
        <w:tc>
          <w:tcPr>
            <w:tcW w:w="4845" w:type="dxa"/>
            <w:vMerge w:val="restart"/>
          </w:tcPr>
          <w:p w14:paraId="7326CA62" w14:textId="77777777" w:rsidR="00EF3DFB" w:rsidRDefault="00EF3DFB">
            <w:pPr>
              <w:pStyle w:val="TableParagraph"/>
              <w:rPr>
                <w:sz w:val="18"/>
              </w:rPr>
            </w:pPr>
          </w:p>
        </w:tc>
        <w:tc>
          <w:tcPr>
            <w:tcW w:w="906" w:type="dxa"/>
            <w:tcBorders>
              <w:top w:val="single" w:sz="8" w:space="0" w:color="000000"/>
              <w:bottom w:val="single" w:sz="8" w:space="0" w:color="000000"/>
            </w:tcBorders>
          </w:tcPr>
          <w:p w14:paraId="7326CA63" w14:textId="77777777" w:rsidR="00EF3DFB" w:rsidRDefault="00EF3DFB">
            <w:pPr>
              <w:pStyle w:val="TableParagraph"/>
              <w:rPr>
                <w:sz w:val="16"/>
              </w:rPr>
            </w:pPr>
          </w:p>
        </w:tc>
        <w:tc>
          <w:tcPr>
            <w:tcW w:w="1063" w:type="dxa"/>
            <w:tcBorders>
              <w:top w:val="single" w:sz="8" w:space="0" w:color="000000"/>
              <w:bottom w:val="single" w:sz="8" w:space="0" w:color="000000"/>
            </w:tcBorders>
          </w:tcPr>
          <w:p w14:paraId="7326CA64" w14:textId="77777777" w:rsidR="00EF3DFB" w:rsidRDefault="00D27C17">
            <w:pPr>
              <w:pStyle w:val="TableParagraph"/>
              <w:spacing w:before="8"/>
              <w:ind w:right="29"/>
              <w:jc w:val="right"/>
              <w:rPr>
                <w:b/>
                <w:sz w:val="18"/>
              </w:rPr>
            </w:pPr>
            <w:r>
              <w:rPr>
                <w:b/>
                <w:sz w:val="18"/>
              </w:rPr>
              <w:t>United States</w:t>
            </w:r>
          </w:p>
        </w:tc>
        <w:tc>
          <w:tcPr>
            <w:tcW w:w="935" w:type="dxa"/>
            <w:tcBorders>
              <w:top w:val="single" w:sz="8" w:space="0" w:color="000000"/>
              <w:bottom w:val="single" w:sz="8" w:space="0" w:color="000000"/>
            </w:tcBorders>
          </w:tcPr>
          <w:p w14:paraId="7326CA65" w14:textId="77777777" w:rsidR="00EF3DFB" w:rsidRDefault="00EF3DFB">
            <w:pPr>
              <w:pStyle w:val="TableParagraph"/>
              <w:rPr>
                <w:sz w:val="16"/>
              </w:rPr>
            </w:pPr>
          </w:p>
        </w:tc>
        <w:tc>
          <w:tcPr>
            <w:tcW w:w="925" w:type="dxa"/>
            <w:tcBorders>
              <w:top w:val="single" w:sz="8" w:space="0" w:color="000000"/>
              <w:bottom w:val="single" w:sz="8" w:space="0" w:color="000000"/>
            </w:tcBorders>
          </w:tcPr>
          <w:p w14:paraId="7326CA66" w14:textId="77777777" w:rsidR="00EF3DFB" w:rsidRDefault="00EF3DFB">
            <w:pPr>
              <w:pStyle w:val="TableParagraph"/>
              <w:rPr>
                <w:sz w:val="16"/>
              </w:rPr>
            </w:pPr>
          </w:p>
        </w:tc>
        <w:tc>
          <w:tcPr>
            <w:tcW w:w="1060" w:type="dxa"/>
            <w:tcBorders>
              <w:top w:val="single" w:sz="8" w:space="0" w:color="000000"/>
              <w:bottom w:val="single" w:sz="8" w:space="0" w:color="000000"/>
            </w:tcBorders>
          </w:tcPr>
          <w:p w14:paraId="7326CA67" w14:textId="77777777" w:rsidR="00EF3DFB" w:rsidRDefault="00D27C17">
            <w:pPr>
              <w:pStyle w:val="TableParagraph"/>
              <w:spacing w:before="8"/>
              <w:ind w:left="11"/>
              <w:rPr>
                <w:b/>
                <w:sz w:val="18"/>
              </w:rPr>
            </w:pPr>
            <w:r>
              <w:rPr>
                <w:b/>
                <w:sz w:val="18"/>
              </w:rPr>
              <w:t>International</w:t>
            </w:r>
          </w:p>
        </w:tc>
        <w:tc>
          <w:tcPr>
            <w:tcW w:w="880" w:type="dxa"/>
            <w:tcBorders>
              <w:top w:val="single" w:sz="8" w:space="0" w:color="000000"/>
              <w:bottom w:val="single" w:sz="8" w:space="0" w:color="000000"/>
            </w:tcBorders>
          </w:tcPr>
          <w:p w14:paraId="7326CA68" w14:textId="77777777" w:rsidR="00EF3DFB" w:rsidRDefault="00EF3DFB">
            <w:pPr>
              <w:pStyle w:val="TableParagraph"/>
              <w:rPr>
                <w:sz w:val="16"/>
              </w:rPr>
            </w:pPr>
          </w:p>
        </w:tc>
      </w:tr>
      <w:tr w:rsidR="00EF3DFB" w14:paraId="7326CA71" w14:textId="77777777">
        <w:trPr>
          <w:trHeight w:val="220"/>
        </w:trPr>
        <w:tc>
          <w:tcPr>
            <w:tcW w:w="4845" w:type="dxa"/>
            <w:vMerge/>
            <w:tcBorders>
              <w:top w:val="nil"/>
            </w:tcBorders>
          </w:tcPr>
          <w:p w14:paraId="7326CA6A" w14:textId="77777777" w:rsidR="00EF3DFB" w:rsidRDefault="00EF3DFB">
            <w:pPr>
              <w:rPr>
                <w:sz w:val="2"/>
                <w:szCs w:val="2"/>
              </w:rPr>
            </w:pPr>
          </w:p>
        </w:tc>
        <w:tc>
          <w:tcPr>
            <w:tcW w:w="906" w:type="dxa"/>
            <w:tcBorders>
              <w:top w:val="single" w:sz="8" w:space="0" w:color="000000"/>
              <w:bottom w:val="single" w:sz="8" w:space="0" w:color="000000"/>
            </w:tcBorders>
          </w:tcPr>
          <w:p w14:paraId="7326CA6B" w14:textId="77777777" w:rsidR="00EF3DFB" w:rsidRDefault="00D27C17">
            <w:pPr>
              <w:pStyle w:val="TableParagraph"/>
              <w:spacing w:line="200" w:lineRule="exact"/>
              <w:ind w:left="270"/>
              <w:rPr>
                <w:b/>
                <w:sz w:val="18"/>
              </w:rPr>
            </w:pPr>
            <w:r>
              <w:rPr>
                <w:b/>
                <w:sz w:val="18"/>
              </w:rPr>
              <w:t>2020</w:t>
            </w:r>
          </w:p>
        </w:tc>
        <w:tc>
          <w:tcPr>
            <w:tcW w:w="1063" w:type="dxa"/>
            <w:tcBorders>
              <w:top w:val="single" w:sz="8" w:space="0" w:color="000000"/>
              <w:bottom w:val="single" w:sz="8" w:space="0" w:color="000000"/>
            </w:tcBorders>
          </w:tcPr>
          <w:p w14:paraId="7326CA6C" w14:textId="77777777" w:rsidR="00EF3DFB" w:rsidRDefault="00D27C17">
            <w:pPr>
              <w:pStyle w:val="TableParagraph"/>
              <w:spacing w:line="200" w:lineRule="exact"/>
              <w:ind w:left="338"/>
              <w:rPr>
                <w:b/>
                <w:sz w:val="18"/>
              </w:rPr>
            </w:pPr>
            <w:r>
              <w:rPr>
                <w:b/>
                <w:sz w:val="18"/>
              </w:rPr>
              <w:t>2019</w:t>
            </w:r>
          </w:p>
        </w:tc>
        <w:tc>
          <w:tcPr>
            <w:tcW w:w="935" w:type="dxa"/>
            <w:tcBorders>
              <w:top w:val="single" w:sz="8" w:space="0" w:color="000000"/>
              <w:bottom w:val="single" w:sz="8" w:space="0" w:color="000000"/>
            </w:tcBorders>
          </w:tcPr>
          <w:p w14:paraId="7326CA6D" w14:textId="77777777" w:rsidR="00EF3DFB" w:rsidRDefault="00D27C17">
            <w:pPr>
              <w:pStyle w:val="TableParagraph"/>
              <w:spacing w:line="200" w:lineRule="exact"/>
              <w:ind w:left="251"/>
              <w:rPr>
                <w:b/>
                <w:sz w:val="18"/>
              </w:rPr>
            </w:pPr>
            <w:r>
              <w:rPr>
                <w:b/>
                <w:sz w:val="18"/>
              </w:rPr>
              <w:t>2018</w:t>
            </w:r>
          </w:p>
        </w:tc>
        <w:tc>
          <w:tcPr>
            <w:tcW w:w="925" w:type="dxa"/>
            <w:tcBorders>
              <w:top w:val="single" w:sz="8" w:space="0" w:color="000000"/>
              <w:bottom w:val="single" w:sz="8" w:space="0" w:color="000000"/>
            </w:tcBorders>
          </w:tcPr>
          <w:p w14:paraId="7326CA6E" w14:textId="77777777" w:rsidR="00EF3DFB" w:rsidRDefault="00D27C17">
            <w:pPr>
              <w:pStyle w:val="TableParagraph"/>
              <w:spacing w:line="200" w:lineRule="exact"/>
              <w:ind w:left="291"/>
              <w:rPr>
                <w:b/>
                <w:sz w:val="18"/>
              </w:rPr>
            </w:pPr>
            <w:r>
              <w:rPr>
                <w:b/>
                <w:sz w:val="18"/>
              </w:rPr>
              <w:t>2020</w:t>
            </w:r>
          </w:p>
        </w:tc>
        <w:tc>
          <w:tcPr>
            <w:tcW w:w="1060" w:type="dxa"/>
            <w:tcBorders>
              <w:top w:val="single" w:sz="8" w:space="0" w:color="000000"/>
              <w:bottom w:val="single" w:sz="8" w:space="0" w:color="000000"/>
            </w:tcBorders>
          </w:tcPr>
          <w:p w14:paraId="7326CA6F" w14:textId="77777777" w:rsidR="00EF3DFB" w:rsidRDefault="00D27C17">
            <w:pPr>
              <w:pStyle w:val="TableParagraph"/>
              <w:spacing w:line="200" w:lineRule="exact"/>
              <w:ind w:left="341"/>
              <w:rPr>
                <w:b/>
                <w:sz w:val="18"/>
              </w:rPr>
            </w:pPr>
            <w:r>
              <w:rPr>
                <w:b/>
                <w:sz w:val="18"/>
              </w:rPr>
              <w:t>2019</w:t>
            </w:r>
          </w:p>
        </w:tc>
        <w:tc>
          <w:tcPr>
            <w:tcW w:w="880" w:type="dxa"/>
            <w:tcBorders>
              <w:top w:val="single" w:sz="8" w:space="0" w:color="000000"/>
              <w:bottom w:val="single" w:sz="8" w:space="0" w:color="000000"/>
            </w:tcBorders>
          </w:tcPr>
          <w:p w14:paraId="7326CA70" w14:textId="77777777" w:rsidR="00EF3DFB" w:rsidRDefault="00D27C17">
            <w:pPr>
              <w:pStyle w:val="TableParagraph"/>
              <w:spacing w:line="200" w:lineRule="exact"/>
              <w:ind w:left="255"/>
              <w:rPr>
                <w:b/>
                <w:sz w:val="18"/>
              </w:rPr>
            </w:pPr>
            <w:r>
              <w:rPr>
                <w:b/>
                <w:sz w:val="18"/>
              </w:rPr>
              <w:t>2018</w:t>
            </w:r>
          </w:p>
        </w:tc>
      </w:tr>
      <w:tr w:rsidR="00EF3DFB" w14:paraId="7326CA79" w14:textId="77777777">
        <w:trPr>
          <w:trHeight w:val="245"/>
        </w:trPr>
        <w:tc>
          <w:tcPr>
            <w:tcW w:w="4845" w:type="dxa"/>
            <w:shd w:val="clear" w:color="auto" w:fill="CCEDFF"/>
          </w:tcPr>
          <w:p w14:paraId="7326CA72" w14:textId="77777777" w:rsidR="00EF3DFB" w:rsidRDefault="00D27C17">
            <w:pPr>
              <w:pStyle w:val="TableParagraph"/>
              <w:spacing w:line="206" w:lineRule="exact"/>
              <w:ind w:left="52"/>
              <w:rPr>
                <w:sz w:val="18"/>
              </w:rPr>
            </w:pPr>
            <w:r>
              <w:rPr>
                <w:sz w:val="18"/>
              </w:rPr>
              <w:t>Service cost</w:t>
            </w:r>
          </w:p>
        </w:tc>
        <w:tc>
          <w:tcPr>
            <w:tcW w:w="906" w:type="dxa"/>
            <w:tcBorders>
              <w:top w:val="single" w:sz="8" w:space="0" w:color="000000"/>
            </w:tcBorders>
            <w:shd w:val="clear" w:color="auto" w:fill="CCEDFF"/>
          </w:tcPr>
          <w:p w14:paraId="7326CA73" w14:textId="77777777" w:rsidR="00EF3DFB" w:rsidRDefault="00D27C17">
            <w:pPr>
              <w:pStyle w:val="TableParagraph"/>
              <w:tabs>
                <w:tab w:val="left" w:pos="495"/>
              </w:tabs>
              <w:spacing w:before="8"/>
              <w:ind w:left="52"/>
              <w:rPr>
                <w:sz w:val="18"/>
              </w:rPr>
            </w:pPr>
            <w:r>
              <w:rPr>
                <w:sz w:val="18"/>
              </w:rPr>
              <w:t>$</w:t>
            </w:r>
            <w:r>
              <w:rPr>
                <w:sz w:val="18"/>
              </w:rPr>
              <w:tab/>
              <w:t>—</w:t>
            </w:r>
          </w:p>
        </w:tc>
        <w:tc>
          <w:tcPr>
            <w:tcW w:w="1063" w:type="dxa"/>
            <w:tcBorders>
              <w:top w:val="single" w:sz="8" w:space="0" w:color="000000"/>
            </w:tcBorders>
            <w:shd w:val="clear" w:color="auto" w:fill="CCEDFF"/>
          </w:tcPr>
          <w:p w14:paraId="7326CA74" w14:textId="77777777" w:rsidR="00EF3DFB" w:rsidRDefault="00D27C17">
            <w:pPr>
              <w:pStyle w:val="TableParagraph"/>
              <w:tabs>
                <w:tab w:val="left" w:pos="654"/>
              </w:tabs>
              <w:spacing w:before="8"/>
              <w:ind w:left="121"/>
              <w:rPr>
                <w:sz w:val="18"/>
              </w:rPr>
            </w:pPr>
            <w:r>
              <w:rPr>
                <w:sz w:val="18"/>
              </w:rPr>
              <w:t>$</w:t>
            </w:r>
            <w:r>
              <w:rPr>
                <w:sz w:val="18"/>
              </w:rPr>
              <w:tab/>
              <w:t>1</w:t>
            </w:r>
          </w:p>
        </w:tc>
        <w:tc>
          <w:tcPr>
            <w:tcW w:w="935" w:type="dxa"/>
            <w:tcBorders>
              <w:top w:val="single" w:sz="8" w:space="0" w:color="000000"/>
            </w:tcBorders>
            <w:shd w:val="clear" w:color="auto" w:fill="CCEDFF"/>
          </w:tcPr>
          <w:p w14:paraId="7326CA75" w14:textId="77777777" w:rsidR="00EF3DFB" w:rsidRDefault="00D27C17">
            <w:pPr>
              <w:pStyle w:val="TableParagraph"/>
              <w:tabs>
                <w:tab w:val="left" w:pos="566"/>
              </w:tabs>
              <w:spacing w:before="8"/>
              <w:ind w:left="33"/>
              <w:rPr>
                <w:sz w:val="18"/>
              </w:rPr>
            </w:pPr>
            <w:r>
              <w:rPr>
                <w:sz w:val="18"/>
              </w:rPr>
              <w:t>$</w:t>
            </w:r>
            <w:r>
              <w:rPr>
                <w:sz w:val="18"/>
              </w:rPr>
              <w:tab/>
              <w:t>1</w:t>
            </w:r>
          </w:p>
        </w:tc>
        <w:tc>
          <w:tcPr>
            <w:tcW w:w="925" w:type="dxa"/>
            <w:tcBorders>
              <w:top w:val="single" w:sz="8" w:space="0" w:color="000000"/>
            </w:tcBorders>
            <w:shd w:val="clear" w:color="auto" w:fill="CCEDFF"/>
          </w:tcPr>
          <w:p w14:paraId="7326CA76" w14:textId="77777777" w:rsidR="00EF3DFB" w:rsidRDefault="00D27C17">
            <w:pPr>
              <w:pStyle w:val="TableParagraph"/>
              <w:tabs>
                <w:tab w:val="left" w:pos="606"/>
              </w:tabs>
              <w:spacing w:before="8"/>
              <w:ind w:left="73"/>
              <w:rPr>
                <w:sz w:val="18"/>
              </w:rPr>
            </w:pPr>
            <w:r>
              <w:rPr>
                <w:sz w:val="18"/>
              </w:rPr>
              <w:t>$</w:t>
            </w:r>
            <w:r>
              <w:rPr>
                <w:sz w:val="18"/>
              </w:rPr>
              <w:tab/>
              <w:t>4</w:t>
            </w:r>
          </w:p>
        </w:tc>
        <w:tc>
          <w:tcPr>
            <w:tcW w:w="1060" w:type="dxa"/>
            <w:tcBorders>
              <w:top w:val="single" w:sz="8" w:space="0" w:color="000000"/>
            </w:tcBorders>
            <w:shd w:val="clear" w:color="auto" w:fill="CCEDFF"/>
          </w:tcPr>
          <w:p w14:paraId="7326CA77" w14:textId="77777777" w:rsidR="00EF3DFB" w:rsidRDefault="00D27C17">
            <w:pPr>
              <w:pStyle w:val="TableParagraph"/>
              <w:tabs>
                <w:tab w:val="left" w:pos="656"/>
              </w:tabs>
              <w:spacing w:before="8"/>
              <w:ind w:left="123"/>
              <w:rPr>
                <w:sz w:val="18"/>
              </w:rPr>
            </w:pPr>
            <w:r>
              <w:rPr>
                <w:sz w:val="18"/>
              </w:rPr>
              <w:t>$</w:t>
            </w:r>
            <w:r>
              <w:rPr>
                <w:sz w:val="18"/>
              </w:rPr>
              <w:tab/>
              <w:t>6</w:t>
            </w:r>
          </w:p>
        </w:tc>
        <w:tc>
          <w:tcPr>
            <w:tcW w:w="880" w:type="dxa"/>
            <w:tcBorders>
              <w:top w:val="single" w:sz="8" w:space="0" w:color="000000"/>
            </w:tcBorders>
            <w:shd w:val="clear" w:color="auto" w:fill="CCEDFF"/>
          </w:tcPr>
          <w:p w14:paraId="7326CA78" w14:textId="77777777" w:rsidR="00EF3DFB" w:rsidRDefault="00D27C17">
            <w:pPr>
              <w:pStyle w:val="TableParagraph"/>
              <w:tabs>
                <w:tab w:val="left" w:pos="571"/>
              </w:tabs>
              <w:spacing w:before="8"/>
              <w:ind w:left="38"/>
              <w:rPr>
                <w:sz w:val="18"/>
              </w:rPr>
            </w:pPr>
            <w:r>
              <w:rPr>
                <w:sz w:val="18"/>
              </w:rPr>
              <w:t>$</w:t>
            </w:r>
            <w:r>
              <w:rPr>
                <w:sz w:val="18"/>
              </w:rPr>
              <w:tab/>
              <w:t>6</w:t>
            </w:r>
          </w:p>
        </w:tc>
      </w:tr>
      <w:tr w:rsidR="00EF3DFB" w14:paraId="7326CA81" w14:textId="77777777">
        <w:trPr>
          <w:trHeight w:val="255"/>
        </w:trPr>
        <w:tc>
          <w:tcPr>
            <w:tcW w:w="4845" w:type="dxa"/>
          </w:tcPr>
          <w:p w14:paraId="7326CA7A" w14:textId="77777777" w:rsidR="00EF3DFB" w:rsidRDefault="00D27C17">
            <w:pPr>
              <w:pStyle w:val="TableParagraph"/>
              <w:spacing w:before="9"/>
              <w:ind w:left="52"/>
              <w:rPr>
                <w:sz w:val="18"/>
              </w:rPr>
            </w:pPr>
            <w:r>
              <w:rPr>
                <w:sz w:val="18"/>
              </w:rPr>
              <w:t>Interest cost</w:t>
            </w:r>
          </w:p>
        </w:tc>
        <w:tc>
          <w:tcPr>
            <w:tcW w:w="906" w:type="dxa"/>
          </w:tcPr>
          <w:p w14:paraId="7326CA7B" w14:textId="77777777" w:rsidR="00EF3DFB" w:rsidRDefault="00D27C17">
            <w:pPr>
              <w:pStyle w:val="TableParagraph"/>
              <w:spacing w:before="18"/>
              <w:ind w:left="495"/>
              <w:rPr>
                <w:sz w:val="18"/>
              </w:rPr>
            </w:pPr>
            <w:r>
              <w:rPr>
                <w:sz w:val="18"/>
              </w:rPr>
              <w:t>35</w:t>
            </w:r>
          </w:p>
        </w:tc>
        <w:tc>
          <w:tcPr>
            <w:tcW w:w="1063" w:type="dxa"/>
          </w:tcPr>
          <w:p w14:paraId="7326CA7C" w14:textId="77777777" w:rsidR="00EF3DFB" w:rsidRDefault="00D27C17">
            <w:pPr>
              <w:pStyle w:val="TableParagraph"/>
              <w:spacing w:before="18"/>
              <w:ind w:left="564"/>
              <w:rPr>
                <w:sz w:val="18"/>
              </w:rPr>
            </w:pPr>
            <w:r>
              <w:rPr>
                <w:sz w:val="18"/>
              </w:rPr>
              <w:t>49</w:t>
            </w:r>
          </w:p>
        </w:tc>
        <w:tc>
          <w:tcPr>
            <w:tcW w:w="935" w:type="dxa"/>
          </w:tcPr>
          <w:p w14:paraId="7326CA7D" w14:textId="77777777" w:rsidR="00EF3DFB" w:rsidRDefault="00D27C17">
            <w:pPr>
              <w:pStyle w:val="TableParagraph"/>
              <w:spacing w:before="18"/>
              <w:ind w:left="476"/>
              <w:rPr>
                <w:sz w:val="18"/>
              </w:rPr>
            </w:pPr>
            <w:r>
              <w:rPr>
                <w:sz w:val="18"/>
              </w:rPr>
              <w:t>46</w:t>
            </w:r>
          </w:p>
        </w:tc>
        <w:tc>
          <w:tcPr>
            <w:tcW w:w="925" w:type="dxa"/>
          </w:tcPr>
          <w:p w14:paraId="7326CA7E" w14:textId="77777777" w:rsidR="00EF3DFB" w:rsidRDefault="00D27C17">
            <w:pPr>
              <w:pStyle w:val="TableParagraph"/>
              <w:spacing w:before="18"/>
              <w:ind w:left="606"/>
              <w:rPr>
                <w:sz w:val="18"/>
              </w:rPr>
            </w:pPr>
            <w:r>
              <w:rPr>
                <w:sz w:val="18"/>
              </w:rPr>
              <w:t>9</w:t>
            </w:r>
          </w:p>
        </w:tc>
        <w:tc>
          <w:tcPr>
            <w:tcW w:w="1060" w:type="dxa"/>
          </w:tcPr>
          <w:p w14:paraId="7326CA7F" w14:textId="77777777" w:rsidR="00EF3DFB" w:rsidRDefault="00D27C17">
            <w:pPr>
              <w:pStyle w:val="TableParagraph"/>
              <w:spacing w:before="18"/>
              <w:ind w:left="566"/>
              <w:rPr>
                <w:sz w:val="18"/>
              </w:rPr>
            </w:pPr>
            <w:r>
              <w:rPr>
                <w:sz w:val="18"/>
              </w:rPr>
              <w:t>13</w:t>
            </w:r>
          </w:p>
        </w:tc>
        <w:tc>
          <w:tcPr>
            <w:tcW w:w="880" w:type="dxa"/>
          </w:tcPr>
          <w:p w14:paraId="7326CA80" w14:textId="77777777" w:rsidR="00EF3DFB" w:rsidRDefault="00D27C17">
            <w:pPr>
              <w:pStyle w:val="TableParagraph"/>
              <w:spacing w:before="18"/>
              <w:ind w:left="481"/>
              <w:rPr>
                <w:sz w:val="18"/>
              </w:rPr>
            </w:pPr>
            <w:r>
              <w:rPr>
                <w:sz w:val="18"/>
              </w:rPr>
              <w:t>13</w:t>
            </w:r>
          </w:p>
        </w:tc>
      </w:tr>
      <w:tr w:rsidR="00EF3DFB" w14:paraId="7326CA88" w14:textId="77777777">
        <w:trPr>
          <w:trHeight w:val="255"/>
        </w:trPr>
        <w:tc>
          <w:tcPr>
            <w:tcW w:w="5751" w:type="dxa"/>
            <w:gridSpan w:val="2"/>
            <w:shd w:val="clear" w:color="auto" w:fill="CCEDFF"/>
          </w:tcPr>
          <w:p w14:paraId="7326CA82" w14:textId="77777777" w:rsidR="00EF3DFB" w:rsidRDefault="00D27C17">
            <w:pPr>
              <w:pStyle w:val="TableParagraph"/>
              <w:tabs>
                <w:tab w:val="left" w:pos="5280"/>
              </w:tabs>
              <w:spacing w:before="8"/>
              <w:ind w:left="52"/>
              <w:rPr>
                <w:sz w:val="18"/>
              </w:rPr>
            </w:pPr>
            <w:r>
              <w:rPr>
                <w:position w:val="1"/>
                <w:sz w:val="18"/>
              </w:rPr>
              <w:t>Expected return on</w:t>
            </w:r>
            <w:r>
              <w:rPr>
                <w:spacing w:val="-1"/>
                <w:position w:val="1"/>
                <w:sz w:val="18"/>
              </w:rPr>
              <w:t xml:space="preserve"> </w:t>
            </w:r>
            <w:r>
              <w:rPr>
                <w:position w:val="1"/>
                <w:sz w:val="18"/>
              </w:rPr>
              <w:t>plan</w:t>
            </w:r>
            <w:r>
              <w:rPr>
                <w:spacing w:val="-1"/>
                <w:position w:val="1"/>
                <w:sz w:val="18"/>
              </w:rPr>
              <w:t xml:space="preserve"> </w:t>
            </w:r>
            <w:r>
              <w:rPr>
                <w:position w:val="1"/>
                <w:sz w:val="18"/>
              </w:rPr>
              <w:t>assets</w:t>
            </w:r>
            <w:r>
              <w:rPr>
                <w:position w:val="1"/>
                <w:sz w:val="18"/>
              </w:rPr>
              <w:tab/>
            </w:r>
            <w:r>
              <w:rPr>
                <w:sz w:val="18"/>
              </w:rPr>
              <w:t>(59)</w:t>
            </w:r>
          </w:p>
        </w:tc>
        <w:tc>
          <w:tcPr>
            <w:tcW w:w="1063" w:type="dxa"/>
            <w:shd w:val="clear" w:color="auto" w:fill="CCEDFF"/>
          </w:tcPr>
          <w:p w14:paraId="7326CA83" w14:textId="77777777" w:rsidR="00EF3DFB" w:rsidRDefault="00D27C17">
            <w:pPr>
              <w:pStyle w:val="TableParagraph"/>
              <w:spacing w:before="18"/>
              <w:ind w:left="504"/>
              <w:rPr>
                <w:sz w:val="18"/>
              </w:rPr>
            </w:pPr>
            <w:r>
              <w:rPr>
                <w:sz w:val="18"/>
              </w:rPr>
              <w:t>(59)</w:t>
            </w:r>
          </w:p>
        </w:tc>
        <w:tc>
          <w:tcPr>
            <w:tcW w:w="935" w:type="dxa"/>
            <w:shd w:val="clear" w:color="auto" w:fill="CCEDFF"/>
          </w:tcPr>
          <w:p w14:paraId="7326CA84" w14:textId="77777777" w:rsidR="00EF3DFB" w:rsidRDefault="00D27C17">
            <w:pPr>
              <w:pStyle w:val="TableParagraph"/>
              <w:spacing w:before="18"/>
              <w:ind w:left="416"/>
              <w:rPr>
                <w:sz w:val="18"/>
              </w:rPr>
            </w:pPr>
            <w:r>
              <w:rPr>
                <w:sz w:val="18"/>
              </w:rPr>
              <w:t>(67)</w:t>
            </w:r>
          </w:p>
        </w:tc>
        <w:tc>
          <w:tcPr>
            <w:tcW w:w="925" w:type="dxa"/>
            <w:shd w:val="clear" w:color="auto" w:fill="CCEDFF"/>
          </w:tcPr>
          <w:p w14:paraId="7326CA85" w14:textId="77777777" w:rsidR="00EF3DFB" w:rsidRDefault="00D27C17">
            <w:pPr>
              <w:pStyle w:val="TableParagraph"/>
              <w:spacing w:before="18"/>
              <w:ind w:left="546"/>
              <w:rPr>
                <w:sz w:val="18"/>
              </w:rPr>
            </w:pPr>
            <w:r>
              <w:rPr>
                <w:sz w:val="18"/>
              </w:rPr>
              <w:t>(6)</w:t>
            </w:r>
          </w:p>
        </w:tc>
        <w:tc>
          <w:tcPr>
            <w:tcW w:w="1060" w:type="dxa"/>
            <w:shd w:val="clear" w:color="auto" w:fill="CCEDFF"/>
          </w:tcPr>
          <w:p w14:paraId="7326CA86" w14:textId="77777777" w:rsidR="00EF3DFB" w:rsidRDefault="00D27C17">
            <w:pPr>
              <w:pStyle w:val="TableParagraph"/>
              <w:spacing w:before="18"/>
              <w:ind w:left="506"/>
              <w:rPr>
                <w:sz w:val="18"/>
              </w:rPr>
            </w:pPr>
            <w:r>
              <w:rPr>
                <w:sz w:val="18"/>
              </w:rPr>
              <w:t>(13)</w:t>
            </w:r>
          </w:p>
        </w:tc>
        <w:tc>
          <w:tcPr>
            <w:tcW w:w="880" w:type="dxa"/>
            <w:shd w:val="clear" w:color="auto" w:fill="CCEDFF"/>
          </w:tcPr>
          <w:p w14:paraId="7326CA87" w14:textId="77777777" w:rsidR="00EF3DFB" w:rsidRDefault="00D27C17">
            <w:pPr>
              <w:pStyle w:val="TableParagraph"/>
              <w:spacing w:before="18"/>
              <w:ind w:left="421"/>
              <w:rPr>
                <w:sz w:val="18"/>
              </w:rPr>
            </w:pPr>
            <w:r>
              <w:rPr>
                <w:sz w:val="18"/>
              </w:rPr>
              <w:t>(15)</w:t>
            </w:r>
          </w:p>
        </w:tc>
      </w:tr>
      <w:tr w:rsidR="00EF3DFB" w14:paraId="7326CA90" w14:textId="77777777">
        <w:trPr>
          <w:trHeight w:val="255"/>
        </w:trPr>
        <w:tc>
          <w:tcPr>
            <w:tcW w:w="4845" w:type="dxa"/>
          </w:tcPr>
          <w:p w14:paraId="7326CA89" w14:textId="77777777" w:rsidR="00EF3DFB" w:rsidRDefault="00D27C17">
            <w:pPr>
              <w:pStyle w:val="TableParagraph"/>
              <w:spacing w:before="9"/>
              <w:ind w:left="52"/>
              <w:rPr>
                <w:sz w:val="18"/>
              </w:rPr>
            </w:pPr>
            <w:r>
              <w:rPr>
                <w:sz w:val="18"/>
              </w:rPr>
              <w:t>Amortization:</w:t>
            </w:r>
          </w:p>
        </w:tc>
        <w:tc>
          <w:tcPr>
            <w:tcW w:w="906" w:type="dxa"/>
          </w:tcPr>
          <w:p w14:paraId="7326CA8A" w14:textId="77777777" w:rsidR="00EF3DFB" w:rsidRDefault="00EF3DFB">
            <w:pPr>
              <w:pStyle w:val="TableParagraph"/>
              <w:rPr>
                <w:sz w:val="18"/>
              </w:rPr>
            </w:pPr>
          </w:p>
        </w:tc>
        <w:tc>
          <w:tcPr>
            <w:tcW w:w="1063" w:type="dxa"/>
          </w:tcPr>
          <w:p w14:paraId="7326CA8B" w14:textId="77777777" w:rsidR="00EF3DFB" w:rsidRDefault="00EF3DFB">
            <w:pPr>
              <w:pStyle w:val="TableParagraph"/>
              <w:rPr>
                <w:sz w:val="18"/>
              </w:rPr>
            </w:pPr>
          </w:p>
        </w:tc>
        <w:tc>
          <w:tcPr>
            <w:tcW w:w="935" w:type="dxa"/>
          </w:tcPr>
          <w:p w14:paraId="7326CA8C" w14:textId="77777777" w:rsidR="00EF3DFB" w:rsidRDefault="00EF3DFB">
            <w:pPr>
              <w:pStyle w:val="TableParagraph"/>
              <w:rPr>
                <w:sz w:val="18"/>
              </w:rPr>
            </w:pPr>
          </w:p>
        </w:tc>
        <w:tc>
          <w:tcPr>
            <w:tcW w:w="925" w:type="dxa"/>
          </w:tcPr>
          <w:p w14:paraId="7326CA8D" w14:textId="77777777" w:rsidR="00EF3DFB" w:rsidRDefault="00EF3DFB">
            <w:pPr>
              <w:pStyle w:val="TableParagraph"/>
              <w:rPr>
                <w:sz w:val="18"/>
              </w:rPr>
            </w:pPr>
          </w:p>
        </w:tc>
        <w:tc>
          <w:tcPr>
            <w:tcW w:w="1060" w:type="dxa"/>
          </w:tcPr>
          <w:p w14:paraId="7326CA8E" w14:textId="77777777" w:rsidR="00EF3DFB" w:rsidRDefault="00EF3DFB">
            <w:pPr>
              <w:pStyle w:val="TableParagraph"/>
              <w:rPr>
                <w:sz w:val="18"/>
              </w:rPr>
            </w:pPr>
          </w:p>
        </w:tc>
        <w:tc>
          <w:tcPr>
            <w:tcW w:w="880" w:type="dxa"/>
          </w:tcPr>
          <w:p w14:paraId="7326CA8F" w14:textId="77777777" w:rsidR="00EF3DFB" w:rsidRDefault="00EF3DFB">
            <w:pPr>
              <w:pStyle w:val="TableParagraph"/>
              <w:rPr>
                <w:sz w:val="18"/>
              </w:rPr>
            </w:pPr>
          </w:p>
        </w:tc>
      </w:tr>
      <w:tr w:rsidR="00EF3DFB" w14:paraId="7326CA98" w14:textId="77777777">
        <w:trPr>
          <w:trHeight w:val="255"/>
        </w:trPr>
        <w:tc>
          <w:tcPr>
            <w:tcW w:w="4845" w:type="dxa"/>
            <w:shd w:val="clear" w:color="auto" w:fill="CCEDFF"/>
          </w:tcPr>
          <w:p w14:paraId="7326CA91" w14:textId="77777777" w:rsidR="00EF3DFB" w:rsidRDefault="00D27C17">
            <w:pPr>
              <w:pStyle w:val="TableParagraph"/>
              <w:spacing w:before="9"/>
              <w:ind w:left="412"/>
              <w:rPr>
                <w:sz w:val="18"/>
              </w:rPr>
            </w:pPr>
            <w:r>
              <w:rPr>
                <w:sz w:val="18"/>
              </w:rPr>
              <w:t>Prior service cost</w:t>
            </w:r>
          </w:p>
        </w:tc>
        <w:tc>
          <w:tcPr>
            <w:tcW w:w="906" w:type="dxa"/>
            <w:shd w:val="clear" w:color="auto" w:fill="CCEDFF"/>
          </w:tcPr>
          <w:p w14:paraId="7326CA92" w14:textId="77777777" w:rsidR="00EF3DFB" w:rsidRDefault="00D27C17">
            <w:pPr>
              <w:pStyle w:val="TableParagraph"/>
              <w:spacing w:before="18"/>
              <w:ind w:left="495"/>
              <w:rPr>
                <w:sz w:val="18"/>
              </w:rPr>
            </w:pPr>
            <w:r>
              <w:rPr>
                <w:sz w:val="18"/>
              </w:rPr>
              <w:t>—</w:t>
            </w:r>
          </w:p>
        </w:tc>
        <w:tc>
          <w:tcPr>
            <w:tcW w:w="1063" w:type="dxa"/>
            <w:shd w:val="clear" w:color="auto" w:fill="CCEDFF"/>
          </w:tcPr>
          <w:p w14:paraId="7326CA93" w14:textId="77777777" w:rsidR="00EF3DFB" w:rsidRDefault="00D27C17">
            <w:pPr>
              <w:pStyle w:val="TableParagraph"/>
              <w:spacing w:before="18"/>
              <w:ind w:left="564"/>
              <w:rPr>
                <w:sz w:val="18"/>
              </w:rPr>
            </w:pPr>
            <w:r>
              <w:rPr>
                <w:sz w:val="18"/>
              </w:rPr>
              <w:t>—</w:t>
            </w:r>
          </w:p>
        </w:tc>
        <w:tc>
          <w:tcPr>
            <w:tcW w:w="935" w:type="dxa"/>
            <w:shd w:val="clear" w:color="auto" w:fill="CCEDFF"/>
          </w:tcPr>
          <w:p w14:paraId="7326CA94" w14:textId="77777777" w:rsidR="00EF3DFB" w:rsidRDefault="00D27C17">
            <w:pPr>
              <w:pStyle w:val="TableParagraph"/>
              <w:spacing w:before="18"/>
              <w:ind w:left="476"/>
              <w:rPr>
                <w:sz w:val="18"/>
              </w:rPr>
            </w:pPr>
            <w:r>
              <w:rPr>
                <w:sz w:val="18"/>
              </w:rPr>
              <w:t>—</w:t>
            </w:r>
          </w:p>
        </w:tc>
        <w:tc>
          <w:tcPr>
            <w:tcW w:w="925" w:type="dxa"/>
            <w:shd w:val="clear" w:color="auto" w:fill="CCEDFF"/>
          </w:tcPr>
          <w:p w14:paraId="7326CA95" w14:textId="77777777" w:rsidR="00EF3DFB" w:rsidRDefault="00D27C17">
            <w:pPr>
              <w:pStyle w:val="TableParagraph"/>
              <w:spacing w:before="18"/>
              <w:ind w:left="606"/>
              <w:rPr>
                <w:sz w:val="18"/>
              </w:rPr>
            </w:pPr>
            <w:r>
              <w:rPr>
                <w:sz w:val="18"/>
              </w:rPr>
              <w:t>1</w:t>
            </w:r>
          </w:p>
        </w:tc>
        <w:tc>
          <w:tcPr>
            <w:tcW w:w="1060" w:type="dxa"/>
            <w:shd w:val="clear" w:color="auto" w:fill="CCEDFF"/>
          </w:tcPr>
          <w:p w14:paraId="7326CA96" w14:textId="77777777" w:rsidR="00EF3DFB" w:rsidRDefault="00D27C17">
            <w:pPr>
              <w:pStyle w:val="TableParagraph"/>
              <w:spacing w:before="18"/>
              <w:ind w:left="566"/>
              <w:rPr>
                <w:sz w:val="18"/>
              </w:rPr>
            </w:pPr>
            <w:r>
              <w:rPr>
                <w:sz w:val="18"/>
              </w:rPr>
              <w:t>—</w:t>
            </w:r>
          </w:p>
        </w:tc>
        <w:tc>
          <w:tcPr>
            <w:tcW w:w="880" w:type="dxa"/>
            <w:shd w:val="clear" w:color="auto" w:fill="CCEDFF"/>
          </w:tcPr>
          <w:p w14:paraId="7326CA97" w14:textId="77777777" w:rsidR="00EF3DFB" w:rsidRDefault="00D27C17">
            <w:pPr>
              <w:pStyle w:val="TableParagraph"/>
              <w:spacing w:before="18"/>
              <w:ind w:left="571"/>
              <w:rPr>
                <w:sz w:val="18"/>
              </w:rPr>
            </w:pPr>
            <w:r>
              <w:rPr>
                <w:sz w:val="18"/>
              </w:rPr>
              <w:t>1</w:t>
            </w:r>
          </w:p>
        </w:tc>
      </w:tr>
      <w:tr w:rsidR="00EF3DFB" w14:paraId="7326CAA0" w14:textId="77777777">
        <w:trPr>
          <w:trHeight w:val="271"/>
        </w:trPr>
        <w:tc>
          <w:tcPr>
            <w:tcW w:w="4845" w:type="dxa"/>
          </w:tcPr>
          <w:p w14:paraId="7326CA99" w14:textId="77777777" w:rsidR="00EF3DFB" w:rsidRDefault="00D27C17">
            <w:pPr>
              <w:pStyle w:val="TableParagraph"/>
              <w:spacing w:before="9"/>
              <w:ind w:left="412"/>
              <w:rPr>
                <w:sz w:val="18"/>
              </w:rPr>
            </w:pPr>
            <w:r>
              <w:rPr>
                <w:sz w:val="18"/>
              </w:rPr>
              <w:t>Net actuarial loss</w:t>
            </w:r>
          </w:p>
        </w:tc>
        <w:tc>
          <w:tcPr>
            <w:tcW w:w="906" w:type="dxa"/>
          </w:tcPr>
          <w:p w14:paraId="7326CA9A" w14:textId="77777777" w:rsidR="00EF3DFB" w:rsidRDefault="00D27C17">
            <w:pPr>
              <w:pStyle w:val="TableParagraph"/>
              <w:spacing w:before="18"/>
              <w:ind w:left="495"/>
              <w:rPr>
                <w:sz w:val="18"/>
              </w:rPr>
            </w:pPr>
            <w:r>
              <w:rPr>
                <w:sz w:val="18"/>
              </w:rPr>
              <w:t>23</w:t>
            </w:r>
          </w:p>
        </w:tc>
        <w:tc>
          <w:tcPr>
            <w:tcW w:w="1063" w:type="dxa"/>
          </w:tcPr>
          <w:p w14:paraId="7326CA9B" w14:textId="77777777" w:rsidR="00EF3DFB" w:rsidRDefault="00D27C17">
            <w:pPr>
              <w:pStyle w:val="TableParagraph"/>
              <w:spacing w:before="18"/>
              <w:ind w:left="564"/>
              <w:rPr>
                <w:sz w:val="18"/>
              </w:rPr>
            </w:pPr>
            <w:r>
              <w:rPr>
                <w:sz w:val="18"/>
              </w:rPr>
              <w:t>15</w:t>
            </w:r>
          </w:p>
        </w:tc>
        <w:tc>
          <w:tcPr>
            <w:tcW w:w="935" w:type="dxa"/>
          </w:tcPr>
          <w:p w14:paraId="7326CA9C" w14:textId="77777777" w:rsidR="00EF3DFB" w:rsidRDefault="00D27C17">
            <w:pPr>
              <w:pStyle w:val="TableParagraph"/>
              <w:spacing w:before="18"/>
              <w:ind w:left="476"/>
              <w:rPr>
                <w:sz w:val="18"/>
              </w:rPr>
            </w:pPr>
            <w:r>
              <w:rPr>
                <w:sz w:val="18"/>
              </w:rPr>
              <w:t>21</w:t>
            </w:r>
          </w:p>
        </w:tc>
        <w:tc>
          <w:tcPr>
            <w:tcW w:w="925" w:type="dxa"/>
          </w:tcPr>
          <w:p w14:paraId="7326CA9D" w14:textId="77777777" w:rsidR="00EF3DFB" w:rsidRDefault="00D27C17">
            <w:pPr>
              <w:pStyle w:val="TableParagraph"/>
              <w:spacing w:before="18"/>
              <w:ind w:left="606"/>
              <w:rPr>
                <w:sz w:val="18"/>
              </w:rPr>
            </w:pPr>
            <w:r>
              <w:rPr>
                <w:sz w:val="18"/>
              </w:rPr>
              <w:t>3</w:t>
            </w:r>
          </w:p>
        </w:tc>
        <w:tc>
          <w:tcPr>
            <w:tcW w:w="1060" w:type="dxa"/>
          </w:tcPr>
          <w:p w14:paraId="7326CA9E" w14:textId="77777777" w:rsidR="00EF3DFB" w:rsidRDefault="00D27C17">
            <w:pPr>
              <w:pStyle w:val="TableParagraph"/>
              <w:spacing w:before="18"/>
              <w:ind w:left="656"/>
              <w:rPr>
                <w:sz w:val="18"/>
              </w:rPr>
            </w:pPr>
            <w:r>
              <w:rPr>
                <w:sz w:val="18"/>
              </w:rPr>
              <w:t>2</w:t>
            </w:r>
          </w:p>
        </w:tc>
        <w:tc>
          <w:tcPr>
            <w:tcW w:w="880" w:type="dxa"/>
          </w:tcPr>
          <w:p w14:paraId="7326CA9F" w14:textId="77777777" w:rsidR="00EF3DFB" w:rsidRDefault="00D27C17">
            <w:pPr>
              <w:pStyle w:val="TableParagraph"/>
              <w:spacing w:before="18"/>
              <w:ind w:left="571"/>
              <w:rPr>
                <w:sz w:val="18"/>
              </w:rPr>
            </w:pPr>
            <w:r>
              <w:rPr>
                <w:sz w:val="18"/>
              </w:rPr>
              <w:t>2</w:t>
            </w:r>
          </w:p>
        </w:tc>
      </w:tr>
      <w:tr w:rsidR="00EF3DFB" w14:paraId="7326CAA6" w14:textId="77777777">
        <w:trPr>
          <w:trHeight w:val="228"/>
        </w:trPr>
        <w:tc>
          <w:tcPr>
            <w:tcW w:w="4845" w:type="dxa"/>
            <w:shd w:val="clear" w:color="auto" w:fill="CCEDFF"/>
          </w:tcPr>
          <w:p w14:paraId="7326CAA1" w14:textId="77777777" w:rsidR="00EF3DFB" w:rsidRDefault="00D27C17">
            <w:pPr>
              <w:pStyle w:val="TableParagraph"/>
              <w:spacing w:before="9"/>
              <w:ind w:left="52"/>
              <w:rPr>
                <w:sz w:val="18"/>
              </w:rPr>
            </w:pPr>
            <w:r>
              <w:rPr>
                <w:sz w:val="18"/>
              </w:rPr>
              <w:t>Curtailment, settlement and termination costs</w:t>
            </w:r>
          </w:p>
        </w:tc>
        <w:tc>
          <w:tcPr>
            <w:tcW w:w="906" w:type="dxa"/>
            <w:tcBorders>
              <w:bottom w:val="single" w:sz="8" w:space="0" w:color="000000"/>
            </w:tcBorders>
            <w:shd w:val="clear" w:color="auto" w:fill="CCEDFF"/>
          </w:tcPr>
          <w:p w14:paraId="7326CAA2" w14:textId="77777777" w:rsidR="00EF3DFB" w:rsidRDefault="00D27C17">
            <w:pPr>
              <w:pStyle w:val="TableParagraph"/>
              <w:spacing w:before="18"/>
              <w:ind w:left="495"/>
              <w:rPr>
                <w:sz w:val="18"/>
              </w:rPr>
            </w:pPr>
            <w:r>
              <w:rPr>
                <w:sz w:val="18"/>
              </w:rPr>
              <w:t>52</w:t>
            </w:r>
          </w:p>
        </w:tc>
        <w:tc>
          <w:tcPr>
            <w:tcW w:w="2923" w:type="dxa"/>
            <w:gridSpan w:val="3"/>
            <w:tcBorders>
              <w:bottom w:val="single" w:sz="8" w:space="0" w:color="000000"/>
            </w:tcBorders>
            <w:shd w:val="clear" w:color="auto" w:fill="CCEDFF"/>
          </w:tcPr>
          <w:p w14:paraId="7326CAA3" w14:textId="77777777" w:rsidR="00EF3DFB" w:rsidRDefault="00D27C17">
            <w:pPr>
              <w:pStyle w:val="TableParagraph"/>
              <w:tabs>
                <w:tab w:val="left" w:pos="1539"/>
                <w:tab w:val="left" w:pos="2604"/>
              </w:tabs>
              <w:spacing w:before="18"/>
              <w:ind w:left="564"/>
              <w:rPr>
                <w:sz w:val="18"/>
              </w:rPr>
            </w:pPr>
            <w:r>
              <w:rPr>
                <w:sz w:val="18"/>
              </w:rPr>
              <w:t>—</w:t>
            </w:r>
            <w:r>
              <w:rPr>
                <w:sz w:val="18"/>
              </w:rPr>
              <w:tab/>
              <w:t>—</w:t>
            </w:r>
            <w:r>
              <w:rPr>
                <w:sz w:val="18"/>
              </w:rPr>
              <w:tab/>
              <w:t>1</w:t>
            </w:r>
          </w:p>
        </w:tc>
        <w:tc>
          <w:tcPr>
            <w:tcW w:w="1060" w:type="dxa"/>
            <w:tcBorders>
              <w:bottom w:val="single" w:sz="8" w:space="0" w:color="000000"/>
            </w:tcBorders>
            <w:shd w:val="clear" w:color="auto" w:fill="CCEDFF"/>
          </w:tcPr>
          <w:p w14:paraId="7326CAA4" w14:textId="77777777" w:rsidR="00EF3DFB" w:rsidRDefault="00D27C17">
            <w:pPr>
              <w:pStyle w:val="TableParagraph"/>
              <w:spacing w:before="18"/>
              <w:ind w:left="656"/>
              <w:rPr>
                <w:sz w:val="18"/>
              </w:rPr>
            </w:pPr>
            <w:r>
              <w:rPr>
                <w:sz w:val="18"/>
              </w:rPr>
              <w:t>1</w:t>
            </w:r>
          </w:p>
        </w:tc>
        <w:tc>
          <w:tcPr>
            <w:tcW w:w="880" w:type="dxa"/>
            <w:tcBorders>
              <w:bottom w:val="single" w:sz="8" w:space="0" w:color="000000"/>
            </w:tcBorders>
            <w:shd w:val="clear" w:color="auto" w:fill="CCEDFF"/>
          </w:tcPr>
          <w:p w14:paraId="7326CAA5" w14:textId="77777777" w:rsidR="00EF3DFB" w:rsidRDefault="00D27C17">
            <w:pPr>
              <w:pStyle w:val="TableParagraph"/>
              <w:spacing w:before="18"/>
              <w:ind w:left="571"/>
              <w:rPr>
                <w:sz w:val="18"/>
              </w:rPr>
            </w:pPr>
            <w:r>
              <w:rPr>
                <w:sz w:val="18"/>
              </w:rPr>
              <w:t>1</w:t>
            </w:r>
          </w:p>
        </w:tc>
      </w:tr>
      <w:tr w:rsidR="00EF3DFB" w14:paraId="7326CAAC" w14:textId="77777777">
        <w:trPr>
          <w:trHeight w:val="255"/>
        </w:trPr>
        <w:tc>
          <w:tcPr>
            <w:tcW w:w="4845" w:type="dxa"/>
          </w:tcPr>
          <w:p w14:paraId="7326CAA7" w14:textId="77777777" w:rsidR="00EF3DFB" w:rsidRDefault="00D27C17">
            <w:pPr>
              <w:pStyle w:val="TableParagraph"/>
              <w:spacing w:line="206" w:lineRule="exact"/>
              <w:ind w:left="52"/>
              <w:rPr>
                <w:sz w:val="18"/>
              </w:rPr>
            </w:pPr>
            <w:r>
              <w:rPr>
                <w:sz w:val="18"/>
              </w:rPr>
              <w:t>Total expense</w:t>
            </w:r>
          </w:p>
        </w:tc>
        <w:tc>
          <w:tcPr>
            <w:tcW w:w="906" w:type="dxa"/>
            <w:tcBorders>
              <w:top w:val="single" w:sz="8" w:space="0" w:color="000000"/>
              <w:bottom w:val="single" w:sz="8" w:space="0" w:color="000000"/>
            </w:tcBorders>
          </w:tcPr>
          <w:p w14:paraId="7326CAA8" w14:textId="77777777" w:rsidR="00EF3DFB" w:rsidRDefault="00D27C17">
            <w:pPr>
              <w:pStyle w:val="TableParagraph"/>
              <w:tabs>
                <w:tab w:val="left" w:pos="495"/>
                <w:tab w:val="left" w:pos="899"/>
              </w:tabs>
              <w:spacing w:before="8"/>
              <w:ind w:left="52"/>
              <w:rPr>
                <w:sz w:val="18"/>
              </w:rPr>
            </w:pPr>
            <w:r>
              <w:rPr>
                <w:sz w:val="18"/>
                <w:u w:val="single"/>
              </w:rPr>
              <w:t>$</w:t>
            </w:r>
            <w:r>
              <w:rPr>
                <w:sz w:val="18"/>
                <w:u w:val="single"/>
              </w:rPr>
              <w:tab/>
              <w:t>51</w:t>
            </w:r>
            <w:r>
              <w:rPr>
                <w:sz w:val="18"/>
                <w:u w:val="single"/>
              </w:rPr>
              <w:tab/>
            </w:r>
          </w:p>
        </w:tc>
        <w:tc>
          <w:tcPr>
            <w:tcW w:w="2923" w:type="dxa"/>
            <w:gridSpan w:val="3"/>
            <w:tcBorders>
              <w:top w:val="single" w:sz="8" w:space="0" w:color="000000"/>
              <w:bottom w:val="single" w:sz="8" w:space="0" w:color="000000"/>
            </w:tcBorders>
          </w:tcPr>
          <w:p w14:paraId="7326CAA9" w14:textId="77777777" w:rsidR="00EF3DFB" w:rsidRDefault="00D27C17">
            <w:pPr>
              <w:pStyle w:val="TableParagraph"/>
              <w:tabs>
                <w:tab w:val="left" w:pos="654"/>
                <w:tab w:val="left" w:pos="968"/>
                <w:tab w:val="left" w:pos="1629"/>
                <w:tab w:val="left" w:pos="1943"/>
                <w:tab w:val="left" w:pos="2514"/>
                <w:tab w:val="left" w:pos="2918"/>
              </w:tabs>
              <w:spacing w:before="8"/>
              <w:ind w:left="121"/>
              <w:rPr>
                <w:sz w:val="18"/>
              </w:rPr>
            </w:pPr>
            <w:r>
              <w:rPr>
                <w:sz w:val="18"/>
                <w:u w:val="single"/>
              </w:rPr>
              <w:t>$</w:t>
            </w:r>
            <w:r>
              <w:rPr>
                <w:sz w:val="18"/>
                <w:u w:val="single"/>
              </w:rPr>
              <w:tab/>
              <w:t>6</w:t>
            </w:r>
            <w:r>
              <w:rPr>
                <w:sz w:val="18"/>
                <w:u w:val="single"/>
              </w:rPr>
              <w:tab/>
              <w:t>$</w:t>
            </w:r>
            <w:r>
              <w:rPr>
                <w:sz w:val="18"/>
                <w:u w:val="single"/>
              </w:rPr>
              <w:tab/>
              <w:t>1</w:t>
            </w:r>
            <w:r>
              <w:rPr>
                <w:sz w:val="18"/>
                <w:u w:val="single"/>
              </w:rPr>
              <w:tab/>
              <w:t>$</w:t>
            </w:r>
            <w:r>
              <w:rPr>
                <w:sz w:val="18"/>
                <w:u w:val="single"/>
              </w:rPr>
              <w:tab/>
              <w:t>12</w:t>
            </w:r>
            <w:r>
              <w:rPr>
                <w:sz w:val="18"/>
                <w:u w:val="single"/>
              </w:rPr>
              <w:tab/>
            </w:r>
          </w:p>
        </w:tc>
        <w:tc>
          <w:tcPr>
            <w:tcW w:w="1060" w:type="dxa"/>
            <w:tcBorders>
              <w:top w:val="single" w:sz="8" w:space="0" w:color="000000"/>
              <w:bottom w:val="single" w:sz="8" w:space="0" w:color="000000"/>
            </w:tcBorders>
          </w:tcPr>
          <w:p w14:paraId="7326CAAA" w14:textId="77777777" w:rsidR="00EF3DFB" w:rsidRDefault="00D27C17">
            <w:pPr>
              <w:pStyle w:val="TableParagraph"/>
              <w:tabs>
                <w:tab w:val="left" w:pos="532"/>
                <w:tab w:val="left" w:pos="847"/>
              </w:tabs>
              <w:spacing w:before="8"/>
              <w:ind w:right="87"/>
              <w:jc w:val="right"/>
              <w:rPr>
                <w:sz w:val="18"/>
              </w:rPr>
            </w:pPr>
            <w:r>
              <w:rPr>
                <w:sz w:val="18"/>
                <w:u w:val="single"/>
              </w:rPr>
              <w:t>$</w:t>
            </w:r>
            <w:r>
              <w:rPr>
                <w:sz w:val="18"/>
                <w:u w:val="single"/>
              </w:rPr>
              <w:tab/>
              <w:t>9</w:t>
            </w:r>
            <w:r>
              <w:rPr>
                <w:sz w:val="18"/>
                <w:u w:val="single"/>
              </w:rPr>
              <w:tab/>
            </w:r>
          </w:p>
        </w:tc>
        <w:tc>
          <w:tcPr>
            <w:tcW w:w="880" w:type="dxa"/>
            <w:tcBorders>
              <w:top w:val="single" w:sz="8" w:space="0" w:color="000000"/>
              <w:bottom w:val="single" w:sz="8" w:space="0" w:color="000000"/>
            </w:tcBorders>
          </w:tcPr>
          <w:p w14:paraId="7326CAAB" w14:textId="77777777" w:rsidR="00EF3DFB" w:rsidRDefault="00D27C17">
            <w:pPr>
              <w:pStyle w:val="TableParagraph"/>
              <w:tabs>
                <w:tab w:val="left" w:pos="571"/>
                <w:tab w:val="left" w:pos="885"/>
              </w:tabs>
              <w:spacing w:before="8"/>
              <w:ind w:left="38" w:right="-15"/>
              <w:rPr>
                <w:sz w:val="18"/>
              </w:rPr>
            </w:pPr>
            <w:r>
              <w:rPr>
                <w:sz w:val="18"/>
                <w:u w:val="single"/>
              </w:rPr>
              <w:t>$</w:t>
            </w:r>
            <w:r>
              <w:rPr>
                <w:sz w:val="18"/>
                <w:u w:val="single"/>
              </w:rPr>
              <w:tab/>
              <w:t>8</w:t>
            </w:r>
            <w:r>
              <w:rPr>
                <w:sz w:val="18"/>
                <w:u w:val="single"/>
              </w:rPr>
              <w:tab/>
            </w:r>
          </w:p>
        </w:tc>
      </w:tr>
      <w:tr w:rsidR="00EF3DFB" w14:paraId="7326CAAF" w14:textId="77777777">
        <w:trPr>
          <w:trHeight w:val="510"/>
        </w:trPr>
        <w:tc>
          <w:tcPr>
            <w:tcW w:w="10614" w:type="dxa"/>
            <w:gridSpan w:val="7"/>
          </w:tcPr>
          <w:p w14:paraId="7326CAAD" w14:textId="77777777" w:rsidR="00EF3DFB" w:rsidRDefault="00D27C17">
            <w:pPr>
              <w:pStyle w:val="TableParagraph"/>
              <w:tabs>
                <w:tab w:val="left" w:pos="10619"/>
              </w:tabs>
              <w:spacing w:line="183" w:lineRule="exact"/>
              <w:ind w:left="52" w:right="-15"/>
              <w:rPr>
                <w:b/>
                <w:sz w:val="18"/>
              </w:rPr>
            </w:pPr>
            <w:r>
              <w:rPr>
                <w:b/>
                <w:sz w:val="18"/>
                <w:shd w:val="clear" w:color="auto" w:fill="CCEDFF"/>
              </w:rPr>
              <w:t>Assumptions</w:t>
            </w:r>
            <w:r>
              <w:rPr>
                <w:b/>
                <w:sz w:val="18"/>
                <w:shd w:val="clear" w:color="auto" w:fill="CCEDFF"/>
              </w:rPr>
              <w:tab/>
            </w:r>
          </w:p>
          <w:p w14:paraId="7326CAAE" w14:textId="77777777" w:rsidR="00EF3DFB" w:rsidRDefault="00D27C17">
            <w:pPr>
              <w:pStyle w:val="TableParagraph"/>
              <w:spacing w:before="51"/>
              <w:ind w:left="52"/>
              <w:rPr>
                <w:sz w:val="18"/>
              </w:rPr>
            </w:pPr>
            <w:r>
              <w:rPr>
                <w:sz w:val="18"/>
              </w:rPr>
              <w:t>Weighted average assumption used to calculate net periodic cost:</w:t>
            </w:r>
          </w:p>
        </w:tc>
      </w:tr>
      <w:tr w:rsidR="00EF3DFB" w14:paraId="7326CAB7" w14:textId="77777777">
        <w:trPr>
          <w:trHeight w:val="255"/>
        </w:trPr>
        <w:tc>
          <w:tcPr>
            <w:tcW w:w="4845" w:type="dxa"/>
            <w:shd w:val="clear" w:color="auto" w:fill="CCEDFF"/>
          </w:tcPr>
          <w:p w14:paraId="7326CAB0" w14:textId="77777777" w:rsidR="00EF3DFB" w:rsidRDefault="00D27C17">
            <w:pPr>
              <w:pStyle w:val="TableParagraph"/>
              <w:spacing w:before="9"/>
              <w:ind w:left="52"/>
              <w:rPr>
                <w:sz w:val="18"/>
              </w:rPr>
            </w:pPr>
            <w:r>
              <w:rPr>
                <w:sz w:val="18"/>
              </w:rPr>
              <w:t>Effective discount rate for benefit obligations</w:t>
            </w:r>
          </w:p>
        </w:tc>
        <w:tc>
          <w:tcPr>
            <w:tcW w:w="906" w:type="dxa"/>
            <w:shd w:val="clear" w:color="auto" w:fill="CCEDFF"/>
          </w:tcPr>
          <w:p w14:paraId="7326CAB1" w14:textId="77777777" w:rsidR="00EF3DFB" w:rsidRDefault="00D27C17">
            <w:pPr>
              <w:pStyle w:val="TableParagraph"/>
              <w:spacing w:before="18"/>
              <w:ind w:right="18"/>
              <w:jc w:val="right"/>
              <w:rPr>
                <w:sz w:val="18"/>
              </w:rPr>
            </w:pPr>
            <w:r>
              <w:rPr>
                <w:sz w:val="18"/>
              </w:rPr>
              <w:t>3.06 %</w:t>
            </w:r>
          </w:p>
        </w:tc>
        <w:tc>
          <w:tcPr>
            <w:tcW w:w="1063" w:type="dxa"/>
            <w:shd w:val="clear" w:color="auto" w:fill="CCEDFF"/>
          </w:tcPr>
          <w:p w14:paraId="7326CAB2" w14:textId="77777777" w:rsidR="00EF3DFB" w:rsidRDefault="00D27C17">
            <w:pPr>
              <w:pStyle w:val="TableParagraph"/>
              <w:spacing w:before="18"/>
              <w:ind w:right="106"/>
              <w:jc w:val="right"/>
              <w:rPr>
                <w:sz w:val="18"/>
              </w:rPr>
            </w:pPr>
            <w:r>
              <w:rPr>
                <w:sz w:val="18"/>
              </w:rPr>
              <w:t>4.12 %</w:t>
            </w:r>
          </w:p>
        </w:tc>
        <w:tc>
          <w:tcPr>
            <w:tcW w:w="935" w:type="dxa"/>
            <w:shd w:val="clear" w:color="auto" w:fill="CCEDFF"/>
          </w:tcPr>
          <w:p w14:paraId="7326CAB3" w14:textId="77777777" w:rsidR="00EF3DFB" w:rsidRDefault="00D27C17">
            <w:pPr>
              <w:pStyle w:val="TableParagraph"/>
              <w:spacing w:before="18"/>
              <w:ind w:right="66"/>
              <w:jc w:val="right"/>
              <w:rPr>
                <w:sz w:val="18"/>
              </w:rPr>
            </w:pPr>
            <w:r>
              <w:rPr>
                <w:sz w:val="18"/>
              </w:rPr>
              <w:t>3.48 %</w:t>
            </w:r>
          </w:p>
        </w:tc>
        <w:tc>
          <w:tcPr>
            <w:tcW w:w="925" w:type="dxa"/>
            <w:shd w:val="clear" w:color="auto" w:fill="CCEDFF"/>
          </w:tcPr>
          <w:p w14:paraId="7326CAB4" w14:textId="77777777" w:rsidR="00EF3DFB" w:rsidRDefault="00D27C17">
            <w:pPr>
              <w:pStyle w:val="TableParagraph"/>
              <w:spacing w:before="18"/>
              <w:ind w:right="16"/>
              <w:jc w:val="right"/>
              <w:rPr>
                <w:sz w:val="18"/>
              </w:rPr>
            </w:pPr>
            <w:r>
              <w:rPr>
                <w:sz w:val="18"/>
              </w:rPr>
              <w:t>1.79 %</w:t>
            </w:r>
          </w:p>
        </w:tc>
        <w:tc>
          <w:tcPr>
            <w:tcW w:w="1060" w:type="dxa"/>
            <w:shd w:val="clear" w:color="auto" w:fill="CCEDFF"/>
          </w:tcPr>
          <w:p w14:paraId="7326CAB5" w14:textId="77777777" w:rsidR="00EF3DFB" w:rsidRDefault="00D27C17">
            <w:pPr>
              <w:pStyle w:val="TableParagraph"/>
              <w:spacing w:before="18"/>
              <w:ind w:right="101"/>
              <w:jc w:val="right"/>
              <w:rPr>
                <w:sz w:val="18"/>
              </w:rPr>
            </w:pPr>
            <w:r>
              <w:rPr>
                <w:sz w:val="18"/>
              </w:rPr>
              <w:t>2.52 %</w:t>
            </w:r>
          </w:p>
        </w:tc>
        <w:tc>
          <w:tcPr>
            <w:tcW w:w="880" w:type="dxa"/>
            <w:shd w:val="clear" w:color="auto" w:fill="CCEDFF"/>
          </w:tcPr>
          <w:p w14:paraId="7326CAB6" w14:textId="77777777" w:rsidR="00EF3DFB" w:rsidRDefault="00D27C17">
            <w:pPr>
              <w:pStyle w:val="TableParagraph"/>
              <w:spacing w:before="18"/>
              <w:ind w:right="6"/>
              <w:jc w:val="right"/>
              <w:rPr>
                <w:sz w:val="18"/>
              </w:rPr>
            </w:pPr>
            <w:r>
              <w:rPr>
                <w:sz w:val="18"/>
              </w:rPr>
              <w:t>2.24 %</w:t>
            </w:r>
          </w:p>
        </w:tc>
      </w:tr>
      <w:tr w:rsidR="00EF3DFB" w14:paraId="7326CABF" w14:textId="77777777">
        <w:trPr>
          <w:trHeight w:val="255"/>
        </w:trPr>
        <w:tc>
          <w:tcPr>
            <w:tcW w:w="4845" w:type="dxa"/>
          </w:tcPr>
          <w:p w14:paraId="7326CAB8" w14:textId="77777777" w:rsidR="00EF3DFB" w:rsidRDefault="00D27C17">
            <w:pPr>
              <w:pStyle w:val="TableParagraph"/>
              <w:spacing w:before="9"/>
              <w:ind w:left="52"/>
              <w:rPr>
                <w:sz w:val="18"/>
              </w:rPr>
            </w:pPr>
            <w:r>
              <w:rPr>
                <w:sz w:val="18"/>
              </w:rPr>
              <w:t>Effective rate for interest on benefit obligations</w:t>
            </w:r>
          </w:p>
        </w:tc>
        <w:tc>
          <w:tcPr>
            <w:tcW w:w="906" w:type="dxa"/>
          </w:tcPr>
          <w:p w14:paraId="7326CAB9" w14:textId="77777777" w:rsidR="00EF3DFB" w:rsidRDefault="00D27C17">
            <w:pPr>
              <w:pStyle w:val="TableParagraph"/>
              <w:spacing w:before="18"/>
              <w:ind w:right="18"/>
              <w:jc w:val="right"/>
              <w:rPr>
                <w:sz w:val="18"/>
              </w:rPr>
            </w:pPr>
            <w:r>
              <w:rPr>
                <w:sz w:val="18"/>
              </w:rPr>
              <w:t>2.65 %</w:t>
            </w:r>
          </w:p>
        </w:tc>
        <w:tc>
          <w:tcPr>
            <w:tcW w:w="1063" w:type="dxa"/>
          </w:tcPr>
          <w:p w14:paraId="7326CABA" w14:textId="77777777" w:rsidR="00EF3DFB" w:rsidRDefault="00D27C17">
            <w:pPr>
              <w:pStyle w:val="TableParagraph"/>
              <w:spacing w:before="18"/>
              <w:ind w:right="106"/>
              <w:jc w:val="right"/>
              <w:rPr>
                <w:sz w:val="18"/>
              </w:rPr>
            </w:pPr>
            <w:r>
              <w:rPr>
                <w:sz w:val="18"/>
              </w:rPr>
              <w:t>3.79 %</w:t>
            </w:r>
          </w:p>
        </w:tc>
        <w:tc>
          <w:tcPr>
            <w:tcW w:w="935" w:type="dxa"/>
          </w:tcPr>
          <w:p w14:paraId="7326CABB" w14:textId="77777777" w:rsidR="00EF3DFB" w:rsidRDefault="00D27C17">
            <w:pPr>
              <w:pStyle w:val="TableParagraph"/>
              <w:spacing w:before="18"/>
              <w:ind w:right="66"/>
              <w:jc w:val="right"/>
              <w:rPr>
                <w:sz w:val="18"/>
              </w:rPr>
            </w:pPr>
            <w:r>
              <w:rPr>
                <w:sz w:val="18"/>
              </w:rPr>
              <w:t>3.09 %</w:t>
            </w:r>
          </w:p>
        </w:tc>
        <w:tc>
          <w:tcPr>
            <w:tcW w:w="925" w:type="dxa"/>
          </w:tcPr>
          <w:p w14:paraId="7326CABC" w14:textId="77777777" w:rsidR="00EF3DFB" w:rsidRDefault="00D27C17">
            <w:pPr>
              <w:pStyle w:val="TableParagraph"/>
              <w:spacing w:before="18"/>
              <w:ind w:right="16"/>
              <w:jc w:val="right"/>
              <w:rPr>
                <w:sz w:val="18"/>
              </w:rPr>
            </w:pPr>
            <w:r>
              <w:rPr>
                <w:sz w:val="18"/>
              </w:rPr>
              <w:t>1.55 %</w:t>
            </w:r>
          </w:p>
        </w:tc>
        <w:tc>
          <w:tcPr>
            <w:tcW w:w="1060" w:type="dxa"/>
          </w:tcPr>
          <w:p w14:paraId="7326CABD" w14:textId="77777777" w:rsidR="00EF3DFB" w:rsidRDefault="00D27C17">
            <w:pPr>
              <w:pStyle w:val="TableParagraph"/>
              <w:spacing w:before="18"/>
              <w:ind w:right="101"/>
              <w:jc w:val="right"/>
              <w:rPr>
                <w:sz w:val="18"/>
              </w:rPr>
            </w:pPr>
            <w:r>
              <w:rPr>
                <w:sz w:val="18"/>
              </w:rPr>
              <w:t>2.20 %</w:t>
            </w:r>
          </w:p>
        </w:tc>
        <w:tc>
          <w:tcPr>
            <w:tcW w:w="880" w:type="dxa"/>
          </w:tcPr>
          <w:p w14:paraId="7326CABE" w14:textId="77777777" w:rsidR="00EF3DFB" w:rsidRDefault="00D27C17">
            <w:pPr>
              <w:pStyle w:val="TableParagraph"/>
              <w:spacing w:before="18"/>
              <w:ind w:right="6"/>
              <w:jc w:val="right"/>
              <w:rPr>
                <w:sz w:val="18"/>
              </w:rPr>
            </w:pPr>
            <w:r>
              <w:rPr>
                <w:sz w:val="18"/>
              </w:rPr>
              <w:t>1.94 %</w:t>
            </w:r>
          </w:p>
        </w:tc>
      </w:tr>
      <w:tr w:rsidR="00EF3DFB" w14:paraId="7326CAC7" w14:textId="77777777">
        <w:trPr>
          <w:trHeight w:val="255"/>
        </w:trPr>
        <w:tc>
          <w:tcPr>
            <w:tcW w:w="4845" w:type="dxa"/>
            <w:shd w:val="clear" w:color="auto" w:fill="CCEDFF"/>
          </w:tcPr>
          <w:p w14:paraId="7326CAC0" w14:textId="77777777" w:rsidR="00EF3DFB" w:rsidRDefault="00D27C17">
            <w:pPr>
              <w:pStyle w:val="TableParagraph"/>
              <w:spacing w:before="9"/>
              <w:ind w:left="52"/>
              <w:rPr>
                <w:sz w:val="18"/>
              </w:rPr>
            </w:pPr>
            <w:r>
              <w:rPr>
                <w:sz w:val="18"/>
              </w:rPr>
              <w:t>Effective rate for service cost</w:t>
            </w:r>
          </w:p>
        </w:tc>
        <w:tc>
          <w:tcPr>
            <w:tcW w:w="906" w:type="dxa"/>
            <w:shd w:val="clear" w:color="auto" w:fill="CCEDFF"/>
          </w:tcPr>
          <w:p w14:paraId="7326CAC1" w14:textId="77777777" w:rsidR="00EF3DFB" w:rsidRDefault="00D27C17">
            <w:pPr>
              <w:pStyle w:val="TableParagraph"/>
              <w:spacing w:before="18"/>
              <w:ind w:right="18"/>
              <w:jc w:val="right"/>
              <w:rPr>
                <w:sz w:val="18"/>
              </w:rPr>
            </w:pPr>
            <w:r>
              <w:rPr>
                <w:sz w:val="18"/>
              </w:rPr>
              <w:t>3.43 %</w:t>
            </w:r>
          </w:p>
        </w:tc>
        <w:tc>
          <w:tcPr>
            <w:tcW w:w="1063" w:type="dxa"/>
            <w:shd w:val="clear" w:color="auto" w:fill="CCEDFF"/>
          </w:tcPr>
          <w:p w14:paraId="7326CAC2" w14:textId="77777777" w:rsidR="00EF3DFB" w:rsidRDefault="00D27C17">
            <w:pPr>
              <w:pStyle w:val="TableParagraph"/>
              <w:spacing w:before="18"/>
              <w:ind w:right="106"/>
              <w:jc w:val="right"/>
              <w:rPr>
                <w:sz w:val="18"/>
              </w:rPr>
            </w:pPr>
            <w:r>
              <w:rPr>
                <w:sz w:val="18"/>
              </w:rPr>
              <w:t>3.93 %</w:t>
            </w:r>
          </w:p>
        </w:tc>
        <w:tc>
          <w:tcPr>
            <w:tcW w:w="935" w:type="dxa"/>
            <w:shd w:val="clear" w:color="auto" w:fill="CCEDFF"/>
          </w:tcPr>
          <w:p w14:paraId="7326CAC3" w14:textId="77777777" w:rsidR="00EF3DFB" w:rsidRDefault="00D27C17">
            <w:pPr>
              <w:pStyle w:val="TableParagraph"/>
              <w:spacing w:before="18"/>
              <w:ind w:right="66"/>
              <w:jc w:val="right"/>
              <w:rPr>
                <w:sz w:val="18"/>
              </w:rPr>
            </w:pPr>
            <w:r>
              <w:rPr>
                <w:sz w:val="18"/>
              </w:rPr>
              <w:t>3.32 %</w:t>
            </w:r>
          </w:p>
        </w:tc>
        <w:tc>
          <w:tcPr>
            <w:tcW w:w="925" w:type="dxa"/>
            <w:shd w:val="clear" w:color="auto" w:fill="CCEDFF"/>
          </w:tcPr>
          <w:p w14:paraId="7326CAC4" w14:textId="77777777" w:rsidR="00EF3DFB" w:rsidRDefault="00D27C17">
            <w:pPr>
              <w:pStyle w:val="TableParagraph"/>
              <w:spacing w:before="18"/>
              <w:ind w:right="16"/>
              <w:jc w:val="right"/>
              <w:rPr>
                <w:sz w:val="18"/>
              </w:rPr>
            </w:pPr>
            <w:r>
              <w:rPr>
                <w:sz w:val="18"/>
              </w:rPr>
              <w:t>0.92 %</w:t>
            </w:r>
          </w:p>
        </w:tc>
        <w:tc>
          <w:tcPr>
            <w:tcW w:w="1060" w:type="dxa"/>
            <w:shd w:val="clear" w:color="auto" w:fill="CCEDFF"/>
          </w:tcPr>
          <w:p w14:paraId="7326CAC5" w14:textId="77777777" w:rsidR="00EF3DFB" w:rsidRDefault="00D27C17">
            <w:pPr>
              <w:pStyle w:val="TableParagraph"/>
              <w:spacing w:before="18"/>
              <w:ind w:right="101"/>
              <w:jc w:val="right"/>
              <w:rPr>
                <w:sz w:val="18"/>
              </w:rPr>
            </w:pPr>
            <w:r>
              <w:rPr>
                <w:sz w:val="18"/>
              </w:rPr>
              <w:t>1.89 %</w:t>
            </w:r>
          </w:p>
        </w:tc>
        <w:tc>
          <w:tcPr>
            <w:tcW w:w="880" w:type="dxa"/>
            <w:shd w:val="clear" w:color="auto" w:fill="CCEDFF"/>
          </w:tcPr>
          <w:p w14:paraId="7326CAC6" w14:textId="77777777" w:rsidR="00EF3DFB" w:rsidRDefault="00D27C17">
            <w:pPr>
              <w:pStyle w:val="TableParagraph"/>
              <w:spacing w:before="18"/>
              <w:ind w:right="6"/>
              <w:jc w:val="right"/>
              <w:rPr>
                <w:sz w:val="18"/>
              </w:rPr>
            </w:pPr>
            <w:r>
              <w:rPr>
                <w:sz w:val="18"/>
              </w:rPr>
              <w:t>2.33 %</w:t>
            </w:r>
          </w:p>
        </w:tc>
      </w:tr>
      <w:tr w:rsidR="00EF3DFB" w14:paraId="7326CACF" w14:textId="77777777">
        <w:trPr>
          <w:trHeight w:val="255"/>
        </w:trPr>
        <w:tc>
          <w:tcPr>
            <w:tcW w:w="4845" w:type="dxa"/>
          </w:tcPr>
          <w:p w14:paraId="7326CAC8" w14:textId="77777777" w:rsidR="00EF3DFB" w:rsidRDefault="00D27C17">
            <w:pPr>
              <w:pStyle w:val="TableParagraph"/>
              <w:spacing w:before="9"/>
              <w:ind w:left="52"/>
              <w:rPr>
                <w:sz w:val="18"/>
              </w:rPr>
            </w:pPr>
            <w:r>
              <w:rPr>
                <w:sz w:val="18"/>
              </w:rPr>
              <w:t>Effective rate for interest on service cost</w:t>
            </w:r>
          </w:p>
        </w:tc>
        <w:tc>
          <w:tcPr>
            <w:tcW w:w="906" w:type="dxa"/>
          </w:tcPr>
          <w:p w14:paraId="7326CAC9" w14:textId="77777777" w:rsidR="00EF3DFB" w:rsidRDefault="00D27C17">
            <w:pPr>
              <w:pStyle w:val="TableParagraph"/>
              <w:spacing w:before="18"/>
              <w:ind w:right="18"/>
              <w:jc w:val="right"/>
              <w:rPr>
                <w:sz w:val="18"/>
              </w:rPr>
            </w:pPr>
            <w:r>
              <w:rPr>
                <w:sz w:val="18"/>
              </w:rPr>
              <w:t>3.41 %</w:t>
            </w:r>
          </w:p>
        </w:tc>
        <w:tc>
          <w:tcPr>
            <w:tcW w:w="1063" w:type="dxa"/>
          </w:tcPr>
          <w:p w14:paraId="7326CACA" w14:textId="77777777" w:rsidR="00EF3DFB" w:rsidRDefault="00D27C17">
            <w:pPr>
              <w:pStyle w:val="TableParagraph"/>
              <w:spacing w:before="18"/>
              <w:ind w:right="106"/>
              <w:jc w:val="right"/>
              <w:rPr>
                <w:sz w:val="18"/>
              </w:rPr>
            </w:pPr>
            <w:r>
              <w:rPr>
                <w:sz w:val="18"/>
              </w:rPr>
              <w:t>3.62 %</w:t>
            </w:r>
          </w:p>
        </w:tc>
        <w:tc>
          <w:tcPr>
            <w:tcW w:w="935" w:type="dxa"/>
          </w:tcPr>
          <w:p w14:paraId="7326CACB" w14:textId="77777777" w:rsidR="00EF3DFB" w:rsidRDefault="00D27C17">
            <w:pPr>
              <w:pStyle w:val="TableParagraph"/>
              <w:spacing w:before="18"/>
              <w:ind w:right="66"/>
              <w:jc w:val="right"/>
              <w:rPr>
                <w:sz w:val="18"/>
              </w:rPr>
            </w:pPr>
            <w:r>
              <w:rPr>
                <w:sz w:val="18"/>
              </w:rPr>
              <w:t>2.98 %</w:t>
            </w:r>
          </w:p>
        </w:tc>
        <w:tc>
          <w:tcPr>
            <w:tcW w:w="925" w:type="dxa"/>
          </w:tcPr>
          <w:p w14:paraId="7326CACC" w14:textId="77777777" w:rsidR="00EF3DFB" w:rsidRDefault="00D27C17">
            <w:pPr>
              <w:pStyle w:val="TableParagraph"/>
              <w:spacing w:before="18"/>
              <w:ind w:right="16"/>
              <w:jc w:val="right"/>
              <w:rPr>
                <w:sz w:val="18"/>
              </w:rPr>
            </w:pPr>
            <w:r>
              <w:rPr>
                <w:sz w:val="18"/>
              </w:rPr>
              <w:t>0.75 %</w:t>
            </w:r>
          </w:p>
        </w:tc>
        <w:tc>
          <w:tcPr>
            <w:tcW w:w="1060" w:type="dxa"/>
          </w:tcPr>
          <w:p w14:paraId="7326CACD" w14:textId="77777777" w:rsidR="00EF3DFB" w:rsidRDefault="00D27C17">
            <w:pPr>
              <w:pStyle w:val="TableParagraph"/>
              <w:spacing w:before="18"/>
              <w:ind w:right="101"/>
              <w:jc w:val="right"/>
              <w:rPr>
                <w:sz w:val="18"/>
              </w:rPr>
            </w:pPr>
            <w:r>
              <w:rPr>
                <w:sz w:val="18"/>
              </w:rPr>
              <w:t>2.24 %</w:t>
            </w:r>
          </w:p>
        </w:tc>
        <w:tc>
          <w:tcPr>
            <w:tcW w:w="880" w:type="dxa"/>
          </w:tcPr>
          <w:p w14:paraId="7326CACE" w14:textId="77777777" w:rsidR="00EF3DFB" w:rsidRDefault="00D27C17">
            <w:pPr>
              <w:pStyle w:val="TableParagraph"/>
              <w:spacing w:before="18"/>
              <w:ind w:right="6"/>
              <w:jc w:val="right"/>
              <w:rPr>
                <w:sz w:val="18"/>
              </w:rPr>
            </w:pPr>
            <w:r>
              <w:rPr>
                <w:sz w:val="18"/>
              </w:rPr>
              <w:t>2.27 %</w:t>
            </w:r>
          </w:p>
        </w:tc>
      </w:tr>
      <w:tr w:rsidR="00EF3DFB" w14:paraId="7326CAD7" w14:textId="77777777">
        <w:trPr>
          <w:trHeight w:val="255"/>
        </w:trPr>
        <w:tc>
          <w:tcPr>
            <w:tcW w:w="4845" w:type="dxa"/>
            <w:shd w:val="clear" w:color="auto" w:fill="CCEDFF"/>
          </w:tcPr>
          <w:p w14:paraId="7326CAD0" w14:textId="77777777" w:rsidR="00EF3DFB" w:rsidRDefault="00D27C17">
            <w:pPr>
              <w:pStyle w:val="TableParagraph"/>
              <w:spacing w:before="9"/>
              <w:ind w:left="52"/>
              <w:rPr>
                <w:sz w:val="18"/>
              </w:rPr>
            </w:pPr>
            <w:r>
              <w:rPr>
                <w:sz w:val="18"/>
              </w:rPr>
              <w:t>Long-term rate of return on plan assets</w:t>
            </w:r>
          </w:p>
        </w:tc>
        <w:tc>
          <w:tcPr>
            <w:tcW w:w="906" w:type="dxa"/>
            <w:shd w:val="clear" w:color="auto" w:fill="CCEDFF"/>
          </w:tcPr>
          <w:p w14:paraId="7326CAD1" w14:textId="77777777" w:rsidR="00EF3DFB" w:rsidRDefault="00D27C17">
            <w:pPr>
              <w:pStyle w:val="TableParagraph"/>
              <w:spacing w:before="18"/>
              <w:ind w:right="18"/>
              <w:jc w:val="right"/>
              <w:rPr>
                <w:sz w:val="18"/>
              </w:rPr>
            </w:pPr>
            <w:r>
              <w:rPr>
                <w:sz w:val="18"/>
              </w:rPr>
              <w:t>5.50 %</w:t>
            </w:r>
          </w:p>
        </w:tc>
        <w:tc>
          <w:tcPr>
            <w:tcW w:w="1063" w:type="dxa"/>
            <w:shd w:val="clear" w:color="auto" w:fill="CCEDFF"/>
          </w:tcPr>
          <w:p w14:paraId="7326CAD2" w14:textId="77777777" w:rsidR="00EF3DFB" w:rsidRDefault="00D27C17">
            <w:pPr>
              <w:pStyle w:val="TableParagraph"/>
              <w:spacing w:before="18"/>
              <w:ind w:right="106"/>
              <w:jc w:val="right"/>
              <w:rPr>
                <w:sz w:val="18"/>
              </w:rPr>
            </w:pPr>
            <w:r>
              <w:rPr>
                <w:sz w:val="18"/>
              </w:rPr>
              <w:t>5.25 %</w:t>
            </w:r>
          </w:p>
        </w:tc>
        <w:tc>
          <w:tcPr>
            <w:tcW w:w="935" w:type="dxa"/>
            <w:shd w:val="clear" w:color="auto" w:fill="CCEDFF"/>
          </w:tcPr>
          <w:p w14:paraId="7326CAD3" w14:textId="77777777" w:rsidR="00EF3DFB" w:rsidRDefault="00D27C17">
            <w:pPr>
              <w:pStyle w:val="TableParagraph"/>
              <w:spacing w:before="18"/>
              <w:ind w:right="66"/>
              <w:jc w:val="right"/>
              <w:rPr>
                <w:sz w:val="18"/>
              </w:rPr>
            </w:pPr>
            <w:r>
              <w:rPr>
                <w:sz w:val="18"/>
              </w:rPr>
              <w:t>5.75 %</w:t>
            </w:r>
          </w:p>
        </w:tc>
        <w:tc>
          <w:tcPr>
            <w:tcW w:w="925" w:type="dxa"/>
            <w:shd w:val="clear" w:color="auto" w:fill="CCEDFF"/>
          </w:tcPr>
          <w:p w14:paraId="7326CAD4" w14:textId="77777777" w:rsidR="00EF3DFB" w:rsidRDefault="00D27C17">
            <w:pPr>
              <w:pStyle w:val="TableParagraph"/>
              <w:spacing w:before="18"/>
              <w:ind w:right="16"/>
              <w:jc w:val="right"/>
              <w:rPr>
                <w:sz w:val="18"/>
              </w:rPr>
            </w:pPr>
            <w:r>
              <w:rPr>
                <w:sz w:val="18"/>
              </w:rPr>
              <w:t>1.08 %</w:t>
            </w:r>
          </w:p>
        </w:tc>
        <w:tc>
          <w:tcPr>
            <w:tcW w:w="1060" w:type="dxa"/>
            <w:shd w:val="clear" w:color="auto" w:fill="CCEDFF"/>
          </w:tcPr>
          <w:p w14:paraId="7326CAD5" w14:textId="77777777" w:rsidR="00EF3DFB" w:rsidRDefault="00D27C17">
            <w:pPr>
              <w:pStyle w:val="TableParagraph"/>
              <w:spacing w:before="18"/>
              <w:ind w:right="101"/>
              <w:jc w:val="right"/>
              <w:rPr>
                <w:sz w:val="18"/>
              </w:rPr>
            </w:pPr>
            <w:r>
              <w:rPr>
                <w:sz w:val="18"/>
              </w:rPr>
              <w:t>2.47 %</w:t>
            </w:r>
          </w:p>
        </w:tc>
        <w:tc>
          <w:tcPr>
            <w:tcW w:w="880" w:type="dxa"/>
            <w:shd w:val="clear" w:color="auto" w:fill="CCEDFF"/>
          </w:tcPr>
          <w:p w14:paraId="7326CAD6" w14:textId="77777777" w:rsidR="00EF3DFB" w:rsidRDefault="00D27C17">
            <w:pPr>
              <w:pStyle w:val="TableParagraph"/>
              <w:spacing w:before="18"/>
              <w:ind w:right="6"/>
              <w:jc w:val="right"/>
              <w:rPr>
                <w:sz w:val="18"/>
              </w:rPr>
            </w:pPr>
            <w:r>
              <w:rPr>
                <w:sz w:val="18"/>
              </w:rPr>
              <w:t>2.58 %</w:t>
            </w:r>
          </w:p>
        </w:tc>
      </w:tr>
      <w:tr w:rsidR="00EF3DFB" w14:paraId="7326CADF" w14:textId="77777777">
        <w:trPr>
          <w:trHeight w:val="225"/>
        </w:trPr>
        <w:tc>
          <w:tcPr>
            <w:tcW w:w="4845" w:type="dxa"/>
          </w:tcPr>
          <w:p w14:paraId="7326CAD8" w14:textId="77777777" w:rsidR="00EF3DFB" w:rsidRDefault="00D27C17">
            <w:pPr>
              <w:pStyle w:val="TableParagraph"/>
              <w:spacing w:before="9" w:line="196" w:lineRule="exact"/>
              <w:ind w:left="52"/>
              <w:rPr>
                <w:sz w:val="18"/>
              </w:rPr>
            </w:pPr>
            <w:r>
              <w:rPr>
                <w:sz w:val="18"/>
              </w:rPr>
              <w:t>Long-term rate of compensation increase</w:t>
            </w:r>
          </w:p>
        </w:tc>
        <w:tc>
          <w:tcPr>
            <w:tcW w:w="906" w:type="dxa"/>
          </w:tcPr>
          <w:p w14:paraId="7326CAD9" w14:textId="77777777" w:rsidR="00EF3DFB" w:rsidRDefault="00D27C17">
            <w:pPr>
              <w:pStyle w:val="TableParagraph"/>
              <w:spacing w:before="18" w:line="187" w:lineRule="exact"/>
              <w:ind w:right="18"/>
              <w:jc w:val="right"/>
              <w:rPr>
                <w:sz w:val="18"/>
              </w:rPr>
            </w:pPr>
            <w:r>
              <w:rPr>
                <w:sz w:val="18"/>
              </w:rPr>
              <w:t>3.00 %</w:t>
            </w:r>
          </w:p>
        </w:tc>
        <w:tc>
          <w:tcPr>
            <w:tcW w:w="1063" w:type="dxa"/>
          </w:tcPr>
          <w:p w14:paraId="7326CADA" w14:textId="77777777" w:rsidR="00EF3DFB" w:rsidRDefault="00D27C17">
            <w:pPr>
              <w:pStyle w:val="TableParagraph"/>
              <w:spacing w:before="18" w:line="187" w:lineRule="exact"/>
              <w:ind w:right="106"/>
              <w:jc w:val="right"/>
              <w:rPr>
                <w:sz w:val="18"/>
              </w:rPr>
            </w:pPr>
            <w:r>
              <w:rPr>
                <w:sz w:val="18"/>
              </w:rPr>
              <w:t>3.00 %</w:t>
            </w:r>
          </w:p>
        </w:tc>
        <w:tc>
          <w:tcPr>
            <w:tcW w:w="935" w:type="dxa"/>
          </w:tcPr>
          <w:p w14:paraId="7326CADB" w14:textId="77777777" w:rsidR="00EF3DFB" w:rsidRDefault="00D27C17">
            <w:pPr>
              <w:pStyle w:val="TableParagraph"/>
              <w:spacing w:before="18" w:line="187" w:lineRule="exact"/>
              <w:ind w:right="66"/>
              <w:jc w:val="right"/>
              <w:rPr>
                <w:sz w:val="18"/>
              </w:rPr>
            </w:pPr>
            <w:r>
              <w:rPr>
                <w:sz w:val="18"/>
              </w:rPr>
              <w:t>2.54 %</w:t>
            </w:r>
          </w:p>
        </w:tc>
        <w:tc>
          <w:tcPr>
            <w:tcW w:w="925" w:type="dxa"/>
          </w:tcPr>
          <w:p w14:paraId="7326CADC" w14:textId="77777777" w:rsidR="00EF3DFB" w:rsidRDefault="00D27C17">
            <w:pPr>
              <w:pStyle w:val="TableParagraph"/>
              <w:spacing w:before="18" w:line="187" w:lineRule="exact"/>
              <w:ind w:right="16"/>
              <w:jc w:val="right"/>
              <w:rPr>
                <w:sz w:val="18"/>
              </w:rPr>
            </w:pPr>
            <w:r>
              <w:rPr>
                <w:sz w:val="18"/>
              </w:rPr>
              <w:t>2.32 %</w:t>
            </w:r>
          </w:p>
        </w:tc>
        <w:tc>
          <w:tcPr>
            <w:tcW w:w="1060" w:type="dxa"/>
          </w:tcPr>
          <w:p w14:paraId="7326CADD" w14:textId="77777777" w:rsidR="00EF3DFB" w:rsidRDefault="00D27C17">
            <w:pPr>
              <w:pStyle w:val="TableParagraph"/>
              <w:spacing w:before="18" w:line="187" w:lineRule="exact"/>
              <w:ind w:right="101"/>
              <w:jc w:val="right"/>
              <w:rPr>
                <w:sz w:val="18"/>
              </w:rPr>
            </w:pPr>
            <w:r>
              <w:rPr>
                <w:sz w:val="18"/>
              </w:rPr>
              <w:t>2.32 %</w:t>
            </w:r>
          </w:p>
        </w:tc>
        <w:tc>
          <w:tcPr>
            <w:tcW w:w="880" w:type="dxa"/>
          </w:tcPr>
          <w:p w14:paraId="7326CADE" w14:textId="77777777" w:rsidR="00EF3DFB" w:rsidRDefault="00D27C17">
            <w:pPr>
              <w:pStyle w:val="TableParagraph"/>
              <w:spacing w:before="18" w:line="187" w:lineRule="exact"/>
              <w:ind w:right="6"/>
              <w:jc w:val="right"/>
              <w:rPr>
                <w:sz w:val="18"/>
              </w:rPr>
            </w:pPr>
            <w:r>
              <w:rPr>
                <w:sz w:val="18"/>
              </w:rPr>
              <w:t>3.47 %</w:t>
            </w:r>
          </w:p>
        </w:tc>
      </w:tr>
    </w:tbl>
    <w:p w14:paraId="7326CAE0" w14:textId="77777777" w:rsidR="00EF3DFB" w:rsidRDefault="00D27C17">
      <w:pPr>
        <w:spacing w:before="156" w:after="19"/>
        <w:ind w:right="1236"/>
        <w:jc w:val="right"/>
        <w:rPr>
          <w:b/>
          <w:sz w:val="16"/>
        </w:rPr>
      </w:pPr>
      <w:r>
        <w:rPr>
          <w:b/>
          <w:sz w:val="16"/>
        </w:rPr>
        <w:t>Postretirement Benefits</w:t>
      </w:r>
    </w:p>
    <w:p w14:paraId="7326CAE1" w14:textId="3872A49F" w:rsidR="00EF3DFB" w:rsidRDefault="00D27C17">
      <w:pPr>
        <w:pStyle w:val="BodyText"/>
        <w:spacing w:line="20" w:lineRule="exact"/>
        <w:ind w:left="7050"/>
        <w:rPr>
          <w:sz w:val="2"/>
        </w:rPr>
      </w:pPr>
      <w:r>
        <w:rPr>
          <w:noProof/>
          <w:sz w:val="2"/>
        </w:rPr>
        <mc:AlternateContent>
          <mc:Choice Requires="wpg">
            <w:drawing>
              <wp:inline distT="0" distB="0" distL="0" distR="0" wp14:anchorId="7326D74B" wp14:editId="04FB5182">
                <wp:extent cx="2381250" cy="12700"/>
                <wp:effectExtent l="12700" t="6350" r="6350" b="0"/>
                <wp:docPr id="308"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2700"/>
                          <a:chOff x="0" y="0"/>
                          <a:chExt cx="3750" cy="20"/>
                        </a:xfrm>
                      </wpg:grpSpPr>
                      <wps:wsp>
                        <wps:cNvPr id="309" name="Line 293"/>
                        <wps:cNvCnPr>
                          <a:cxnSpLocks noChangeShapeType="1"/>
                        </wps:cNvCnPr>
                        <wps:spPr bwMode="auto">
                          <a:xfrm>
                            <a:off x="0" y="10"/>
                            <a:ext cx="3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92"/>
                        <wps:cNvCnPr>
                          <a:cxnSpLocks noChangeShapeType="1"/>
                        </wps:cNvCnPr>
                        <wps:spPr bwMode="auto">
                          <a:xfrm>
                            <a:off x="0" y="10"/>
                            <a:ext cx="37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D32882" id="Group 291" o:spid="_x0000_s1026" style="width:187.5pt;height:1pt;mso-position-horizontal-relative:char;mso-position-vertical-relative:line" coordsize="3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">
                <v:line id="Line 293" o:spid="_x0000_s1027" style="position:absolute;visibility:visible;mso-wrap-style:square" from="0,10" to="37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n8xQAAANwAAAAPAAAAZHJzL2Rvd25yZXYueG1sRI9Ba8JA&#10;FITvQv/D8gq91Y0t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ACeLn8xQAAANwAAAAP&#10;AAAAAAAAAAAAAAAAAAcCAABkcnMvZG93bnJldi54bWxQSwUGAAAAAAMAAwC3AAAA+QIAAAAA&#10;" strokeweight="0"/>
                <v:line id="Line 292" o:spid="_x0000_s1028" style="position:absolute;visibility:visible;mso-wrap-style:square" from="0,10" to="37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" strokeweight="1pt"/>
                <w10:anchorlock/>
              </v:group>
            </w:pict>
          </mc:Fallback>
        </mc:AlternateContent>
      </w:r>
    </w:p>
    <w:p w14:paraId="7326CAE2" w14:textId="77777777" w:rsidR="00EF3DFB" w:rsidRDefault="00D27C17">
      <w:pPr>
        <w:tabs>
          <w:tab w:val="left" w:pos="1274"/>
          <w:tab w:val="left" w:pos="2549"/>
        </w:tabs>
        <w:spacing w:before="16"/>
        <w:ind w:right="609"/>
        <w:jc w:val="right"/>
        <w:rPr>
          <w:b/>
          <w:sz w:val="16"/>
        </w:rPr>
      </w:pPr>
      <w:r>
        <w:rPr>
          <w:b/>
          <w:sz w:val="16"/>
        </w:rPr>
        <w:t>2020</w:t>
      </w:r>
      <w:r>
        <w:rPr>
          <w:b/>
          <w:sz w:val="16"/>
        </w:rPr>
        <w:tab/>
        <w:t>2019</w:t>
      </w:r>
      <w:r>
        <w:rPr>
          <w:b/>
          <w:sz w:val="16"/>
        </w:rPr>
        <w:tab/>
        <w:t>2018</w:t>
      </w:r>
    </w:p>
    <w:p w14:paraId="7326CAE3" w14:textId="4ADEAFA3" w:rsidR="00EF3DFB" w:rsidRDefault="00D27C17">
      <w:pPr>
        <w:tabs>
          <w:tab w:val="left" w:pos="7112"/>
          <w:tab w:val="left" w:pos="7945"/>
          <w:tab w:val="left" w:pos="8387"/>
          <w:tab w:val="left" w:pos="9220"/>
          <w:tab w:val="left" w:pos="9662"/>
          <w:tab w:val="right" w:pos="10585"/>
        </w:tabs>
        <w:spacing w:before="39"/>
        <w:ind w:left="242"/>
        <w:rPr>
          <w:sz w:val="18"/>
        </w:rPr>
      </w:pPr>
      <w:r>
        <w:rPr>
          <w:noProof/>
        </w:rPr>
        <mc:AlternateContent>
          <mc:Choice Requires="wpg">
            <w:drawing>
              <wp:anchor distT="0" distB="0" distL="114300" distR="114300" simplePos="0" relativeHeight="502906976" behindDoc="1" locked="0" layoutInCell="1" allowOverlap="1" wp14:anchorId="7326D74D" wp14:editId="0D8BE50C">
                <wp:simplePos x="0" y="0"/>
                <wp:positionH relativeFrom="page">
                  <wp:posOffset>514350</wp:posOffset>
                </wp:positionH>
                <wp:positionV relativeFrom="paragraph">
                  <wp:posOffset>12700</wp:posOffset>
                </wp:positionV>
                <wp:extent cx="6743700" cy="187325"/>
                <wp:effectExtent l="0" t="5715" r="9525" b="0"/>
                <wp:wrapNone/>
                <wp:docPr id="30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20"/>
                          <a:chExt cx="10620" cy="295"/>
                        </a:xfrm>
                      </wpg:grpSpPr>
                      <wps:wsp>
                        <wps:cNvPr id="301" name="Rectangle 290"/>
                        <wps:cNvSpPr>
                          <a:spLocks noChangeArrowheads="1"/>
                        </wps:cNvSpPr>
                        <wps:spPr bwMode="auto">
                          <a:xfrm>
                            <a:off x="810" y="29"/>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89"/>
                        <wps:cNvCnPr>
                          <a:cxnSpLocks noChangeShapeType="1"/>
                        </wps:cNvCnPr>
                        <wps:spPr bwMode="auto">
                          <a:xfrm>
                            <a:off x="768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88"/>
                        <wps:cNvCnPr>
                          <a:cxnSpLocks noChangeShapeType="1"/>
                        </wps:cNvCnPr>
                        <wps:spPr bwMode="auto">
                          <a:xfrm>
                            <a:off x="768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287"/>
                        <wps:cNvCnPr>
                          <a:cxnSpLocks noChangeShapeType="1"/>
                        </wps:cNvCnPr>
                        <wps:spPr bwMode="auto">
                          <a:xfrm>
                            <a:off x="8955"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86"/>
                        <wps:cNvCnPr>
                          <a:cxnSpLocks noChangeShapeType="1"/>
                        </wps:cNvCnPr>
                        <wps:spPr bwMode="auto">
                          <a:xfrm>
                            <a:off x="8955"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85"/>
                        <wps:cNvCnPr>
                          <a:cxnSpLocks noChangeShapeType="1"/>
                        </wps:cNvCnPr>
                        <wps:spPr bwMode="auto">
                          <a:xfrm>
                            <a:off x="1023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84"/>
                        <wps:cNvCnPr>
                          <a:cxnSpLocks noChangeShapeType="1"/>
                        </wps:cNvCnPr>
                        <wps:spPr bwMode="auto">
                          <a:xfrm>
                            <a:off x="1023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FE6B1" id="Group 283" o:spid="_x0000_s1026" style="position:absolute;margin-left:40.5pt;margin-top:1pt;width:531pt;height:14.75pt;z-index:-409504;mso-position-horizontal-relative:page" coordorigin="810,2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">
                <v:rect id="Rectangle 290" o:spid="_x0000_s1027" style="position:absolute;left:810;top:29;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" fillcolor="#ccedff" stroked="f"/>
                <v:line id="Line 289" o:spid="_x0000_s1028"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line id="Line 288" o:spid="_x0000_s1029"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" strokeweight="1pt"/>
                <v:line id="Line 287" o:spid="_x0000_s1030"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line id="Line 286" o:spid="_x0000_s1031"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" strokeweight="1pt"/>
                <v:line id="Line 285" o:spid="_x0000_s1032"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line id="Line 284" o:spid="_x0000_s1033"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" strokeweight="1pt"/>
                <w10:wrap anchorx="page"/>
              </v:group>
            </w:pict>
          </mc:Fallback>
        </mc:AlternateContent>
      </w:r>
      <w:r>
        <w:rPr>
          <w:sz w:val="18"/>
        </w:rPr>
        <w:t>Interest</w:t>
      </w:r>
      <w:r>
        <w:rPr>
          <w:spacing w:val="-1"/>
          <w:sz w:val="18"/>
        </w:rPr>
        <w:t xml:space="preserve"> </w:t>
      </w:r>
      <w:r>
        <w:rPr>
          <w:sz w:val="18"/>
        </w:rPr>
        <w:t>cost</w:t>
      </w:r>
      <w:r>
        <w:rPr>
          <w:sz w:val="18"/>
        </w:rPr>
        <w:tab/>
      </w:r>
      <w:r>
        <w:rPr>
          <w:position w:val="-3"/>
          <w:sz w:val="18"/>
        </w:rPr>
        <w:t>$</w:t>
      </w:r>
      <w:r>
        <w:rPr>
          <w:position w:val="-3"/>
          <w:sz w:val="18"/>
        </w:rPr>
        <w:tab/>
        <w:t>1</w:t>
      </w:r>
      <w:r>
        <w:rPr>
          <w:position w:val="-3"/>
          <w:sz w:val="18"/>
        </w:rPr>
        <w:tab/>
        <w:t>$</w:t>
      </w:r>
      <w:r>
        <w:rPr>
          <w:position w:val="-3"/>
          <w:sz w:val="18"/>
        </w:rPr>
        <w:tab/>
        <w:t>2</w:t>
      </w:r>
      <w:r>
        <w:rPr>
          <w:position w:val="-3"/>
          <w:sz w:val="18"/>
        </w:rPr>
        <w:tab/>
        <w:t>$</w:t>
      </w:r>
      <w:r>
        <w:rPr>
          <w:position w:val="-3"/>
          <w:sz w:val="18"/>
        </w:rPr>
        <w:tab/>
        <w:t>2</w:t>
      </w:r>
    </w:p>
    <w:p w14:paraId="7326CAE4" w14:textId="77777777" w:rsidR="00EF3DFB" w:rsidRDefault="00D27C17">
      <w:pPr>
        <w:spacing w:before="38"/>
        <w:ind w:left="242"/>
        <w:rPr>
          <w:sz w:val="18"/>
        </w:rPr>
      </w:pPr>
      <w:r>
        <w:rPr>
          <w:sz w:val="18"/>
        </w:rPr>
        <w:t>Amortization:</w:t>
      </w:r>
    </w:p>
    <w:p w14:paraId="7326CAE5" w14:textId="77777777" w:rsidR="00EF3DFB" w:rsidRDefault="00EF3DFB">
      <w:pPr>
        <w:pStyle w:val="BodyText"/>
        <w:rPr>
          <w:sz w:val="6"/>
        </w:rPr>
      </w:pPr>
    </w:p>
    <w:tbl>
      <w:tblPr>
        <w:tblW w:w="0" w:type="auto"/>
        <w:tblInd w:w="190" w:type="dxa"/>
        <w:tblLayout w:type="fixed"/>
        <w:tblCellMar>
          <w:left w:w="0" w:type="dxa"/>
          <w:right w:w="0" w:type="dxa"/>
        </w:tblCellMar>
        <w:tblLook w:val="01E0" w:firstRow="1" w:lastRow="1" w:firstColumn="1" w:lastColumn="1" w:noHBand="0" w:noVBand="0"/>
      </w:tblPr>
      <w:tblGrid>
        <w:gridCol w:w="4352"/>
        <w:gridCol w:w="3781"/>
        <w:gridCol w:w="1275"/>
        <w:gridCol w:w="1211"/>
      </w:tblGrid>
      <w:tr w:rsidR="00EF3DFB" w14:paraId="7326CAEA" w14:textId="77777777">
        <w:trPr>
          <w:trHeight w:val="285"/>
        </w:trPr>
        <w:tc>
          <w:tcPr>
            <w:tcW w:w="4352" w:type="dxa"/>
            <w:shd w:val="clear" w:color="auto" w:fill="CCEDFF"/>
          </w:tcPr>
          <w:p w14:paraId="7326CAE6" w14:textId="77777777" w:rsidR="00EF3DFB" w:rsidRDefault="00D27C17">
            <w:pPr>
              <w:pStyle w:val="TableParagraph"/>
              <w:spacing w:before="9"/>
              <w:ind w:left="412"/>
              <w:rPr>
                <w:sz w:val="18"/>
              </w:rPr>
            </w:pPr>
            <w:r>
              <w:rPr>
                <w:sz w:val="18"/>
              </w:rPr>
              <w:t>Prior service credit</w:t>
            </w:r>
          </w:p>
        </w:tc>
        <w:tc>
          <w:tcPr>
            <w:tcW w:w="3781" w:type="dxa"/>
            <w:shd w:val="clear" w:color="auto" w:fill="CCEDFF"/>
          </w:tcPr>
          <w:p w14:paraId="7326CAE7" w14:textId="77777777" w:rsidR="00EF3DFB" w:rsidRDefault="00D27C17">
            <w:pPr>
              <w:pStyle w:val="TableParagraph"/>
              <w:spacing w:before="48"/>
              <w:ind w:right="225"/>
              <w:jc w:val="right"/>
              <w:rPr>
                <w:sz w:val="18"/>
              </w:rPr>
            </w:pPr>
            <w:r>
              <w:rPr>
                <w:sz w:val="18"/>
              </w:rPr>
              <w:t>(2)</w:t>
            </w:r>
          </w:p>
        </w:tc>
        <w:tc>
          <w:tcPr>
            <w:tcW w:w="1275" w:type="dxa"/>
            <w:shd w:val="clear" w:color="auto" w:fill="CCEDFF"/>
          </w:tcPr>
          <w:p w14:paraId="7326CAE8" w14:textId="77777777" w:rsidR="00EF3DFB" w:rsidRDefault="00D27C17">
            <w:pPr>
              <w:pStyle w:val="TableParagraph"/>
              <w:spacing w:before="48"/>
              <w:ind w:left="837"/>
              <w:rPr>
                <w:sz w:val="18"/>
              </w:rPr>
            </w:pPr>
            <w:r>
              <w:rPr>
                <w:sz w:val="18"/>
              </w:rPr>
              <w:t>(5)</w:t>
            </w:r>
          </w:p>
        </w:tc>
        <w:tc>
          <w:tcPr>
            <w:tcW w:w="1211" w:type="dxa"/>
            <w:shd w:val="clear" w:color="auto" w:fill="CCEDFF"/>
          </w:tcPr>
          <w:p w14:paraId="7326CAE9" w14:textId="77777777" w:rsidR="00EF3DFB" w:rsidRDefault="00D27C17">
            <w:pPr>
              <w:pStyle w:val="TableParagraph"/>
              <w:spacing w:before="48"/>
              <w:ind w:right="161"/>
              <w:jc w:val="right"/>
              <w:rPr>
                <w:sz w:val="18"/>
              </w:rPr>
            </w:pPr>
            <w:r>
              <w:rPr>
                <w:sz w:val="18"/>
              </w:rPr>
              <w:t>(7)</w:t>
            </w:r>
          </w:p>
        </w:tc>
      </w:tr>
      <w:tr w:rsidR="00EF3DFB" w14:paraId="7326CAEF" w14:textId="77777777">
        <w:trPr>
          <w:trHeight w:val="275"/>
        </w:trPr>
        <w:tc>
          <w:tcPr>
            <w:tcW w:w="4352" w:type="dxa"/>
          </w:tcPr>
          <w:p w14:paraId="7326CAEB" w14:textId="77777777" w:rsidR="00EF3DFB" w:rsidRDefault="00D27C17">
            <w:pPr>
              <w:pStyle w:val="TableParagraph"/>
              <w:spacing w:before="9"/>
              <w:ind w:left="412"/>
              <w:rPr>
                <w:sz w:val="18"/>
              </w:rPr>
            </w:pPr>
            <w:r>
              <w:rPr>
                <w:sz w:val="18"/>
              </w:rPr>
              <w:t>Net actuarial gain</w:t>
            </w:r>
          </w:p>
        </w:tc>
        <w:tc>
          <w:tcPr>
            <w:tcW w:w="3781" w:type="dxa"/>
            <w:tcBorders>
              <w:bottom w:val="single" w:sz="8" w:space="0" w:color="000000"/>
            </w:tcBorders>
          </w:tcPr>
          <w:p w14:paraId="7326CAEC" w14:textId="77777777" w:rsidR="00EF3DFB" w:rsidRDefault="00D27C17">
            <w:pPr>
              <w:pStyle w:val="TableParagraph"/>
              <w:spacing w:before="48"/>
              <w:ind w:right="225"/>
              <w:jc w:val="right"/>
              <w:rPr>
                <w:sz w:val="18"/>
              </w:rPr>
            </w:pPr>
            <w:r>
              <w:rPr>
                <w:sz w:val="18"/>
              </w:rPr>
              <w:t>(4)</w:t>
            </w:r>
          </w:p>
        </w:tc>
        <w:tc>
          <w:tcPr>
            <w:tcW w:w="1275" w:type="dxa"/>
            <w:tcBorders>
              <w:bottom w:val="single" w:sz="8" w:space="0" w:color="000000"/>
            </w:tcBorders>
          </w:tcPr>
          <w:p w14:paraId="7326CAED" w14:textId="77777777" w:rsidR="00EF3DFB" w:rsidRDefault="00D27C17">
            <w:pPr>
              <w:pStyle w:val="TableParagraph"/>
              <w:spacing w:before="48"/>
              <w:ind w:left="837"/>
              <w:rPr>
                <w:sz w:val="18"/>
              </w:rPr>
            </w:pPr>
            <w:r>
              <w:rPr>
                <w:sz w:val="18"/>
              </w:rPr>
              <w:t>(4)</w:t>
            </w:r>
          </w:p>
        </w:tc>
        <w:tc>
          <w:tcPr>
            <w:tcW w:w="1211" w:type="dxa"/>
            <w:tcBorders>
              <w:bottom w:val="single" w:sz="8" w:space="0" w:color="000000"/>
            </w:tcBorders>
          </w:tcPr>
          <w:p w14:paraId="7326CAEE" w14:textId="77777777" w:rsidR="00EF3DFB" w:rsidRDefault="00D27C17">
            <w:pPr>
              <w:pStyle w:val="TableParagraph"/>
              <w:spacing w:before="48"/>
              <w:ind w:right="161"/>
              <w:jc w:val="right"/>
              <w:rPr>
                <w:sz w:val="18"/>
              </w:rPr>
            </w:pPr>
            <w:r>
              <w:rPr>
                <w:sz w:val="18"/>
              </w:rPr>
              <w:t>(3)</w:t>
            </w:r>
          </w:p>
        </w:tc>
      </w:tr>
      <w:tr w:rsidR="00EF3DFB" w14:paraId="7326CAF4" w14:textId="77777777">
        <w:trPr>
          <w:trHeight w:val="285"/>
        </w:trPr>
        <w:tc>
          <w:tcPr>
            <w:tcW w:w="4352" w:type="dxa"/>
            <w:shd w:val="clear" w:color="auto" w:fill="CCEDFF"/>
          </w:tcPr>
          <w:p w14:paraId="7326CAF0" w14:textId="77777777" w:rsidR="00EF3DFB" w:rsidRDefault="00D27C17">
            <w:pPr>
              <w:pStyle w:val="TableParagraph"/>
              <w:spacing w:line="206" w:lineRule="exact"/>
              <w:ind w:left="52"/>
              <w:rPr>
                <w:sz w:val="18"/>
              </w:rPr>
            </w:pPr>
            <w:r>
              <w:rPr>
                <w:sz w:val="18"/>
              </w:rPr>
              <w:t>Total income</w:t>
            </w:r>
          </w:p>
        </w:tc>
        <w:tc>
          <w:tcPr>
            <w:tcW w:w="3781" w:type="dxa"/>
            <w:tcBorders>
              <w:top w:val="single" w:sz="8" w:space="0" w:color="000000"/>
              <w:bottom w:val="single" w:sz="8" w:space="0" w:color="000000"/>
            </w:tcBorders>
            <w:shd w:val="clear" w:color="auto" w:fill="CCEDFF"/>
          </w:tcPr>
          <w:p w14:paraId="7326CAF1" w14:textId="77777777" w:rsidR="00EF3DFB" w:rsidRDefault="00D27C17">
            <w:pPr>
              <w:pStyle w:val="TableParagraph"/>
              <w:tabs>
                <w:tab w:val="left" w:pos="772"/>
              </w:tabs>
              <w:spacing w:before="38"/>
              <w:ind w:right="61"/>
              <w:jc w:val="right"/>
              <w:rPr>
                <w:sz w:val="18"/>
              </w:rPr>
            </w:pPr>
            <w:r>
              <w:rPr>
                <w:sz w:val="18"/>
                <w:u w:val="single"/>
              </w:rPr>
              <w:t>$</w:t>
            </w:r>
            <w:r>
              <w:rPr>
                <w:sz w:val="18"/>
                <w:u w:val="single"/>
              </w:rPr>
              <w:tab/>
              <w:t>(5)</w:t>
            </w:r>
            <w:r>
              <w:rPr>
                <w:spacing w:val="-16"/>
                <w:sz w:val="18"/>
                <w:u w:val="single"/>
              </w:rPr>
              <w:t xml:space="preserve"> </w:t>
            </w:r>
          </w:p>
        </w:tc>
        <w:tc>
          <w:tcPr>
            <w:tcW w:w="1275" w:type="dxa"/>
            <w:tcBorders>
              <w:top w:val="single" w:sz="8" w:space="0" w:color="000000"/>
              <w:bottom w:val="single" w:sz="8" w:space="0" w:color="000000"/>
            </w:tcBorders>
            <w:shd w:val="clear" w:color="auto" w:fill="CCEDFF"/>
          </w:tcPr>
          <w:p w14:paraId="7326CAF2" w14:textId="77777777" w:rsidR="00EF3DFB" w:rsidRDefault="00D27C17">
            <w:pPr>
              <w:pStyle w:val="TableParagraph"/>
              <w:tabs>
                <w:tab w:val="left" w:pos="837"/>
              </w:tabs>
              <w:spacing w:before="38"/>
              <w:ind w:left="64"/>
              <w:rPr>
                <w:sz w:val="18"/>
              </w:rPr>
            </w:pPr>
            <w:r>
              <w:rPr>
                <w:sz w:val="18"/>
                <w:u w:val="single"/>
              </w:rPr>
              <w:t>$</w:t>
            </w:r>
            <w:r>
              <w:rPr>
                <w:sz w:val="18"/>
                <w:u w:val="single"/>
              </w:rPr>
              <w:tab/>
              <w:t>(7)</w:t>
            </w:r>
            <w:r>
              <w:rPr>
                <w:spacing w:val="-16"/>
                <w:sz w:val="18"/>
                <w:u w:val="single"/>
              </w:rPr>
              <w:t xml:space="preserve"> </w:t>
            </w:r>
          </w:p>
        </w:tc>
        <w:tc>
          <w:tcPr>
            <w:tcW w:w="1211" w:type="dxa"/>
            <w:tcBorders>
              <w:top w:val="single" w:sz="8" w:space="0" w:color="000000"/>
              <w:bottom w:val="single" w:sz="8" w:space="0" w:color="000000"/>
            </w:tcBorders>
            <w:shd w:val="clear" w:color="auto" w:fill="CCEDFF"/>
          </w:tcPr>
          <w:p w14:paraId="7326CAF3" w14:textId="77777777" w:rsidR="00EF3DFB" w:rsidRDefault="00D27C17">
            <w:pPr>
              <w:pStyle w:val="TableParagraph"/>
              <w:tabs>
                <w:tab w:val="left" w:pos="837"/>
              </w:tabs>
              <w:spacing w:before="38"/>
              <w:ind w:left="64" w:right="-15"/>
              <w:rPr>
                <w:sz w:val="18"/>
              </w:rPr>
            </w:pPr>
            <w:r>
              <w:rPr>
                <w:sz w:val="18"/>
                <w:u w:val="single"/>
              </w:rPr>
              <w:t>$</w:t>
            </w:r>
            <w:r>
              <w:rPr>
                <w:sz w:val="18"/>
                <w:u w:val="single"/>
              </w:rPr>
              <w:tab/>
              <w:t>(8)</w:t>
            </w:r>
            <w:r>
              <w:rPr>
                <w:spacing w:val="-16"/>
                <w:sz w:val="18"/>
                <w:u w:val="single"/>
              </w:rPr>
              <w:t xml:space="preserve"> </w:t>
            </w:r>
          </w:p>
        </w:tc>
      </w:tr>
    </w:tbl>
    <w:p w14:paraId="7326CAF5" w14:textId="77777777" w:rsidR="00EF3DFB" w:rsidRDefault="00EF3DFB">
      <w:pPr>
        <w:pStyle w:val="BodyText"/>
        <w:spacing w:before="9"/>
        <w:rPr>
          <w:sz w:val="21"/>
        </w:rPr>
      </w:pPr>
    </w:p>
    <w:p w14:paraId="7326CAF6" w14:textId="77777777" w:rsidR="00EF3DFB" w:rsidRDefault="00D27C17">
      <w:pPr>
        <w:tabs>
          <w:tab w:val="left" w:pos="10809"/>
        </w:tabs>
        <w:spacing w:before="1"/>
        <w:ind w:left="242"/>
        <w:rPr>
          <w:b/>
          <w:sz w:val="18"/>
        </w:rPr>
      </w:pPr>
      <w:r>
        <w:rPr>
          <w:b/>
          <w:sz w:val="18"/>
          <w:shd w:val="clear" w:color="auto" w:fill="CCEDFF"/>
        </w:rPr>
        <w:t>Assumptions</w:t>
      </w:r>
      <w:r>
        <w:rPr>
          <w:b/>
          <w:sz w:val="18"/>
          <w:shd w:val="clear" w:color="auto" w:fill="CCEDFF"/>
        </w:rPr>
        <w:tab/>
      </w:r>
    </w:p>
    <w:p w14:paraId="7326CAF7" w14:textId="77777777" w:rsidR="00EF3DFB" w:rsidRDefault="00D27C17">
      <w:pPr>
        <w:spacing w:before="51"/>
        <w:ind w:left="242"/>
        <w:rPr>
          <w:sz w:val="18"/>
        </w:rPr>
      </w:pPr>
      <w:r>
        <w:rPr>
          <w:sz w:val="18"/>
        </w:rPr>
        <w:t>Weighted average assumption used to calculate net periodic cost:</w:t>
      </w:r>
    </w:p>
    <w:p w14:paraId="7326CAF8" w14:textId="77777777" w:rsidR="00EF3DFB" w:rsidRDefault="00EF3DFB">
      <w:pPr>
        <w:pStyle w:val="BodyText"/>
        <w:spacing w:before="11"/>
        <w:rPr>
          <w:sz w:val="5"/>
        </w:rPr>
      </w:pPr>
    </w:p>
    <w:tbl>
      <w:tblPr>
        <w:tblW w:w="0" w:type="auto"/>
        <w:tblInd w:w="190" w:type="dxa"/>
        <w:tblLayout w:type="fixed"/>
        <w:tblCellMar>
          <w:left w:w="0" w:type="dxa"/>
          <w:right w:w="0" w:type="dxa"/>
        </w:tblCellMar>
        <w:tblLook w:val="01E0" w:firstRow="1" w:lastRow="1" w:firstColumn="1" w:lastColumn="1" w:noHBand="0" w:noVBand="0"/>
      </w:tblPr>
      <w:tblGrid>
        <w:gridCol w:w="5501"/>
        <w:gridCol w:w="2929"/>
        <w:gridCol w:w="1275"/>
        <w:gridCol w:w="915"/>
      </w:tblGrid>
      <w:tr w:rsidR="00EF3DFB" w14:paraId="7326CAFD" w14:textId="77777777">
        <w:trPr>
          <w:trHeight w:val="285"/>
        </w:trPr>
        <w:tc>
          <w:tcPr>
            <w:tcW w:w="5501" w:type="dxa"/>
            <w:shd w:val="clear" w:color="auto" w:fill="CCEDFF"/>
          </w:tcPr>
          <w:p w14:paraId="7326CAF9" w14:textId="77777777" w:rsidR="00EF3DFB" w:rsidRDefault="00D27C17">
            <w:pPr>
              <w:pStyle w:val="TableParagraph"/>
              <w:spacing w:before="9"/>
              <w:ind w:left="52"/>
              <w:rPr>
                <w:sz w:val="18"/>
              </w:rPr>
            </w:pPr>
            <w:r>
              <w:rPr>
                <w:sz w:val="18"/>
              </w:rPr>
              <w:t>Effective discount rate for benefit obligations</w:t>
            </w:r>
          </w:p>
        </w:tc>
        <w:tc>
          <w:tcPr>
            <w:tcW w:w="2929" w:type="dxa"/>
            <w:shd w:val="clear" w:color="auto" w:fill="CCEDFF"/>
          </w:tcPr>
          <w:p w14:paraId="7326CAFA" w14:textId="77777777" w:rsidR="00EF3DFB" w:rsidRDefault="00D27C17">
            <w:pPr>
              <w:pStyle w:val="TableParagraph"/>
              <w:spacing w:before="48"/>
              <w:ind w:right="372"/>
              <w:jc w:val="right"/>
              <w:rPr>
                <w:sz w:val="18"/>
              </w:rPr>
            </w:pPr>
            <w:r>
              <w:rPr>
                <w:sz w:val="18"/>
              </w:rPr>
              <w:t>2.80 %</w:t>
            </w:r>
          </w:p>
        </w:tc>
        <w:tc>
          <w:tcPr>
            <w:tcW w:w="1275" w:type="dxa"/>
            <w:shd w:val="clear" w:color="auto" w:fill="CCEDFF"/>
          </w:tcPr>
          <w:p w14:paraId="7326CAFB" w14:textId="77777777" w:rsidR="00EF3DFB" w:rsidRDefault="00D27C17">
            <w:pPr>
              <w:pStyle w:val="TableParagraph"/>
              <w:spacing w:before="48"/>
              <w:ind w:left="375"/>
              <w:rPr>
                <w:sz w:val="18"/>
              </w:rPr>
            </w:pPr>
            <w:r>
              <w:rPr>
                <w:sz w:val="18"/>
              </w:rPr>
              <w:t>3.90 %</w:t>
            </w:r>
          </w:p>
        </w:tc>
        <w:tc>
          <w:tcPr>
            <w:tcW w:w="915" w:type="dxa"/>
            <w:shd w:val="clear" w:color="auto" w:fill="CCEDFF"/>
          </w:tcPr>
          <w:p w14:paraId="7326CAFC" w14:textId="77777777" w:rsidR="00EF3DFB" w:rsidRDefault="00D27C17">
            <w:pPr>
              <w:pStyle w:val="TableParagraph"/>
              <w:spacing w:before="48"/>
              <w:ind w:right="12"/>
              <w:jc w:val="right"/>
              <w:rPr>
                <w:sz w:val="18"/>
              </w:rPr>
            </w:pPr>
            <w:r>
              <w:rPr>
                <w:sz w:val="18"/>
              </w:rPr>
              <w:t>3.09 %</w:t>
            </w:r>
          </w:p>
        </w:tc>
      </w:tr>
      <w:tr w:rsidR="00EF3DFB" w14:paraId="7326CB02" w14:textId="77777777">
        <w:trPr>
          <w:trHeight w:val="285"/>
        </w:trPr>
        <w:tc>
          <w:tcPr>
            <w:tcW w:w="5501" w:type="dxa"/>
          </w:tcPr>
          <w:p w14:paraId="7326CAFE" w14:textId="77777777" w:rsidR="00EF3DFB" w:rsidRDefault="00D27C17">
            <w:pPr>
              <w:pStyle w:val="TableParagraph"/>
              <w:spacing w:before="9"/>
              <w:ind w:left="52"/>
              <w:rPr>
                <w:sz w:val="18"/>
              </w:rPr>
            </w:pPr>
            <w:r>
              <w:rPr>
                <w:sz w:val="18"/>
              </w:rPr>
              <w:t>Effective rate for interest on benefit obligations</w:t>
            </w:r>
          </w:p>
        </w:tc>
        <w:tc>
          <w:tcPr>
            <w:tcW w:w="2929" w:type="dxa"/>
          </w:tcPr>
          <w:p w14:paraId="7326CAFF" w14:textId="77777777" w:rsidR="00EF3DFB" w:rsidRDefault="00D27C17">
            <w:pPr>
              <w:pStyle w:val="TableParagraph"/>
              <w:spacing w:before="48"/>
              <w:ind w:right="372"/>
              <w:jc w:val="right"/>
              <w:rPr>
                <w:sz w:val="18"/>
              </w:rPr>
            </w:pPr>
            <w:r>
              <w:rPr>
                <w:sz w:val="18"/>
              </w:rPr>
              <w:t>2.41 %</w:t>
            </w:r>
          </w:p>
        </w:tc>
        <w:tc>
          <w:tcPr>
            <w:tcW w:w="1275" w:type="dxa"/>
          </w:tcPr>
          <w:p w14:paraId="7326CB00" w14:textId="77777777" w:rsidR="00EF3DFB" w:rsidRDefault="00D27C17">
            <w:pPr>
              <w:pStyle w:val="TableParagraph"/>
              <w:spacing w:before="48"/>
              <w:ind w:left="375"/>
              <w:rPr>
                <w:sz w:val="18"/>
              </w:rPr>
            </w:pPr>
            <w:r>
              <w:rPr>
                <w:sz w:val="18"/>
              </w:rPr>
              <w:t>2.71 %</w:t>
            </w:r>
          </w:p>
        </w:tc>
        <w:tc>
          <w:tcPr>
            <w:tcW w:w="915" w:type="dxa"/>
          </w:tcPr>
          <w:p w14:paraId="7326CB01" w14:textId="77777777" w:rsidR="00EF3DFB" w:rsidRDefault="00D27C17">
            <w:pPr>
              <w:pStyle w:val="TableParagraph"/>
              <w:spacing w:before="48"/>
              <w:ind w:right="12"/>
              <w:jc w:val="right"/>
              <w:rPr>
                <w:sz w:val="18"/>
              </w:rPr>
            </w:pPr>
            <w:r>
              <w:rPr>
                <w:sz w:val="18"/>
              </w:rPr>
              <w:t>2.71 %</w:t>
            </w:r>
          </w:p>
        </w:tc>
      </w:tr>
      <w:tr w:rsidR="00EF3DFB" w14:paraId="7326CB07" w14:textId="77777777">
        <w:trPr>
          <w:trHeight w:val="285"/>
        </w:trPr>
        <w:tc>
          <w:tcPr>
            <w:tcW w:w="5501" w:type="dxa"/>
            <w:shd w:val="clear" w:color="auto" w:fill="CCEDFF"/>
          </w:tcPr>
          <w:p w14:paraId="7326CB03" w14:textId="77777777" w:rsidR="00EF3DFB" w:rsidRDefault="00D27C17">
            <w:pPr>
              <w:pStyle w:val="TableParagraph"/>
              <w:spacing w:before="9"/>
              <w:ind w:left="52"/>
              <w:rPr>
                <w:sz w:val="18"/>
              </w:rPr>
            </w:pPr>
            <w:r>
              <w:rPr>
                <w:sz w:val="18"/>
              </w:rPr>
              <w:t>Effective rate for service cost</w:t>
            </w:r>
          </w:p>
        </w:tc>
        <w:tc>
          <w:tcPr>
            <w:tcW w:w="2929" w:type="dxa"/>
            <w:shd w:val="clear" w:color="auto" w:fill="CCEDFF"/>
          </w:tcPr>
          <w:p w14:paraId="7326CB04" w14:textId="77777777" w:rsidR="00EF3DFB" w:rsidRDefault="00D27C17">
            <w:pPr>
              <w:pStyle w:val="TableParagraph"/>
              <w:spacing w:before="48"/>
              <w:ind w:right="372"/>
              <w:jc w:val="right"/>
              <w:rPr>
                <w:sz w:val="18"/>
              </w:rPr>
            </w:pPr>
            <w:r>
              <w:rPr>
                <w:sz w:val="18"/>
              </w:rPr>
              <w:t>2.52 %</w:t>
            </w:r>
          </w:p>
        </w:tc>
        <w:tc>
          <w:tcPr>
            <w:tcW w:w="1275" w:type="dxa"/>
            <w:shd w:val="clear" w:color="auto" w:fill="CCEDFF"/>
          </w:tcPr>
          <w:p w14:paraId="7326CB05" w14:textId="77777777" w:rsidR="00EF3DFB" w:rsidRDefault="00D27C17">
            <w:pPr>
              <w:pStyle w:val="TableParagraph"/>
              <w:spacing w:before="48"/>
              <w:ind w:left="375"/>
              <w:rPr>
                <w:sz w:val="18"/>
              </w:rPr>
            </w:pPr>
            <w:r>
              <w:rPr>
                <w:sz w:val="18"/>
              </w:rPr>
              <w:t>2.97 %</w:t>
            </w:r>
          </w:p>
        </w:tc>
        <w:tc>
          <w:tcPr>
            <w:tcW w:w="915" w:type="dxa"/>
            <w:shd w:val="clear" w:color="auto" w:fill="CCEDFF"/>
          </w:tcPr>
          <w:p w14:paraId="7326CB06" w14:textId="77777777" w:rsidR="00EF3DFB" w:rsidRDefault="00D27C17">
            <w:pPr>
              <w:pStyle w:val="TableParagraph"/>
              <w:spacing w:before="48"/>
              <w:ind w:right="12"/>
              <w:jc w:val="right"/>
              <w:rPr>
                <w:sz w:val="18"/>
              </w:rPr>
            </w:pPr>
            <w:r>
              <w:rPr>
                <w:sz w:val="18"/>
              </w:rPr>
              <w:t>2.98 %</w:t>
            </w:r>
          </w:p>
        </w:tc>
      </w:tr>
      <w:tr w:rsidR="00EF3DFB" w14:paraId="7326CB0C" w14:textId="77777777">
        <w:trPr>
          <w:trHeight w:val="255"/>
        </w:trPr>
        <w:tc>
          <w:tcPr>
            <w:tcW w:w="5501" w:type="dxa"/>
          </w:tcPr>
          <w:p w14:paraId="7326CB08" w14:textId="77777777" w:rsidR="00EF3DFB" w:rsidRDefault="00D27C17">
            <w:pPr>
              <w:pStyle w:val="TableParagraph"/>
              <w:spacing w:before="9"/>
              <w:ind w:left="52"/>
              <w:rPr>
                <w:sz w:val="18"/>
              </w:rPr>
            </w:pPr>
            <w:r>
              <w:rPr>
                <w:sz w:val="18"/>
              </w:rPr>
              <w:t>Effective rate for interest on service cost</w:t>
            </w:r>
          </w:p>
        </w:tc>
        <w:tc>
          <w:tcPr>
            <w:tcW w:w="2929" w:type="dxa"/>
          </w:tcPr>
          <w:p w14:paraId="7326CB09" w14:textId="77777777" w:rsidR="00EF3DFB" w:rsidRDefault="00D27C17">
            <w:pPr>
              <w:pStyle w:val="TableParagraph"/>
              <w:spacing w:before="48" w:line="187" w:lineRule="exact"/>
              <w:ind w:right="372"/>
              <w:jc w:val="right"/>
              <w:rPr>
                <w:sz w:val="18"/>
              </w:rPr>
            </w:pPr>
            <w:r>
              <w:rPr>
                <w:sz w:val="18"/>
              </w:rPr>
              <w:t>2.27 %</w:t>
            </w:r>
          </w:p>
        </w:tc>
        <w:tc>
          <w:tcPr>
            <w:tcW w:w="1275" w:type="dxa"/>
          </w:tcPr>
          <w:p w14:paraId="7326CB0A" w14:textId="77777777" w:rsidR="00EF3DFB" w:rsidRDefault="00D27C17">
            <w:pPr>
              <w:pStyle w:val="TableParagraph"/>
              <w:spacing w:before="48" w:line="187" w:lineRule="exact"/>
              <w:ind w:left="375"/>
              <w:rPr>
                <w:sz w:val="18"/>
              </w:rPr>
            </w:pPr>
            <w:r>
              <w:rPr>
                <w:sz w:val="18"/>
              </w:rPr>
              <w:t>2.78 %</w:t>
            </w:r>
          </w:p>
        </w:tc>
        <w:tc>
          <w:tcPr>
            <w:tcW w:w="915" w:type="dxa"/>
          </w:tcPr>
          <w:p w14:paraId="7326CB0B" w14:textId="77777777" w:rsidR="00EF3DFB" w:rsidRDefault="00D27C17">
            <w:pPr>
              <w:pStyle w:val="TableParagraph"/>
              <w:spacing w:before="48" w:line="187" w:lineRule="exact"/>
              <w:ind w:right="12"/>
              <w:jc w:val="right"/>
              <w:rPr>
                <w:sz w:val="18"/>
              </w:rPr>
            </w:pPr>
            <w:r>
              <w:rPr>
                <w:sz w:val="18"/>
              </w:rPr>
              <w:t>2.78 %</w:t>
            </w:r>
          </w:p>
        </w:tc>
      </w:tr>
    </w:tbl>
    <w:p w14:paraId="7326CB0D" w14:textId="77777777" w:rsidR="00EF3DFB" w:rsidRDefault="00EF3DFB">
      <w:pPr>
        <w:spacing w:line="187" w:lineRule="exact"/>
        <w:jc w:val="right"/>
        <w:rPr>
          <w:sz w:val="18"/>
        </w:rPr>
        <w:sectPr w:rsidR="00EF3DFB">
          <w:pgSz w:w="12240" w:h="15840"/>
          <w:pgMar w:top="600" w:right="640" w:bottom="480" w:left="620" w:header="0" w:footer="291" w:gutter="0"/>
          <w:cols w:space="720"/>
        </w:sectPr>
      </w:pPr>
    </w:p>
    <w:p w14:paraId="7326CB0E" w14:textId="77777777" w:rsidR="00EF3DFB" w:rsidRDefault="00D27C17">
      <w:pPr>
        <w:pStyle w:val="BodyText"/>
        <w:spacing w:before="72" w:line="249" w:lineRule="auto"/>
        <w:ind w:left="190" w:right="171"/>
        <w:jc w:val="both"/>
      </w:pPr>
      <w:r>
        <w:lastRenderedPageBreak/>
        <w:t>The components of net periodic pension and postretirement costs other than the service cost component are included in other (income) expense, net in the Consolidated Statements of Operations.</w:t>
      </w:r>
    </w:p>
    <w:p w14:paraId="7326CB0F" w14:textId="77777777" w:rsidR="00EF3DFB" w:rsidRDefault="00EF3DFB">
      <w:pPr>
        <w:pStyle w:val="BodyText"/>
        <w:spacing w:before="8"/>
      </w:pPr>
    </w:p>
    <w:p w14:paraId="7326CB10" w14:textId="77777777" w:rsidR="00EF3DFB" w:rsidRDefault="00D27C17">
      <w:pPr>
        <w:pStyle w:val="Heading2"/>
        <w:jc w:val="left"/>
      </w:pPr>
      <w:r>
        <w:t>Plan Assets</w:t>
      </w:r>
    </w:p>
    <w:p w14:paraId="7326CB11" w14:textId="77777777" w:rsidR="00EF3DFB" w:rsidRDefault="00EF3DFB">
      <w:pPr>
        <w:pStyle w:val="BodyText"/>
        <w:rPr>
          <w:b/>
          <w:sz w:val="22"/>
        </w:rPr>
      </w:pPr>
    </w:p>
    <w:p w14:paraId="7326CB12" w14:textId="77777777" w:rsidR="00EF3DFB" w:rsidRDefault="00D27C17">
      <w:pPr>
        <w:pStyle w:val="BodyText"/>
        <w:spacing w:line="249" w:lineRule="auto"/>
        <w:ind w:left="190" w:right="167"/>
        <w:jc w:val="both"/>
      </w:pPr>
      <w:r>
        <w:t>The Company employs a total return investment appr</w:t>
      </w:r>
      <w:r>
        <w:t>oach for its pension plans whereby a mix of equities and fixed income investments are used to maximize the long-term return of pension plan assets. The intent of this strategy is to minimize plan expenses by outperforming plan liabilities over the long run</w:t>
      </w:r>
      <w:r>
        <w:t>. Risk tolerance is established through careful consideration of plan liabilities,</w:t>
      </w:r>
      <w:r>
        <w:rPr>
          <w:spacing w:val="-4"/>
        </w:rPr>
        <w:t xml:space="preserve"> </w:t>
      </w:r>
      <w:r>
        <w:t>plan</w:t>
      </w:r>
      <w:r>
        <w:rPr>
          <w:spacing w:val="-4"/>
        </w:rPr>
        <w:t xml:space="preserve"> </w:t>
      </w:r>
      <w:r>
        <w:t>funded</w:t>
      </w:r>
      <w:r>
        <w:rPr>
          <w:spacing w:val="-4"/>
        </w:rPr>
        <w:t xml:space="preserve"> </w:t>
      </w:r>
      <w:r>
        <w:t>status,</w:t>
      </w:r>
      <w:r>
        <w:rPr>
          <w:spacing w:val="-4"/>
        </w:rPr>
        <w:t xml:space="preserve"> </w:t>
      </w:r>
      <w:r>
        <w:t>and</w:t>
      </w:r>
      <w:r>
        <w:rPr>
          <w:spacing w:val="-4"/>
        </w:rPr>
        <w:t xml:space="preserve"> </w:t>
      </w:r>
      <w:r>
        <w:t>the</w:t>
      </w:r>
      <w:r>
        <w:rPr>
          <w:spacing w:val="-4"/>
        </w:rPr>
        <w:t xml:space="preserve"> </w:t>
      </w:r>
      <w:r>
        <w:t>Company’s</w:t>
      </w:r>
      <w:r>
        <w:rPr>
          <w:spacing w:val="-4"/>
        </w:rPr>
        <w:t xml:space="preserve"> </w:t>
      </w:r>
      <w:r>
        <w:t>financial</w:t>
      </w:r>
      <w:r>
        <w:rPr>
          <w:spacing w:val="-4"/>
        </w:rPr>
        <w:t xml:space="preserve"> </w:t>
      </w:r>
      <w:r>
        <w:t>condition.</w:t>
      </w:r>
      <w:r>
        <w:rPr>
          <w:spacing w:val="-4"/>
        </w:rPr>
        <w:t xml:space="preserve"> </w:t>
      </w:r>
      <w:r>
        <w:t>The</w:t>
      </w:r>
      <w:r>
        <w:rPr>
          <w:spacing w:val="-4"/>
        </w:rPr>
        <w:t xml:space="preserve"> </w:t>
      </w:r>
      <w:r>
        <w:t>domestic</w:t>
      </w:r>
      <w:r>
        <w:rPr>
          <w:spacing w:val="-4"/>
        </w:rPr>
        <w:t xml:space="preserve"> </w:t>
      </w:r>
      <w:r>
        <w:t>investment</w:t>
      </w:r>
      <w:r>
        <w:rPr>
          <w:spacing w:val="-4"/>
        </w:rPr>
        <w:t xml:space="preserve"> </w:t>
      </w:r>
      <w:r>
        <w:t>portfolios</w:t>
      </w:r>
      <w:r>
        <w:rPr>
          <w:spacing w:val="-4"/>
        </w:rPr>
        <w:t xml:space="preserve"> </w:t>
      </w:r>
      <w:r>
        <w:t>contain</w:t>
      </w:r>
      <w:r>
        <w:rPr>
          <w:spacing w:val="-4"/>
        </w:rPr>
        <w:t xml:space="preserve"> </w:t>
      </w:r>
      <w:r>
        <w:t>a</w:t>
      </w:r>
      <w:r>
        <w:rPr>
          <w:spacing w:val="-4"/>
        </w:rPr>
        <w:t xml:space="preserve"> </w:t>
      </w:r>
      <w:r>
        <w:t>diversified</w:t>
      </w:r>
      <w:r>
        <w:rPr>
          <w:spacing w:val="-4"/>
        </w:rPr>
        <w:t xml:space="preserve"> </w:t>
      </w:r>
      <w:r>
        <w:t>blend of</w:t>
      </w:r>
      <w:r>
        <w:rPr>
          <w:spacing w:val="-4"/>
        </w:rPr>
        <w:t xml:space="preserve"> </w:t>
      </w:r>
      <w:r>
        <w:t>equity</w:t>
      </w:r>
      <w:r>
        <w:rPr>
          <w:spacing w:val="-4"/>
        </w:rPr>
        <w:t xml:space="preserve"> </w:t>
      </w:r>
      <w:r>
        <w:t>and</w:t>
      </w:r>
      <w:r>
        <w:rPr>
          <w:spacing w:val="-4"/>
        </w:rPr>
        <w:t xml:space="preserve"> </w:t>
      </w:r>
      <w:r>
        <w:t>fixed-income</w:t>
      </w:r>
      <w:r>
        <w:rPr>
          <w:spacing w:val="-5"/>
        </w:rPr>
        <w:t xml:space="preserve"> </w:t>
      </w:r>
      <w:r>
        <w:t>investments.</w:t>
      </w:r>
      <w:r>
        <w:rPr>
          <w:spacing w:val="-4"/>
        </w:rPr>
        <w:t xml:space="preserve"> </w:t>
      </w:r>
      <w:r>
        <w:t>The</w:t>
      </w:r>
      <w:r>
        <w:rPr>
          <w:spacing w:val="-5"/>
        </w:rPr>
        <w:t xml:space="preserve"> </w:t>
      </w:r>
      <w:r>
        <w:t>domestic</w:t>
      </w:r>
      <w:r>
        <w:rPr>
          <w:spacing w:val="-5"/>
        </w:rPr>
        <w:t xml:space="preserve"> </w:t>
      </w:r>
      <w:r>
        <w:t>equity</w:t>
      </w:r>
      <w:r>
        <w:rPr>
          <w:spacing w:val="-4"/>
        </w:rPr>
        <w:t xml:space="preserve"> </w:t>
      </w:r>
      <w:r>
        <w:t>investments</w:t>
      </w:r>
      <w:r>
        <w:rPr>
          <w:spacing w:val="-5"/>
        </w:rPr>
        <w:t xml:space="preserve"> </w:t>
      </w:r>
      <w:r>
        <w:t>are</w:t>
      </w:r>
      <w:r>
        <w:rPr>
          <w:spacing w:val="-5"/>
        </w:rPr>
        <w:t xml:space="preserve"> </w:t>
      </w:r>
      <w:r>
        <w:t>diversified</w:t>
      </w:r>
      <w:r>
        <w:rPr>
          <w:spacing w:val="-4"/>
        </w:rPr>
        <w:t xml:space="preserve"> </w:t>
      </w:r>
      <w:r>
        <w:t>across</w:t>
      </w:r>
      <w:r>
        <w:rPr>
          <w:spacing w:val="-5"/>
        </w:rPr>
        <w:t xml:space="preserve"> </w:t>
      </w:r>
      <w:r>
        <w:t>geography</w:t>
      </w:r>
      <w:r>
        <w:rPr>
          <w:spacing w:val="-4"/>
        </w:rPr>
        <w:t xml:space="preserve"> </w:t>
      </w:r>
      <w:r>
        <w:t>and</w:t>
      </w:r>
      <w:r>
        <w:rPr>
          <w:spacing w:val="-4"/>
        </w:rPr>
        <w:t xml:space="preserve"> </w:t>
      </w:r>
      <w:r>
        <w:t>market</w:t>
      </w:r>
      <w:r>
        <w:rPr>
          <w:spacing w:val="-5"/>
        </w:rPr>
        <w:t xml:space="preserve"> </w:t>
      </w:r>
      <w:r>
        <w:t>capitalization through investments in U.S. large-capitalization stocks, U.S. small-capitalization stocks and international securities. The domestic fixed income investments are primari</w:t>
      </w:r>
      <w:r>
        <w:t>ly comprised of investment-grade and high-yield securities through investments in corporate and government bonds, government agencies and asset-backed securities. The Level 1 investments are primarily based upon quoted market prices. The domestic Level 3 i</w:t>
      </w:r>
      <w:r>
        <w:t>nvestments are primarily comprised of insurance contracts valued at contract value. The investments excluded from the fair value hierarchy are NAV-based hedge fund investments that generally have a redemption frequency of 90 days or less, with various rede</w:t>
      </w:r>
      <w:r>
        <w:t xml:space="preserve">mption notice periods that are generally less than a month. The notice periods for certain investments may vary based on the size of the redemption. The international Level 2 investments are primarily comprised of insurance contracts whose fair values are </w:t>
      </w:r>
      <w:r>
        <w:t>estimated based on the future cash flows to be received under the contracts discounted to the present using a discount rate that approximates the discount rate used to measure the associated pension plan liabilities. The international Level 3 investments a</w:t>
      </w:r>
      <w:r>
        <w:t>re primarily comprised of insurance contracts valued at contract value. Investment risk is measured and monitored on an ongoing basis through annual liability measurements, periodic asset/liability studies and quarterly investment portfolio</w:t>
      </w:r>
      <w:r>
        <w:rPr>
          <w:spacing w:val="-2"/>
        </w:rPr>
        <w:t xml:space="preserve"> </w:t>
      </w:r>
      <w:r>
        <w:t>reviews.</w:t>
      </w:r>
    </w:p>
    <w:p w14:paraId="7326CB13" w14:textId="77777777" w:rsidR="00EF3DFB" w:rsidRDefault="00EF3DFB">
      <w:pPr>
        <w:pStyle w:val="BodyText"/>
        <w:spacing w:before="1"/>
        <w:rPr>
          <w:sz w:val="22"/>
        </w:rPr>
      </w:pPr>
    </w:p>
    <w:p w14:paraId="7326CB14" w14:textId="77777777" w:rsidR="00EF3DFB" w:rsidRDefault="00D27C17">
      <w:pPr>
        <w:pStyle w:val="BodyText"/>
        <w:spacing w:line="249" w:lineRule="auto"/>
        <w:ind w:left="190" w:right="168"/>
        <w:jc w:val="both"/>
      </w:pPr>
      <w:r>
        <w:t>The e</w:t>
      </w:r>
      <w:r>
        <w:t xml:space="preserve">xpected long-term rate of return for plan assets is based upon many factors, including expected asset allocations, historical asset returns, current and expected future market conditions, risk and active management premiums. The expected long-term rate of </w:t>
      </w:r>
      <w:r>
        <w:t>return is adjusted when there are fundamental changes in expected returns on the Company’s defined benefit pension plan’s investments. The target asset allocations for the Company’s domestic pension plans may vary by plan, based in part due to plan demogra</w:t>
      </w:r>
      <w:r>
        <w:t>phics, funded status and liability duration. In general, the Company’s target asset allocations are as follows: equities approximately 20% to 40%; fixed income approximately 50% to 70%; and cash, alternative investments and other, approximately zero to 20%</w:t>
      </w:r>
      <w:r>
        <w:t xml:space="preserve"> at December 31, 2020. Actual asset allocations may vary from the targeted allocations for various reasons, including market conditions and the timing of transactions. The Company maintains numerous international defined benefit pension plans. The asset al</w:t>
      </w:r>
      <w:r>
        <w:t>locations for the international investment may vary by plan and jurisdiction and are primarily based upon the plan structure and plan participant</w:t>
      </w:r>
      <w:r>
        <w:rPr>
          <w:spacing w:val="-3"/>
        </w:rPr>
        <w:t xml:space="preserve"> </w:t>
      </w:r>
      <w:r>
        <w:t>profile.</w:t>
      </w:r>
    </w:p>
    <w:p w14:paraId="7326CB15" w14:textId="77777777" w:rsidR="00EF3DFB" w:rsidRDefault="00EF3DFB">
      <w:pPr>
        <w:pStyle w:val="BodyText"/>
        <w:spacing w:before="7"/>
        <w:rPr>
          <w:sz w:val="21"/>
        </w:rPr>
      </w:pPr>
    </w:p>
    <w:p w14:paraId="7326CB16" w14:textId="77777777" w:rsidR="00EF3DFB" w:rsidRDefault="00D27C17">
      <w:pPr>
        <w:pStyle w:val="BodyText"/>
        <w:ind w:left="190"/>
      </w:pPr>
      <w:r>
        <w:t>The composition of domestic pension plan assets at December 31, 2020 and 2019 is as follows (in mill</w:t>
      </w:r>
      <w:r>
        <w:t>ions):</w:t>
      </w:r>
    </w:p>
    <w:p w14:paraId="7326CB17" w14:textId="611233D3" w:rsidR="00EF3DFB" w:rsidRDefault="00D27C17">
      <w:pPr>
        <w:spacing w:before="161" w:line="278" w:lineRule="auto"/>
        <w:ind w:left="6880" w:right="2193" w:hanging="433"/>
        <w:rPr>
          <w:b/>
          <w:sz w:val="18"/>
        </w:rPr>
      </w:pPr>
      <w:r>
        <w:rPr>
          <w:noProof/>
        </w:rPr>
        <mc:AlternateContent>
          <mc:Choice Requires="wpg">
            <w:drawing>
              <wp:anchor distT="0" distB="0" distL="114300" distR="114300" simplePos="0" relativeHeight="502907048" behindDoc="1" locked="0" layoutInCell="1" allowOverlap="1" wp14:anchorId="7326D74E" wp14:editId="59C120BF">
                <wp:simplePos x="0" y="0"/>
                <wp:positionH relativeFrom="page">
                  <wp:posOffset>3190875</wp:posOffset>
                </wp:positionH>
                <wp:positionV relativeFrom="paragraph">
                  <wp:posOffset>246380</wp:posOffset>
                </wp:positionV>
                <wp:extent cx="4067175" cy="12700"/>
                <wp:effectExtent l="9525" t="8255" r="9525" b="7620"/>
                <wp:wrapNone/>
                <wp:docPr id="297"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5025" y="388"/>
                          <a:chExt cx="6405" cy="20"/>
                        </a:xfrm>
                      </wpg:grpSpPr>
                      <wps:wsp>
                        <wps:cNvPr id="298" name="Line 282"/>
                        <wps:cNvCnPr>
                          <a:cxnSpLocks noChangeShapeType="1"/>
                        </wps:cNvCnPr>
                        <wps:spPr bwMode="auto">
                          <a:xfrm>
                            <a:off x="5025" y="398"/>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281"/>
                        <wps:cNvCnPr>
                          <a:cxnSpLocks noChangeShapeType="1"/>
                        </wps:cNvCnPr>
                        <wps:spPr bwMode="auto">
                          <a:xfrm>
                            <a:off x="5025" y="398"/>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370441" id="Group 280" o:spid="_x0000_s1026" style="position:absolute;margin-left:251.25pt;margin-top:19.4pt;width:320.25pt;height:1pt;z-index:-409432;mso-position-horizontal-relative:page" coordorigin="5025,388"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">
                <v:line id="Line 282" o:spid="_x0000_s1027" style="position:absolute;visibility:visible;mso-wrap-style:square" from="5025,398" to="1143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line id="Line 281" o:spid="_x0000_s1028" style="position:absolute;visibility:visible;mso-wrap-style:square" from="5025,398" to="1143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" strokeweight="1pt"/>
                <w10:wrap anchorx="page"/>
              </v:group>
            </w:pict>
          </mc:Fallback>
        </mc:AlternateContent>
      </w:r>
      <w:r>
        <w:rPr>
          <w:b/>
          <w:sz w:val="18"/>
        </w:rPr>
        <w:t>Plan Assets — Domestic Plans December 31, 2020</w:t>
      </w:r>
    </w:p>
    <w:p w14:paraId="7326CB18" w14:textId="4D7F7FED" w:rsidR="00EF3DFB" w:rsidRDefault="00D27C17">
      <w:pPr>
        <w:pStyle w:val="BodyText"/>
        <w:spacing w:line="20" w:lineRule="exact"/>
        <w:ind w:left="4395"/>
        <w:rPr>
          <w:sz w:val="2"/>
        </w:rPr>
      </w:pPr>
      <w:r>
        <w:rPr>
          <w:noProof/>
          <w:sz w:val="2"/>
        </w:rPr>
        <mc:AlternateContent>
          <mc:Choice Requires="wpg">
            <w:drawing>
              <wp:inline distT="0" distB="0" distL="0" distR="0" wp14:anchorId="7326D74F" wp14:editId="297375EB">
                <wp:extent cx="4067175" cy="12700"/>
                <wp:effectExtent l="12700" t="6985" r="15875" b="8890"/>
                <wp:docPr id="29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0" y="0"/>
                          <a:chExt cx="6405" cy="20"/>
                        </a:xfrm>
                      </wpg:grpSpPr>
                      <wps:wsp>
                        <wps:cNvPr id="295" name="Line 279"/>
                        <wps:cNvCnPr>
                          <a:cxnSpLocks noChangeShapeType="1"/>
                        </wps:cNvCnPr>
                        <wps:spPr bwMode="auto">
                          <a:xfrm>
                            <a:off x="0" y="10"/>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78"/>
                        <wps:cNvCnPr>
                          <a:cxnSpLocks noChangeShapeType="1"/>
                        </wps:cNvCnPr>
                        <wps:spPr bwMode="auto">
                          <a:xfrm>
                            <a:off x="0" y="10"/>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07C5E" id="Group 277" o:spid="_x0000_s1026" style="width:320.25pt;height:1pt;mso-position-horizontal-relative:char;mso-position-vertical-relative:line"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">
                <v:line id="Line 279" o:spid="_x0000_s1027"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" strokeweight="0"/>
                <v:line id="Line 278" o:spid="_x0000_s1028"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" strokeweight="1pt"/>
                <w10:anchorlock/>
              </v:group>
            </w:pict>
          </mc:Fallback>
        </mc:AlternateContent>
      </w:r>
    </w:p>
    <w:p w14:paraId="7326CB19" w14:textId="77777777" w:rsidR="00EF3DFB" w:rsidRDefault="00D27C17">
      <w:pPr>
        <w:spacing w:after="30"/>
        <w:ind w:left="5528"/>
        <w:rPr>
          <w:b/>
          <w:sz w:val="18"/>
        </w:rPr>
      </w:pPr>
      <w:r>
        <w:rPr>
          <w:b/>
          <w:sz w:val="18"/>
        </w:rPr>
        <w:t>Fair Value Measurements</w:t>
      </w:r>
    </w:p>
    <w:tbl>
      <w:tblPr>
        <w:tblW w:w="0" w:type="auto"/>
        <w:tblInd w:w="190" w:type="dxa"/>
        <w:tblLayout w:type="fixed"/>
        <w:tblCellMar>
          <w:left w:w="0" w:type="dxa"/>
          <w:right w:w="0" w:type="dxa"/>
        </w:tblCellMar>
        <w:tblLook w:val="01E0" w:firstRow="1" w:lastRow="1" w:firstColumn="1" w:lastColumn="1" w:noHBand="0" w:noVBand="0"/>
      </w:tblPr>
      <w:tblGrid>
        <w:gridCol w:w="4215"/>
        <w:gridCol w:w="1028"/>
        <w:gridCol w:w="1080"/>
        <w:gridCol w:w="1080"/>
        <w:gridCol w:w="1057"/>
        <w:gridCol w:w="1115"/>
        <w:gridCol w:w="1044"/>
      </w:tblGrid>
      <w:tr w:rsidR="00EF3DFB" w14:paraId="7326CB27" w14:textId="77777777">
        <w:trPr>
          <w:trHeight w:val="445"/>
        </w:trPr>
        <w:tc>
          <w:tcPr>
            <w:tcW w:w="4215" w:type="dxa"/>
            <w:tcBorders>
              <w:bottom w:val="single" w:sz="8" w:space="0" w:color="000000"/>
            </w:tcBorders>
          </w:tcPr>
          <w:p w14:paraId="7326CB1A" w14:textId="77777777" w:rsidR="00EF3DFB" w:rsidRDefault="00EF3DFB">
            <w:pPr>
              <w:pStyle w:val="TableParagraph"/>
              <w:spacing w:before="11"/>
              <w:rPr>
                <w:b/>
                <w:sz w:val="18"/>
              </w:rPr>
            </w:pPr>
          </w:p>
          <w:p w14:paraId="7326CB1B" w14:textId="77777777" w:rsidR="00EF3DFB" w:rsidRDefault="00D27C17">
            <w:pPr>
              <w:pStyle w:val="TableParagraph"/>
              <w:ind w:left="52"/>
              <w:rPr>
                <w:b/>
                <w:sz w:val="18"/>
              </w:rPr>
            </w:pPr>
            <w:r>
              <w:rPr>
                <w:b/>
                <w:sz w:val="18"/>
              </w:rPr>
              <w:t>Asset Category</w:t>
            </w:r>
          </w:p>
        </w:tc>
        <w:tc>
          <w:tcPr>
            <w:tcW w:w="1028" w:type="dxa"/>
            <w:tcBorders>
              <w:top w:val="single" w:sz="8" w:space="0" w:color="000000"/>
              <w:bottom w:val="single" w:sz="8" w:space="0" w:color="000000"/>
            </w:tcBorders>
          </w:tcPr>
          <w:p w14:paraId="7326CB1C" w14:textId="77777777" w:rsidR="00EF3DFB" w:rsidRDefault="00EF3DFB">
            <w:pPr>
              <w:pStyle w:val="TableParagraph"/>
              <w:spacing w:before="11"/>
              <w:rPr>
                <w:b/>
                <w:sz w:val="18"/>
              </w:rPr>
            </w:pPr>
          </w:p>
          <w:p w14:paraId="7326CB1D" w14:textId="77777777" w:rsidR="00EF3DFB" w:rsidRDefault="00D27C17">
            <w:pPr>
              <w:pStyle w:val="TableParagraph"/>
              <w:ind w:left="225"/>
              <w:rPr>
                <w:b/>
                <w:sz w:val="18"/>
              </w:rPr>
            </w:pPr>
            <w:r>
              <w:rPr>
                <w:b/>
                <w:sz w:val="18"/>
              </w:rPr>
              <w:t>Level 1</w:t>
            </w:r>
          </w:p>
        </w:tc>
        <w:tc>
          <w:tcPr>
            <w:tcW w:w="1080" w:type="dxa"/>
            <w:tcBorders>
              <w:top w:val="single" w:sz="8" w:space="0" w:color="000000"/>
              <w:bottom w:val="single" w:sz="8" w:space="0" w:color="000000"/>
            </w:tcBorders>
          </w:tcPr>
          <w:p w14:paraId="7326CB1E" w14:textId="77777777" w:rsidR="00EF3DFB" w:rsidRDefault="00EF3DFB">
            <w:pPr>
              <w:pStyle w:val="TableParagraph"/>
              <w:spacing w:before="11"/>
              <w:rPr>
                <w:b/>
                <w:sz w:val="18"/>
              </w:rPr>
            </w:pPr>
          </w:p>
          <w:p w14:paraId="7326CB1F" w14:textId="77777777" w:rsidR="00EF3DFB" w:rsidRDefault="00D27C17">
            <w:pPr>
              <w:pStyle w:val="TableParagraph"/>
              <w:ind w:left="277"/>
              <w:rPr>
                <w:b/>
                <w:sz w:val="18"/>
              </w:rPr>
            </w:pPr>
            <w:r>
              <w:rPr>
                <w:b/>
                <w:sz w:val="18"/>
              </w:rPr>
              <w:t>Level 2</w:t>
            </w:r>
          </w:p>
        </w:tc>
        <w:tc>
          <w:tcPr>
            <w:tcW w:w="1080" w:type="dxa"/>
            <w:tcBorders>
              <w:top w:val="single" w:sz="8" w:space="0" w:color="000000"/>
              <w:bottom w:val="single" w:sz="8" w:space="0" w:color="000000"/>
            </w:tcBorders>
          </w:tcPr>
          <w:p w14:paraId="7326CB20" w14:textId="77777777" w:rsidR="00EF3DFB" w:rsidRDefault="00EF3DFB">
            <w:pPr>
              <w:pStyle w:val="TableParagraph"/>
              <w:spacing w:before="11"/>
              <w:rPr>
                <w:b/>
                <w:sz w:val="18"/>
              </w:rPr>
            </w:pPr>
          </w:p>
          <w:p w14:paraId="7326CB21" w14:textId="77777777" w:rsidR="00EF3DFB" w:rsidRDefault="00D27C17">
            <w:pPr>
              <w:pStyle w:val="TableParagraph"/>
              <w:ind w:left="277"/>
              <w:rPr>
                <w:b/>
                <w:sz w:val="18"/>
              </w:rPr>
            </w:pPr>
            <w:r>
              <w:rPr>
                <w:b/>
                <w:sz w:val="18"/>
              </w:rPr>
              <w:t>Level 3</w:t>
            </w:r>
          </w:p>
        </w:tc>
        <w:tc>
          <w:tcPr>
            <w:tcW w:w="1057" w:type="dxa"/>
            <w:tcBorders>
              <w:top w:val="single" w:sz="8" w:space="0" w:color="000000"/>
              <w:bottom w:val="single" w:sz="8" w:space="0" w:color="000000"/>
            </w:tcBorders>
          </w:tcPr>
          <w:p w14:paraId="7326CB22" w14:textId="77777777" w:rsidR="00EF3DFB" w:rsidRDefault="00EF3DFB">
            <w:pPr>
              <w:pStyle w:val="TableParagraph"/>
              <w:spacing w:before="11"/>
              <w:rPr>
                <w:b/>
                <w:sz w:val="18"/>
              </w:rPr>
            </w:pPr>
          </w:p>
          <w:p w14:paraId="7326CB23" w14:textId="77777777" w:rsidR="00EF3DFB" w:rsidRDefault="00D27C17">
            <w:pPr>
              <w:pStyle w:val="TableParagraph"/>
              <w:ind w:left="229"/>
              <w:rPr>
                <w:b/>
                <w:sz w:val="18"/>
              </w:rPr>
            </w:pPr>
            <w:r>
              <w:rPr>
                <w:b/>
                <w:sz w:val="18"/>
              </w:rPr>
              <w:t>Subtotal</w:t>
            </w:r>
          </w:p>
        </w:tc>
        <w:tc>
          <w:tcPr>
            <w:tcW w:w="1115" w:type="dxa"/>
            <w:tcBorders>
              <w:bottom w:val="single" w:sz="8" w:space="0" w:color="000000"/>
            </w:tcBorders>
          </w:tcPr>
          <w:p w14:paraId="7326CB24" w14:textId="77777777" w:rsidR="00EF3DFB" w:rsidRDefault="00D27C17">
            <w:pPr>
              <w:pStyle w:val="TableParagraph"/>
              <w:spacing w:before="60" w:line="208" w:lineRule="auto"/>
              <w:ind w:left="357" w:right="72" w:hanging="225"/>
              <w:rPr>
                <w:b/>
                <w:sz w:val="18"/>
              </w:rPr>
            </w:pPr>
            <w:r>
              <w:rPr>
                <w:b/>
                <w:sz w:val="18"/>
              </w:rPr>
              <w:t>NAV-based assets</w:t>
            </w:r>
          </w:p>
        </w:tc>
        <w:tc>
          <w:tcPr>
            <w:tcW w:w="1044" w:type="dxa"/>
            <w:tcBorders>
              <w:bottom w:val="single" w:sz="8" w:space="0" w:color="000000"/>
            </w:tcBorders>
          </w:tcPr>
          <w:p w14:paraId="7326CB25" w14:textId="77777777" w:rsidR="00EF3DFB" w:rsidRDefault="00EF3DFB">
            <w:pPr>
              <w:pStyle w:val="TableParagraph"/>
              <w:spacing w:before="11"/>
              <w:rPr>
                <w:b/>
                <w:sz w:val="18"/>
              </w:rPr>
            </w:pPr>
          </w:p>
          <w:p w14:paraId="7326CB26" w14:textId="77777777" w:rsidR="00EF3DFB" w:rsidRDefault="00D27C17">
            <w:pPr>
              <w:pStyle w:val="TableParagraph"/>
              <w:ind w:left="337"/>
              <w:rPr>
                <w:b/>
                <w:sz w:val="18"/>
              </w:rPr>
            </w:pPr>
            <w:r>
              <w:rPr>
                <w:b/>
                <w:sz w:val="18"/>
              </w:rPr>
              <w:t>Total</w:t>
            </w:r>
          </w:p>
        </w:tc>
      </w:tr>
      <w:tr w:rsidR="00EF3DFB" w14:paraId="7326CB2F" w14:textId="77777777">
        <w:trPr>
          <w:trHeight w:val="275"/>
        </w:trPr>
        <w:tc>
          <w:tcPr>
            <w:tcW w:w="4215" w:type="dxa"/>
          </w:tcPr>
          <w:p w14:paraId="7326CB28" w14:textId="77777777" w:rsidR="00EF3DFB" w:rsidRDefault="00D27C17">
            <w:pPr>
              <w:pStyle w:val="TableParagraph"/>
              <w:spacing w:line="214" w:lineRule="exact"/>
              <w:ind w:left="52"/>
              <w:rPr>
                <w:sz w:val="20"/>
              </w:rPr>
            </w:pPr>
            <w:r>
              <w:rPr>
                <w:sz w:val="20"/>
              </w:rPr>
              <w:t>Equity securities and funds</w:t>
            </w:r>
          </w:p>
        </w:tc>
        <w:tc>
          <w:tcPr>
            <w:tcW w:w="1028" w:type="dxa"/>
          </w:tcPr>
          <w:p w14:paraId="7326CB29" w14:textId="77777777" w:rsidR="00EF3DFB" w:rsidRDefault="00D27C17">
            <w:pPr>
              <w:pStyle w:val="TableParagraph"/>
              <w:tabs>
                <w:tab w:val="left" w:pos="670"/>
              </w:tabs>
              <w:spacing w:before="5"/>
              <w:ind w:right="102"/>
              <w:jc w:val="right"/>
              <w:rPr>
                <w:sz w:val="20"/>
              </w:rPr>
            </w:pPr>
            <w:r>
              <w:rPr>
                <w:sz w:val="20"/>
              </w:rPr>
              <w:t>$</w:t>
            </w:r>
            <w:r>
              <w:rPr>
                <w:sz w:val="20"/>
              </w:rPr>
              <w:tab/>
              <w:t>—</w:t>
            </w:r>
          </w:p>
        </w:tc>
        <w:tc>
          <w:tcPr>
            <w:tcW w:w="1080" w:type="dxa"/>
          </w:tcPr>
          <w:p w14:paraId="7326CB2A" w14:textId="77777777" w:rsidR="00EF3DFB" w:rsidRDefault="00D27C17">
            <w:pPr>
              <w:pStyle w:val="TableParagraph"/>
              <w:tabs>
                <w:tab w:val="left" w:pos="670"/>
              </w:tabs>
              <w:spacing w:before="5"/>
              <w:ind w:right="102"/>
              <w:jc w:val="right"/>
              <w:rPr>
                <w:sz w:val="20"/>
              </w:rPr>
            </w:pPr>
            <w:r>
              <w:rPr>
                <w:sz w:val="20"/>
              </w:rPr>
              <w:t>$</w:t>
            </w:r>
            <w:r>
              <w:rPr>
                <w:sz w:val="20"/>
              </w:rPr>
              <w:tab/>
              <w:t>—</w:t>
            </w:r>
          </w:p>
        </w:tc>
        <w:tc>
          <w:tcPr>
            <w:tcW w:w="1080" w:type="dxa"/>
          </w:tcPr>
          <w:p w14:paraId="7326CB2B" w14:textId="77777777" w:rsidR="00EF3DFB" w:rsidRDefault="00D27C17">
            <w:pPr>
              <w:pStyle w:val="TableParagraph"/>
              <w:tabs>
                <w:tab w:val="left" w:pos="670"/>
              </w:tabs>
              <w:spacing w:before="5"/>
              <w:ind w:right="102"/>
              <w:jc w:val="right"/>
              <w:rPr>
                <w:sz w:val="20"/>
              </w:rPr>
            </w:pPr>
            <w:r>
              <w:rPr>
                <w:sz w:val="20"/>
              </w:rPr>
              <w:t>$</w:t>
            </w:r>
            <w:r>
              <w:rPr>
                <w:sz w:val="20"/>
              </w:rPr>
              <w:tab/>
              <w:t>—</w:t>
            </w:r>
          </w:p>
        </w:tc>
        <w:tc>
          <w:tcPr>
            <w:tcW w:w="1057" w:type="dxa"/>
          </w:tcPr>
          <w:p w14:paraId="7326CB2C" w14:textId="77777777" w:rsidR="00EF3DFB" w:rsidRDefault="00D27C17">
            <w:pPr>
              <w:pStyle w:val="TableParagraph"/>
              <w:tabs>
                <w:tab w:val="left" w:pos="670"/>
              </w:tabs>
              <w:spacing w:before="5"/>
              <w:ind w:right="79"/>
              <w:jc w:val="right"/>
              <w:rPr>
                <w:sz w:val="20"/>
              </w:rPr>
            </w:pPr>
            <w:r>
              <w:rPr>
                <w:sz w:val="20"/>
              </w:rPr>
              <w:t>$</w:t>
            </w:r>
            <w:r>
              <w:rPr>
                <w:sz w:val="20"/>
              </w:rPr>
              <w:tab/>
              <w:t>—</w:t>
            </w:r>
          </w:p>
        </w:tc>
        <w:tc>
          <w:tcPr>
            <w:tcW w:w="1115" w:type="dxa"/>
          </w:tcPr>
          <w:p w14:paraId="7326CB2D" w14:textId="77777777" w:rsidR="00EF3DFB" w:rsidRDefault="00D27C17">
            <w:pPr>
              <w:pStyle w:val="TableParagraph"/>
              <w:tabs>
                <w:tab w:val="left" w:pos="570"/>
              </w:tabs>
              <w:spacing w:before="5"/>
              <w:ind w:right="114"/>
              <w:jc w:val="right"/>
              <w:rPr>
                <w:sz w:val="20"/>
              </w:rPr>
            </w:pPr>
            <w:r>
              <w:rPr>
                <w:sz w:val="20"/>
              </w:rPr>
              <w:t>$</w:t>
            </w:r>
            <w:r>
              <w:rPr>
                <w:sz w:val="20"/>
              </w:rPr>
              <w:tab/>
              <w:t>273</w:t>
            </w:r>
          </w:p>
        </w:tc>
        <w:tc>
          <w:tcPr>
            <w:tcW w:w="1044" w:type="dxa"/>
          </w:tcPr>
          <w:p w14:paraId="7326CB2E" w14:textId="77777777" w:rsidR="00EF3DFB" w:rsidRDefault="00D27C17">
            <w:pPr>
              <w:pStyle w:val="TableParagraph"/>
              <w:tabs>
                <w:tab w:val="left" w:pos="570"/>
              </w:tabs>
              <w:spacing w:before="5"/>
              <w:ind w:right="78"/>
              <w:jc w:val="right"/>
              <w:rPr>
                <w:sz w:val="20"/>
              </w:rPr>
            </w:pPr>
            <w:r>
              <w:rPr>
                <w:sz w:val="20"/>
              </w:rPr>
              <w:t>$</w:t>
            </w:r>
            <w:r>
              <w:rPr>
                <w:sz w:val="20"/>
              </w:rPr>
              <w:tab/>
              <w:t>273</w:t>
            </w:r>
          </w:p>
        </w:tc>
      </w:tr>
      <w:tr w:rsidR="00EF3DFB" w14:paraId="7326CB37" w14:textId="77777777">
        <w:trPr>
          <w:trHeight w:val="285"/>
        </w:trPr>
        <w:tc>
          <w:tcPr>
            <w:tcW w:w="4215" w:type="dxa"/>
            <w:shd w:val="clear" w:color="auto" w:fill="CCEDFF"/>
          </w:tcPr>
          <w:p w14:paraId="7326CB30" w14:textId="77777777" w:rsidR="00EF3DFB" w:rsidRDefault="00D27C17">
            <w:pPr>
              <w:pStyle w:val="TableParagraph"/>
              <w:spacing w:before="4"/>
              <w:ind w:left="52"/>
              <w:rPr>
                <w:sz w:val="20"/>
              </w:rPr>
            </w:pPr>
            <w:r>
              <w:rPr>
                <w:sz w:val="20"/>
              </w:rPr>
              <w:t>Fixed income securities and funds</w:t>
            </w:r>
          </w:p>
        </w:tc>
        <w:tc>
          <w:tcPr>
            <w:tcW w:w="1028" w:type="dxa"/>
            <w:shd w:val="clear" w:color="auto" w:fill="CCEDFF"/>
          </w:tcPr>
          <w:p w14:paraId="7326CB31" w14:textId="77777777" w:rsidR="00EF3DFB" w:rsidRDefault="00D27C17">
            <w:pPr>
              <w:pStyle w:val="TableParagraph"/>
              <w:spacing w:before="25"/>
              <w:ind w:right="102"/>
              <w:jc w:val="right"/>
              <w:rPr>
                <w:sz w:val="20"/>
              </w:rPr>
            </w:pPr>
            <w:r>
              <w:rPr>
                <w:sz w:val="20"/>
              </w:rPr>
              <w:t>441</w:t>
            </w:r>
          </w:p>
        </w:tc>
        <w:tc>
          <w:tcPr>
            <w:tcW w:w="1080" w:type="dxa"/>
            <w:shd w:val="clear" w:color="auto" w:fill="CCEDFF"/>
          </w:tcPr>
          <w:p w14:paraId="7326CB32" w14:textId="77777777" w:rsidR="00EF3DFB" w:rsidRDefault="00D27C17">
            <w:pPr>
              <w:pStyle w:val="TableParagraph"/>
              <w:spacing w:before="25"/>
              <w:ind w:right="102"/>
              <w:jc w:val="right"/>
              <w:rPr>
                <w:sz w:val="20"/>
              </w:rPr>
            </w:pPr>
            <w:r>
              <w:rPr>
                <w:sz w:val="20"/>
              </w:rPr>
              <w:t>—</w:t>
            </w:r>
          </w:p>
        </w:tc>
        <w:tc>
          <w:tcPr>
            <w:tcW w:w="1080" w:type="dxa"/>
            <w:shd w:val="clear" w:color="auto" w:fill="CCEDFF"/>
          </w:tcPr>
          <w:p w14:paraId="7326CB33" w14:textId="77777777" w:rsidR="00EF3DFB" w:rsidRDefault="00D27C17">
            <w:pPr>
              <w:pStyle w:val="TableParagraph"/>
              <w:spacing w:before="25"/>
              <w:ind w:right="102"/>
              <w:jc w:val="right"/>
              <w:rPr>
                <w:sz w:val="20"/>
              </w:rPr>
            </w:pPr>
            <w:r>
              <w:rPr>
                <w:sz w:val="20"/>
              </w:rPr>
              <w:t>—</w:t>
            </w:r>
          </w:p>
        </w:tc>
        <w:tc>
          <w:tcPr>
            <w:tcW w:w="1057" w:type="dxa"/>
            <w:shd w:val="clear" w:color="auto" w:fill="CCEDFF"/>
          </w:tcPr>
          <w:p w14:paraId="7326CB34" w14:textId="77777777" w:rsidR="00EF3DFB" w:rsidRDefault="00D27C17">
            <w:pPr>
              <w:pStyle w:val="TableParagraph"/>
              <w:spacing w:before="25"/>
              <w:ind w:right="79"/>
              <w:jc w:val="right"/>
              <w:rPr>
                <w:sz w:val="20"/>
              </w:rPr>
            </w:pPr>
            <w:r>
              <w:rPr>
                <w:sz w:val="20"/>
              </w:rPr>
              <w:t>441</w:t>
            </w:r>
          </w:p>
        </w:tc>
        <w:tc>
          <w:tcPr>
            <w:tcW w:w="1115" w:type="dxa"/>
            <w:shd w:val="clear" w:color="auto" w:fill="CCEDFF"/>
          </w:tcPr>
          <w:p w14:paraId="7326CB35" w14:textId="77777777" w:rsidR="00EF3DFB" w:rsidRDefault="00D27C17">
            <w:pPr>
              <w:pStyle w:val="TableParagraph"/>
              <w:spacing w:before="25"/>
              <w:ind w:right="114"/>
              <w:jc w:val="right"/>
              <w:rPr>
                <w:sz w:val="20"/>
              </w:rPr>
            </w:pPr>
            <w:r>
              <w:rPr>
                <w:sz w:val="20"/>
              </w:rPr>
              <w:t>319</w:t>
            </w:r>
          </w:p>
        </w:tc>
        <w:tc>
          <w:tcPr>
            <w:tcW w:w="1044" w:type="dxa"/>
            <w:shd w:val="clear" w:color="auto" w:fill="CCEDFF"/>
          </w:tcPr>
          <w:p w14:paraId="7326CB36" w14:textId="77777777" w:rsidR="00EF3DFB" w:rsidRDefault="00D27C17">
            <w:pPr>
              <w:pStyle w:val="TableParagraph"/>
              <w:spacing w:before="25"/>
              <w:ind w:right="78"/>
              <w:jc w:val="right"/>
              <w:rPr>
                <w:sz w:val="20"/>
              </w:rPr>
            </w:pPr>
            <w:r>
              <w:rPr>
                <w:sz w:val="20"/>
              </w:rPr>
              <w:t>760</w:t>
            </w:r>
          </w:p>
        </w:tc>
      </w:tr>
      <w:tr w:rsidR="00EF3DFB" w14:paraId="7326CB3F" w14:textId="77777777">
        <w:trPr>
          <w:trHeight w:val="285"/>
        </w:trPr>
        <w:tc>
          <w:tcPr>
            <w:tcW w:w="4215" w:type="dxa"/>
          </w:tcPr>
          <w:p w14:paraId="7326CB38" w14:textId="77777777" w:rsidR="00EF3DFB" w:rsidRDefault="00D27C17">
            <w:pPr>
              <w:pStyle w:val="TableParagraph"/>
              <w:spacing w:before="4"/>
              <w:ind w:left="52"/>
              <w:rPr>
                <w:sz w:val="20"/>
              </w:rPr>
            </w:pPr>
            <w:r>
              <w:rPr>
                <w:sz w:val="20"/>
              </w:rPr>
              <w:t>Alternative investments</w:t>
            </w:r>
          </w:p>
        </w:tc>
        <w:tc>
          <w:tcPr>
            <w:tcW w:w="1028" w:type="dxa"/>
          </w:tcPr>
          <w:p w14:paraId="7326CB39" w14:textId="77777777" w:rsidR="00EF3DFB" w:rsidRDefault="00D27C17">
            <w:pPr>
              <w:pStyle w:val="TableParagraph"/>
              <w:spacing w:before="25"/>
              <w:ind w:right="102"/>
              <w:jc w:val="right"/>
              <w:rPr>
                <w:sz w:val="20"/>
              </w:rPr>
            </w:pPr>
            <w:r>
              <w:rPr>
                <w:sz w:val="20"/>
              </w:rPr>
              <w:t>—</w:t>
            </w:r>
          </w:p>
        </w:tc>
        <w:tc>
          <w:tcPr>
            <w:tcW w:w="1080" w:type="dxa"/>
          </w:tcPr>
          <w:p w14:paraId="7326CB3A" w14:textId="77777777" w:rsidR="00EF3DFB" w:rsidRDefault="00D27C17">
            <w:pPr>
              <w:pStyle w:val="TableParagraph"/>
              <w:spacing w:before="25"/>
              <w:ind w:right="102"/>
              <w:jc w:val="right"/>
              <w:rPr>
                <w:sz w:val="20"/>
              </w:rPr>
            </w:pPr>
            <w:r>
              <w:rPr>
                <w:sz w:val="20"/>
              </w:rPr>
              <w:t>—</w:t>
            </w:r>
          </w:p>
        </w:tc>
        <w:tc>
          <w:tcPr>
            <w:tcW w:w="1080" w:type="dxa"/>
          </w:tcPr>
          <w:p w14:paraId="7326CB3B" w14:textId="77777777" w:rsidR="00EF3DFB" w:rsidRDefault="00D27C17">
            <w:pPr>
              <w:pStyle w:val="TableParagraph"/>
              <w:spacing w:before="25"/>
              <w:ind w:right="102"/>
              <w:jc w:val="right"/>
              <w:rPr>
                <w:sz w:val="20"/>
              </w:rPr>
            </w:pPr>
            <w:r>
              <w:rPr>
                <w:sz w:val="20"/>
              </w:rPr>
              <w:t>—</w:t>
            </w:r>
          </w:p>
        </w:tc>
        <w:tc>
          <w:tcPr>
            <w:tcW w:w="1057" w:type="dxa"/>
          </w:tcPr>
          <w:p w14:paraId="7326CB3C" w14:textId="77777777" w:rsidR="00EF3DFB" w:rsidRDefault="00D27C17">
            <w:pPr>
              <w:pStyle w:val="TableParagraph"/>
              <w:spacing w:before="25"/>
              <w:ind w:right="79"/>
              <w:jc w:val="right"/>
              <w:rPr>
                <w:sz w:val="20"/>
              </w:rPr>
            </w:pPr>
            <w:r>
              <w:rPr>
                <w:sz w:val="20"/>
              </w:rPr>
              <w:t>—</w:t>
            </w:r>
          </w:p>
        </w:tc>
        <w:tc>
          <w:tcPr>
            <w:tcW w:w="1115" w:type="dxa"/>
          </w:tcPr>
          <w:p w14:paraId="7326CB3D" w14:textId="77777777" w:rsidR="00EF3DFB" w:rsidRDefault="00D27C17">
            <w:pPr>
              <w:pStyle w:val="TableParagraph"/>
              <w:spacing w:before="25"/>
              <w:ind w:right="114"/>
              <w:jc w:val="right"/>
              <w:rPr>
                <w:sz w:val="20"/>
              </w:rPr>
            </w:pPr>
            <w:r>
              <w:rPr>
                <w:sz w:val="20"/>
              </w:rPr>
              <w:t>104</w:t>
            </w:r>
          </w:p>
        </w:tc>
        <w:tc>
          <w:tcPr>
            <w:tcW w:w="1044" w:type="dxa"/>
          </w:tcPr>
          <w:p w14:paraId="7326CB3E" w14:textId="77777777" w:rsidR="00EF3DFB" w:rsidRDefault="00D27C17">
            <w:pPr>
              <w:pStyle w:val="TableParagraph"/>
              <w:spacing w:before="25"/>
              <w:ind w:right="78"/>
              <w:jc w:val="right"/>
              <w:rPr>
                <w:sz w:val="20"/>
              </w:rPr>
            </w:pPr>
            <w:r>
              <w:rPr>
                <w:sz w:val="20"/>
              </w:rPr>
              <w:t>104</w:t>
            </w:r>
          </w:p>
        </w:tc>
      </w:tr>
      <w:tr w:rsidR="00EF3DFB" w14:paraId="7326CB47" w14:textId="77777777">
        <w:trPr>
          <w:trHeight w:val="275"/>
        </w:trPr>
        <w:tc>
          <w:tcPr>
            <w:tcW w:w="4215" w:type="dxa"/>
            <w:shd w:val="clear" w:color="auto" w:fill="CCEDFF"/>
          </w:tcPr>
          <w:p w14:paraId="7326CB40" w14:textId="77777777" w:rsidR="00EF3DFB" w:rsidRDefault="00D27C17">
            <w:pPr>
              <w:pStyle w:val="TableParagraph"/>
              <w:spacing w:before="4"/>
              <w:ind w:left="52"/>
              <w:rPr>
                <w:sz w:val="20"/>
              </w:rPr>
            </w:pPr>
            <w:r>
              <w:rPr>
                <w:sz w:val="20"/>
              </w:rPr>
              <w:t>Cash and other</w:t>
            </w:r>
          </w:p>
        </w:tc>
        <w:tc>
          <w:tcPr>
            <w:tcW w:w="1028" w:type="dxa"/>
            <w:tcBorders>
              <w:bottom w:val="single" w:sz="8" w:space="0" w:color="000000"/>
            </w:tcBorders>
            <w:shd w:val="clear" w:color="auto" w:fill="CCEDFF"/>
          </w:tcPr>
          <w:p w14:paraId="7326CB41" w14:textId="77777777" w:rsidR="00EF3DFB" w:rsidRDefault="00D27C17">
            <w:pPr>
              <w:pStyle w:val="TableParagraph"/>
              <w:spacing w:before="25" w:line="230" w:lineRule="exact"/>
              <w:ind w:right="102"/>
              <w:jc w:val="right"/>
              <w:rPr>
                <w:sz w:val="20"/>
              </w:rPr>
            </w:pPr>
            <w:r>
              <w:rPr>
                <w:sz w:val="20"/>
              </w:rPr>
              <w:t>8</w:t>
            </w:r>
          </w:p>
        </w:tc>
        <w:tc>
          <w:tcPr>
            <w:tcW w:w="1080" w:type="dxa"/>
            <w:tcBorders>
              <w:bottom w:val="single" w:sz="8" w:space="0" w:color="000000"/>
            </w:tcBorders>
            <w:shd w:val="clear" w:color="auto" w:fill="CCEDFF"/>
          </w:tcPr>
          <w:p w14:paraId="7326CB42" w14:textId="77777777" w:rsidR="00EF3DFB" w:rsidRDefault="00D27C17">
            <w:pPr>
              <w:pStyle w:val="TableParagraph"/>
              <w:spacing w:before="25" w:line="230" w:lineRule="exact"/>
              <w:ind w:right="102"/>
              <w:jc w:val="right"/>
              <w:rPr>
                <w:sz w:val="20"/>
              </w:rPr>
            </w:pPr>
            <w:r>
              <w:rPr>
                <w:sz w:val="20"/>
              </w:rPr>
              <w:t>15</w:t>
            </w:r>
          </w:p>
        </w:tc>
        <w:tc>
          <w:tcPr>
            <w:tcW w:w="1080" w:type="dxa"/>
            <w:tcBorders>
              <w:bottom w:val="single" w:sz="8" w:space="0" w:color="000000"/>
            </w:tcBorders>
            <w:shd w:val="clear" w:color="auto" w:fill="CCEDFF"/>
          </w:tcPr>
          <w:p w14:paraId="7326CB43" w14:textId="77777777" w:rsidR="00EF3DFB" w:rsidRDefault="00D27C17">
            <w:pPr>
              <w:pStyle w:val="TableParagraph"/>
              <w:spacing w:before="25" w:line="230" w:lineRule="exact"/>
              <w:ind w:right="102"/>
              <w:jc w:val="right"/>
              <w:rPr>
                <w:sz w:val="20"/>
              </w:rPr>
            </w:pPr>
            <w:r>
              <w:rPr>
                <w:sz w:val="20"/>
              </w:rPr>
              <w:t>1</w:t>
            </w:r>
          </w:p>
        </w:tc>
        <w:tc>
          <w:tcPr>
            <w:tcW w:w="1057" w:type="dxa"/>
            <w:tcBorders>
              <w:bottom w:val="single" w:sz="8" w:space="0" w:color="000000"/>
            </w:tcBorders>
            <w:shd w:val="clear" w:color="auto" w:fill="CCEDFF"/>
          </w:tcPr>
          <w:p w14:paraId="7326CB44" w14:textId="77777777" w:rsidR="00EF3DFB" w:rsidRDefault="00D27C17">
            <w:pPr>
              <w:pStyle w:val="TableParagraph"/>
              <w:spacing w:before="25" w:line="230" w:lineRule="exact"/>
              <w:ind w:right="79"/>
              <w:jc w:val="right"/>
              <w:rPr>
                <w:sz w:val="20"/>
              </w:rPr>
            </w:pPr>
            <w:r>
              <w:rPr>
                <w:sz w:val="20"/>
              </w:rPr>
              <w:t>24</w:t>
            </w:r>
          </w:p>
        </w:tc>
        <w:tc>
          <w:tcPr>
            <w:tcW w:w="1115" w:type="dxa"/>
            <w:tcBorders>
              <w:bottom w:val="single" w:sz="8" w:space="0" w:color="000000"/>
            </w:tcBorders>
            <w:shd w:val="clear" w:color="auto" w:fill="CCEDFF"/>
          </w:tcPr>
          <w:p w14:paraId="7326CB45" w14:textId="77777777" w:rsidR="00EF3DFB" w:rsidRDefault="00D27C17">
            <w:pPr>
              <w:pStyle w:val="TableParagraph"/>
              <w:spacing w:before="25" w:line="230" w:lineRule="exact"/>
              <w:ind w:right="114"/>
              <w:jc w:val="right"/>
              <w:rPr>
                <w:sz w:val="20"/>
              </w:rPr>
            </w:pPr>
            <w:r>
              <w:rPr>
                <w:sz w:val="20"/>
              </w:rPr>
              <w:t>—</w:t>
            </w:r>
          </w:p>
        </w:tc>
        <w:tc>
          <w:tcPr>
            <w:tcW w:w="1044" w:type="dxa"/>
            <w:tcBorders>
              <w:bottom w:val="single" w:sz="8" w:space="0" w:color="000000"/>
            </w:tcBorders>
            <w:shd w:val="clear" w:color="auto" w:fill="CCEDFF"/>
          </w:tcPr>
          <w:p w14:paraId="7326CB46" w14:textId="77777777" w:rsidR="00EF3DFB" w:rsidRDefault="00D27C17">
            <w:pPr>
              <w:pStyle w:val="TableParagraph"/>
              <w:spacing w:before="25" w:line="230" w:lineRule="exact"/>
              <w:ind w:right="78"/>
              <w:jc w:val="right"/>
              <w:rPr>
                <w:sz w:val="20"/>
              </w:rPr>
            </w:pPr>
            <w:r>
              <w:rPr>
                <w:sz w:val="20"/>
              </w:rPr>
              <w:t>24</w:t>
            </w:r>
          </w:p>
        </w:tc>
      </w:tr>
      <w:tr w:rsidR="00EF3DFB" w14:paraId="7326CB4F" w14:textId="77777777">
        <w:trPr>
          <w:trHeight w:val="285"/>
        </w:trPr>
        <w:tc>
          <w:tcPr>
            <w:tcW w:w="4215" w:type="dxa"/>
          </w:tcPr>
          <w:p w14:paraId="7326CB48" w14:textId="77777777" w:rsidR="00EF3DFB" w:rsidRDefault="00D27C17">
            <w:pPr>
              <w:pStyle w:val="TableParagraph"/>
              <w:spacing w:line="224" w:lineRule="exact"/>
              <w:ind w:left="52"/>
              <w:rPr>
                <w:sz w:val="20"/>
              </w:rPr>
            </w:pPr>
            <w:r>
              <w:rPr>
                <w:sz w:val="20"/>
              </w:rPr>
              <w:t>Total</w:t>
            </w:r>
          </w:p>
        </w:tc>
        <w:tc>
          <w:tcPr>
            <w:tcW w:w="1028" w:type="dxa"/>
            <w:tcBorders>
              <w:top w:val="single" w:sz="8" w:space="0" w:color="000000"/>
              <w:bottom w:val="single" w:sz="8" w:space="0" w:color="000000"/>
            </w:tcBorders>
          </w:tcPr>
          <w:p w14:paraId="7326CB49"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449</w:t>
            </w:r>
          </w:p>
        </w:tc>
        <w:tc>
          <w:tcPr>
            <w:tcW w:w="1080" w:type="dxa"/>
            <w:tcBorders>
              <w:top w:val="single" w:sz="8" w:space="0" w:color="000000"/>
              <w:bottom w:val="single" w:sz="8" w:space="0" w:color="000000"/>
            </w:tcBorders>
          </w:tcPr>
          <w:p w14:paraId="7326CB4A" w14:textId="77777777" w:rsidR="00EF3DFB" w:rsidRDefault="00D27C17">
            <w:pPr>
              <w:pStyle w:val="TableParagraph"/>
              <w:tabs>
                <w:tab w:val="left" w:pos="670"/>
              </w:tabs>
              <w:spacing w:before="15"/>
              <w:ind w:right="102"/>
              <w:jc w:val="right"/>
              <w:rPr>
                <w:sz w:val="20"/>
              </w:rPr>
            </w:pPr>
            <w:r>
              <w:rPr>
                <w:sz w:val="20"/>
                <w:u w:val="single"/>
              </w:rPr>
              <w:t>$</w:t>
            </w:r>
            <w:r>
              <w:rPr>
                <w:sz w:val="20"/>
                <w:u w:val="single"/>
              </w:rPr>
              <w:tab/>
              <w:t>15</w:t>
            </w:r>
          </w:p>
        </w:tc>
        <w:tc>
          <w:tcPr>
            <w:tcW w:w="1080" w:type="dxa"/>
            <w:tcBorders>
              <w:top w:val="single" w:sz="8" w:space="0" w:color="000000"/>
              <w:bottom w:val="single" w:sz="8" w:space="0" w:color="000000"/>
            </w:tcBorders>
          </w:tcPr>
          <w:p w14:paraId="7326CB4B" w14:textId="77777777" w:rsidR="00EF3DFB" w:rsidRDefault="00D27C17">
            <w:pPr>
              <w:pStyle w:val="TableParagraph"/>
              <w:tabs>
                <w:tab w:val="left" w:pos="770"/>
              </w:tabs>
              <w:spacing w:before="15"/>
              <w:ind w:right="102"/>
              <w:jc w:val="right"/>
              <w:rPr>
                <w:sz w:val="20"/>
              </w:rPr>
            </w:pPr>
            <w:r>
              <w:rPr>
                <w:sz w:val="20"/>
                <w:u w:val="single"/>
              </w:rPr>
              <w:t>$</w:t>
            </w:r>
            <w:r>
              <w:rPr>
                <w:sz w:val="20"/>
                <w:u w:val="single"/>
              </w:rPr>
              <w:tab/>
              <w:t>1</w:t>
            </w:r>
          </w:p>
        </w:tc>
        <w:tc>
          <w:tcPr>
            <w:tcW w:w="1057" w:type="dxa"/>
            <w:tcBorders>
              <w:top w:val="single" w:sz="8" w:space="0" w:color="000000"/>
              <w:bottom w:val="single" w:sz="8" w:space="0" w:color="000000"/>
            </w:tcBorders>
          </w:tcPr>
          <w:p w14:paraId="7326CB4C" w14:textId="77777777" w:rsidR="00EF3DFB" w:rsidRDefault="00D27C17">
            <w:pPr>
              <w:pStyle w:val="TableParagraph"/>
              <w:tabs>
                <w:tab w:val="left" w:pos="570"/>
              </w:tabs>
              <w:spacing w:before="15"/>
              <w:ind w:right="79"/>
              <w:jc w:val="right"/>
              <w:rPr>
                <w:sz w:val="20"/>
              </w:rPr>
            </w:pPr>
            <w:r>
              <w:rPr>
                <w:sz w:val="20"/>
                <w:u w:val="single"/>
              </w:rPr>
              <w:t>$</w:t>
            </w:r>
            <w:r>
              <w:rPr>
                <w:sz w:val="20"/>
                <w:u w:val="single"/>
              </w:rPr>
              <w:tab/>
              <w:t>465</w:t>
            </w:r>
          </w:p>
        </w:tc>
        <w:tc>
          <w:tcPr>
            <w:tcW w:w="1115" w:type="dxa"/>
            <w:tcBorders>
              <w:top w:val="single" w:sz="8" w:space="0" w:color="000000"/>
              <w:bottom w:val="single" w:sz="8" w:space="0" w:color="000000"/>
            </w:tcBorders>
          </w:tcPr>
          <w:p w14:paraId="7326CB4D" w14:textId="77777777" w:rsidR="00EF3DFB" w:rsidRDefault="00D27C17">
            <w:pPr>
              <w:pStyle w:val="TableParagraph"/>
              <w:tabs>
                <w:tab w:val="left" w:pos="570"/>
              </w:tabs>
              <w:spacing w:before="15"/>
              <w:ind w:right="114"/>
              <w:jc w:val="right"/>
              <w:rPr>
                <w:sz w:val="20"/>
              </w:rPr>
            </w:pPr>
            <w:r>
              <w:rPr>
                <w:sz w:val="20"/>
                <w:u w:val="single"/>
              </w:rPr>
              <w:t>$</w:t>
            </w:r>
            <w:r>
              <w:rPr>
                <w:sz w:val="20"/>
                <w:u w:val="single"/>
              </w:rPr>
              <w:tab/>
              <w:t>696</w:t>
            </w:r>
          </w:p>
        </w:tc>
        <w:tc>
          <w:tcPr>
            <w:tcW w:w="1044" w:type="dxa"/>
            <w:tcBorders>
              <w:top w:val="single" w:sz="8" w:space="0" w:color="000000"/>
              <w:bottom w:val="single" w:sz="8" w:space="0" w:color="000000"/>
            </w:tcBorders>
          </w:tcPr>
          <w:p w14:paraId="7326CB4E" w14:textId="77777777" w:rsidR="00EF3DFB" w:rsidRDefault="00D27C17">
            <w:pPr>
              <w:pStyle w:val="TableParagraph"/>
              <w:tabs>
                <w:tab w:val="left" w:pos="420"/>
              </w:tabs>
              <w:spacing w:before="15"/>
              <w:ind w:right="78"/>
              <w:jc w:val="right"/>
              <w:rPr>
                <w:sz w:val="20"/>
              </w:rPr>
            </w:pPr>
            <w:r>
              <w:rPr>
                <w:sz w:val="20"/>
                <w:u w:val="single"/>
              </w:rPr>
              <w:t>$</w:t>
            </w:r>
            <w:r>
              <w:rPr>
                <w:sz w:val="20"/>
                <w:u w:val="single"/>
              </w:rPr>
              <w:tab/>
              <w:t>1,161</w:t>
            </w:r>
          </w:p>
        </w:tc>
      </w:tr>
    </w:tbl>
    <w:p w14:paraId="7326CB50" w14:textId="77777777" w:rsidR="00EF3DFB" w:rsidRDefault="00EF3DFB">
      <w:pPr>
        <w:pStyle w:val="BodyText"/>
        <w:spacing w:before="7"/>
        <w:rPr>
          <w:b/>
          <w:sz w:val="17"/>
        </w:rPr>
      </w:pPr>
    </w:p>
    <w:p w14:paraId="7326CB51" w14:textId="466957DD" w:rsidR="00EF3DFB" w:rsidRDefault="00D27C17">
      <w:pPr>
        <w:spacing w:line="278" w:lineRule="auto"/>
        <w:ind w:left="6880" w:right="2193" w:hanging="433"/>
        <w:rPr>
          <w:b/>
          <w:sz w:val="18"/>
        </w:rPr>
      </w:pPr>
      <w:r>
        <w:rPr>
          <w:noProof/>
        </w:rPr>
        <mc:AlternateContent>
          <mc:Choice Requires="wpg">
            <w:drawing>
              <wp:anchor distT="0" distB="0" distL="114300" distR="114300" simplePos="0" relativeHeight="502907072" behindDoc="1" locked="0" layoutInCell="1" allowOverlap="1" wp14:anchorId="7326D751" wp14:editId="404C33BB">
                <wp:simplePos x="0" y="0"/>
                <wp:positionH relativeFrom="page">
                  <wp:posOffset>3190875</wp:posOffset>
                </wp:positionH>
                <wp:positionV relativeFrom="paragraph">
                  <wp:posOffset>144145</wp:posOffset>
                </wp:positionV>
                <wp:extent cx="4067175" cy="12700"/>
                <wp:effectExtent l="9525" t="1270" r="9525" b="5080"/>
                <wp:wrapNone/>
                <wp:docPr id="291"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5025" y="227"/>
                          <a:chExt cx="6405" cy="20"/>
                        </a:xfrm>
                      </wpg:grpSpPr>
                      <wps:wsp>
                        <wps:cNvPr id="292" name="Line 276"/>
                        <wps:cNvCnPr>
                          <a:cxnSpLocks noChangeShapeType="1"/>
                        </wps:cNvCnPr>
                        <wps:spPr bwMode="auto">
                          <a:xfrm>
                            <a:off x="5025" y="237"/>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75"/>
                        <wps:cNvCnPr>
                          <a:cxnSpLocks noChangeShapeType="1"/>
                        </wps:cNvCnPr>
                        <wps:spPr bwMode="auto">
                          <a:xfrm>
                            <a:off x="5025" y="237"/>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46FE7" id="Group 274" o:spid="_x0000_s1026" style="position:absolute;margin-left:251.25pt;margin-top:11.35pt;width:320.25pt;height:1pt;z-index:-409408;mso-position-horizontal-relative:page" coordorigin="5025,227"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">
                <v:line id="Line 276" o:spid="_x0000_s1027" style="position:absolute;visibility:visible;mso-wrap-style:square" from="5025,237" to="114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line id="Line 275" o:spid="_x0000_s1028" style="position:absolute;visibility:visible;mso-wrap-style:square" from="5025,237" to="114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zrxQAAANwAAAAPAAAAZHJzL2Rvd25yZXYueG1sRI/dagIx&#10;FITvC75DOELvalYL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AjPczrxQAAANwAAAAP&#10;AAAAAAAAAAAAAAAAAAcCAABkcnMvZG93bnJldi54bWxQSwUGAAAAAAMAAwC3AAAA+QIAAAAA&#10;" strokeweight="1pt"/>
                <w10:wrap anchorx="page"/>
              </v:group>
            </w:pict>
          </mc:Fallback>
        </mc:AlternateContent>
      </w:r>
      <w:r>
        <w:rPr>
          <w:b/>
          <w:sz w:val="18"/>
        </w:rPr>
        <w:t>Plan Assets — Domestic Plans December 31, 2019</w:t>
      </w:r>
    </w:p>
    <w:p w14:paraId="7326CB52" w14:textId="55FB474F" w:rsidR="00EF3DFB" w:rsidRDefault="00D27C17">
      <w:pPr>
        <w:pStyle w:val="BodyText"/>
        <w:spacing w:line="20" w:lineRule="exact"/>
        <w:ind w:left="4395"/>
        <w:rPr>
          <w:sz w:val="2"/>
        </w:rPr>
      </w:pPr>
      <w:r>
        <w:rPr>
          <w:noProof/>
          <w:sz w:val="2"/>
        </w:rPr>
        <mc:AlternateContent>
          <mc:Choice Requires="wpg">
            <w:drawing>
              <wp:inline distT="0" distB="0" distL="0" distR="0" wp14:anchorId="7326D752" wp14:editId="4687775F">
                <wp:extent cx="4067175" cy="12700"/>
                <wp:effectExtent l="12700" t="0" r="15875" b="6350"/>
                <wp:docPr id="288"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0" y="0"/>
                          <a:chExt cx="6405" cy="20"/>
                        </a:xfrm>
                      </wpg:grpSpPr>
                      <wps:wsp>
                        <wps:cNvPr id="289" name="Line 273"/>
                        <wps:cNvCnPr>
                          <a:cxnSpLocks noChangeShapeType="1"/>
                        </wps:cNvCnPr>
                        <wps:spPr bwMode="auto">
                          <a:xfrm>
                            <a:off x="0" y="10"/>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272"/>
                        <wps:cNvCnPr>
                          <a:cxnSpLocks noChangeShapeType="1"/>
                        </wps:cNvCnPr>
                        <wps:spPr bwMode="auto">
                          <a:xfrm>
                            <a:off x="0" y="10"/>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6481DB" id="Group 271" o:spid="_x0000_s1026" style="width:320.25pt;height:1pt;mso-position-horizontal-relative:char;mso-position-vertical-relative:line"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">
                <v:line id="Line 273" o:spid="_x0000_s1027"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" strokeweight="0"/>
                <v:line id="Line 272" o:spid="_x0000_s1028"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" strokeweight="1pt"/>
                <w10:anchorlock/>
              </v:group>
            </w:pict>
          </mc:Fallback>
        </mc:AlternateContent>
      </w:r>
    </w:p>
    <w:p w14:paraId="7326CB53" w14:textId="77777777" w:rsidR="00EF3DFB" w:rsidRDefault="00D27C17">
      <w:pPr>
        <w:spacing w:after="30"/>
        <w:ind w:left="5528"/>
        <w:rPr>
          <w:b/>
          <w:sz w:val="18"/>
        </w:rPr>
      </w:pPr>
      <w:r>
        <w:rPr>
          <w:b/>
          <w:sz w:val="18"/>
        </w:rPr>
        <w:t>Fair Value Measurements</w:t>
      </w:r>
    </w:p>
    <w:tbl>
      <w:tblPr>
        <w:tblW w:w="0" w:type="auto"/>
        <w:tblInd w:w="190" w:type="dxa"/>
        <w:tblLayout w:type="fixed"/>
        <w:tblCellMar>
          <w:left w:w="0" w:type="dxa"/>
          <w:right w:w="0" w:type="dxa"/>
        </w:tblCellMar>
        <w:tblLook w:val="01E0" w:firstRow="1" w:lastRow="1" w:firstColumn="1" w:lastColumn="1" w:noHBand="0" w:noVBand="0"/>
      </w:tblPr>
      <w:tblGrid>
        <w:gridCol w:w="4215"/>
        <w:gridCol w:w="1028"/>
        <w:gridCol w:w="1080"/>
        <w:gridCol w:w="1080"/>
        <w:gridCol w:w="1057"/>
        <w:gridCol w:w="1115"/>
        <w:gridCol w:w="1044"/>
      </w:tblGrid>
      <w:tr w:rsidR="00EF3DFB" w14:paraId="7326CB61" w14:textId="77777777">
        <w:trPr>
          <w:trHeight w:val="445"/>
        </w:trPr>
        <w:tc>
          <w:tcPr>
            <w:tcW w:w="4215" w:type="dxa"/>
            <w:tcBorders>
              <w:bottom w:val="single" w:sz="8" w:space="0" w:color="000000"/>
            </w:tcBorders>
          </w:tcPr>
          <w:p w14:paraId="7326CB54" w14:textId="77777777" w:rsidR="00EF3DFB" w:rsidRDefault="00EF3DFB">
            <w:pPr>
              <w:pStyle w:val="TableParagraph"/>
              <w:spacing w:before="11"/>
              <w:rPr>
                <w:b/>
                <w:sz w:val="18"/>
              </w:rPr>
            </w:pPr>
          </w:p>
          <w:p w14:paraId="7326CB55" w14:textId="77777777" w:rsidR="00EF3DFB" w:rsidRDefault="00D27C17">
            <w:pPr>
              <w:pStyle w:val="TableParagraph"/>
              <w:ind w:left="52"/>
              <w:rPr>
                <w:b/>
                <w:sz w:val="18"/>
              </w:rPr>
            </w:pPr>
            <w:r>
              <w:rPr>
                <w:b/>
                <w:sz w:val="18"/>
              </w:rPr>
              <w:t>Asset Category</w:t>
            </w:r>
          </w:p>
        </w:tc>
        <w:tc>
          <w:tcPr>
            <w:tcW w:w="1028" w:type="dxa"/>
            <w:tcBorders>
              <w:top w:val="single" w:sz="8" w:space="0" w:color="000000"/>
              <w:bottom w:val="single" w:sz="8" w:space="0" w:color="000000"/>
            </w:tcBorders>
          </w:tcPr>
          <w:p w14:paraId="7326CB56" w14:textId="77777777" w:rsidR="00EF3DFB" w:rsidRDefault="00EF3DFB">
            <w:pPr>
              <w:pStyle w:val="TableParagraph"/>
              <w:spacing w:before="11"/>
              <w:rPr>
                <w:b/>
                <w:sz w:val="18"/>
              </w:rPr>
            </w:pPr>
          </w:p>
          <w:p w14:paraId="7326CB57" w14:textId="77777777" w:rsidR="00EF3DFB" w:rsidRDefault="00D27C17">
            <w:pPr>
              <w:pStyle w:val="TableParagraph"/>
              <w:ind w:left="225"/>
              <w:rPr>
                <w:b/>
                <w:sz w:val="18"/>
              </w:rPr>
            </w:pPr>
            <w:r>
              <w:rPr>
                <w:b/>
                <w:sz w:val="18"/>
              </w:rPr>
              <w:t>Level 1</w:t>
            </w:r>
          </w:p>
        </w:tc>
        <w:tc>
          <w:tcPr>
            <w:tcW w:w="1080" w:type="dxa"/>
            <w:tcBorders>
              <w:top w:val="single" w:sz="8" w:space="0" w:color="000000"/>
              <w:bottom w:val="single" w:sz="8" w:space="0" w:color="000000"/>
            </w:tcBorders>
          </w:tcPr>
          <w:p w14:paraId="7326CB58" w14:textId="77777777" w:rsidR="00EF3DFB" w:rsidRDefault="00EF3DFB">
            <w:pPr>
              <w:pStyle w:val="TableParagraph"/>
              <w:spacing w:before="11"/>
              <w:rPr>
                <w:b/>
                <w:sz w:val="18"/>
              </w:rPr>
            </w:pPr>
          </w:p>
          <w:p w14:paraId="7326CB59" w14:textId="77777777" w:rsidR="00EF3DFB" w:rsidRDefault="00D27C17">
            <w:pPr>
              <w:pStyle w:val="TableParagraph"/>
              <w:ind w:left="277"/>
              <w:rPr>
                <w:b/>
                <w:sz w:val="18"/>
              </w:rPr>
            </w:pPr>
            <w:r>
              <w:rPr>
                <w:b/>
                <w:sz w:val="18"/>
              </w:rPr>
              <w:t>Level 2</w:t>
            </w:r>
          </w:p>
        </w:tc>
        <w:tc>
          <w:tcPr>
            <w:tcW w:w="1080" w:type="dxa"/>
            <w:tcBorders>
              <w:top w:val="single" w:sz="8" w:space="0" w:color="000000"/>
              <w:bottom w:val="single" w:sz="8" w:space="0" w:color="000000"/>
            </w:tcBorders>
          </w:tcPr>
          <w:p w14:paraId="7326CB5A" w14:textId="77777777" w:rsidR="00EF3DFB" w:rsidRDefault="00EF3DFB">
            <w:pPr>
              <w:pStyle w:val="TableParagraph"/>
              <w:spacing w:before="11"/>
              <w:rPr>
                <w:b/>
                <w:sz w:val="18"/>
              </w:rPr>
            </w:pPr>
          </w:p>
          <w:p w14:paraId="7326CB5B" w14:textId="77777777" w:rsidR="00EF3DFB" w:rsidRDefault="00D27C17">
            <w:pPr>
              <w:pStyle w:val="TableParagraph"/>
              <w:ind w:left="277"/>
              <w:rPr>
                <w:b/>
                <w:sz w:val="18"/>
              </w:rPr>
            </w:pPr>
            <w:r>
              <w:rPr>
                <w:b/>
                <w:sz w:val="18"/>
              </w:rPr>
              <w:t>Level 3</w:t>
            </w:r>
          </w:p>
        </w:tc>
        <w:tc>
          <w:tcPr>
            <w:tcW w:w="1057" w:type="dxa"/>
            <w:tcBorders>
              <w:top w:val="single" w:sz="8" w:space="0" w:color="000000"/>
              <w:bottom w:val="single" w:sz="8" w:space="0" w:color="000000"/>
            </w:tcBorders>
          </w:tcPr>
          <w:p w14:paraId="7326CB5C" w14:textId="77777777" w:rsidR="00EF3DFB" w:rsidRDefault="00EF3DFB">
            <w:pPr>
              <w:pStyle w:val="TableParagraph"/>
              <w:spacing w:before="11"/>
              <w:rPr>
                <w:b/>
                <w:sz w:val="18"/>
              </w:rPr>
            </w:pPr>
          </w:p>
          <w:p w14:paraId="7326CB5D" w14:textId="77777777" w:rsidR="00EF3DFB" w:rsidRDefault="00D27C17">
            <w:pPr>
              <w:pStyle w:val="TableParagraph"/>
              <w:ind w:left="229"/>
              <w:rPr>
                <w:b/>
                <w:sz w:val="18"/>
              </w:rPr>
            </w:pPr>
            <w:r>
              <w:rPr>
                <w:b/>
                <w:sz w:val="18"/>
              </w:rPr>
              <w:t>Subtotal</w:t>
            </w:r>
          </w:p>
        </w:tc>
        <w:tc>
          <w:tcPr>
            <w:tcW w:w="1115" w:type="dxa"/>
            <w:tcBorders>
              <w:bottom w:val="single" w:sz="8" w:space="0" w:color="000000"/>
            </w:tcBorders>
          </w:tcPr>
          <w:p w14:paraId="7326CB5E" w14:textId="77777777" w:rsidR="00EF3DFB" w:rsidRDefault="00D27C17">
            <w:pPr>
              <w:pStyle w:val="TableParagraph"/>
              <w:spacing w:before="60" w:line="208" w:lineRule="auto"/>
              <w:ind w:left="357" w:right="72" w:hanging="225"/>
              <w:rPr>
                <w:b/>
                <w:sz w:val="18"/>
              </w:rPr>
            </w:pPr>
            <w:r>
              <w:rPr>
                <w:b/>
                <w:sz w:val="18"/>
              </w:rPr>
              <w:t>NAV-based assets</w:t>
            </w:r>
          </w:p>
        </w:tc>
        <w:tc>
          <w:tcPr>
            <w:tcW w:w="1044" w:type="dxa"/>
            <w:tcBorders>
              <w:bottom w:val="single" w:sz="8" w:space="0" w:color="000000"/>
            </w:tcBorders>
          </w:tcPr>
          <w:p w14:paraId="7326CB5F" w14:textId="77777777" w:rsidR="00EF3DFB" w:rsidRDefault="00EF3DFB">
            <w:pPr>
              <w:pStyle w:val="TableParagraph"/>
              <w:spacing w:before="11"/>
              <w:rPr>
                <w:b/>
                <w:sz w:val="18"/>
              </w:rPr>
            </w:pPr>
          </w:p>
          <w:p w14:paraId="7326CB60" w14:textId="77777777" w:rsidR="00EF3DFB" w:rsidRDefault="00D27C17">
            <w:pPr>
              <w:pStyle w:val="TableParagraph"/>
              <w:ind w:left="337"/>
              <w:rPr>
                <w:b/>
                <w:sz w:val="18"/>
              </w:rPr>
            </w:pPr>
            <w:r>
              <w:rPr>
                <w:b/>
                <w:sz w:val="18"/>
              </w:rPr>
              <w:t>Total</w:t>
            </w:r>
          </w:p>
        </w:tc>
      </w:tr>
      <w:tr w:rsidR="00EF3DFB" w14:paraId="7326CB69" w14:textId="77777777">
        <w:trPr>
          <w:trHeight w:val="275"/>
        </w:trPr>
        <w:tc>
          <w:tcPr>
            <w:tcW w:w="4215" w:type="dxa"/>
            <w:tcBorders>
              <w:top w:val="single" w:sz="8" w:space="0" w:color="000000"/>
            </w:tcBorders>
          </w:tcPr>
          <w:p w14:paraId="7326CB62" w14:textId="77777777" w:rsidR="00EF3DFB" w:rsidRDefault="00D27C17">
            <w:pPr>
              <w:pStyle w:val="TableParagraph"/>
              <w:spacing w:line="224" w:lineRule="exact"/>
              <w:ind w:left="52"/>
              <w:rPr>
                <w:sz w:val="20"/>
              </w:rPr>
            </w:pPr>
            <w:r>
              <w:rPr>
                <w:sz w:val="20"/>
              </w:rPr>
              <w:t>Equity securities and funds</w:t>
            </w:r>
          </w:p>
        </w:tc>
        <w:tc>
          <w:tcPr>
            <w:tcW w:w="1028" w:type="dxa"/>
            <w:tcBorders>
              <w:top w:val="single" w:sz="8" w:space="0" w:color="000000"/>
            </w:tcBorders>
          </w:tcPr>
          <w:p w14:paraId="7326CB63" w14:textId="77777777" w:rsidR="00EF3DFB" w:rsidRDefault="00D27C17">
            <w:pPr>
              <w:pStyle w:val="TableParagraph"/>
              <w:tabs>
                <w:tab w:val="left" w:pos="670"/>
              </w:tabs>
              <w:spacing w:before="15"/>
              <w:ind w:right="102"/>
              <w:jc w:val="right"/>
              <w:rPr>
                <w:sz w:val="20"/>
              </w:rPr>
            </w:pPr>
            <w:r>
              <w:rPr>
                <w:sz w:val="20"/>
              </w:rPr>
              <w:t>$</w:t>
            </w:r>
            <w:r>
              <w:rPr>
                <w:sz w:val="20"/>
              </w:rPr>
              <w:tab/>
              <w:t>—</w:t>
            </w:r>
          </w:p>
        </w:tc>
        <w:tc>
          <w:tcPr>
            <w:tcW w:w="1080" w:type="dxa"/>
            <w:tcBorders>
              <w:top w:val="single" w:sz="8" w:space="0" w:color="000000"/>
            </w:tcBorders>
          </w:tcPr>
          <w:p w14:paraId="7326CB64" w14:textId="77777777" w:rsidR="00EF3DFB" w:rsidRDefault="00D27C17">
            <w:pPr>
              <w:pStyle w:val="TableParagraph"/>
              <w:tabs>
                <w:tab w:val="left" w:pos="670"/>
              </w:tabs>
              <w:spacing w:before="15"/>
              <w:ind w:right="102"/>
              <w:jc w:val="right"/>
              <w:rPr>
                <w:sz w:val="20"/>
              </w:rPr>
            </w:pPr>
            <w:r>
              <w:rPr>
                <w:sz w:val="20"/>
              </w:rPr>
              <w:t>$</w:t>
            </w:r>
            <w:r>
              <w:rPr>
                <w:sz w:val="20"/>
              </w:rPr>
              <w:tab/>
              <w:t>—</w:t>
            </w:r>
          </w:p>
        </w:tc>
        <w:tc>
          <w:tcPr>
            <w:tcW w:w="1080" w:type="dxa"/>
            <w:tcBorders>
              <w:top w:val="single" w:sz="8" w:space="0" w:color="000000"/>
            </w:tcBorders>
          </w:tcPr>
          <w:p w14:paraId="7326CB65" w14:textId="77777777" w:rsidR="00EF3DFB" w:rsidRDefault="00D27C17">
            <w:pPr>
              <w:pStyle w:val="TableParagraph"/>
              <w:tabs>
                <w:tab w:val="left" w:pos="670"/>
              </w:tabs>
              <w:spacing w:before="15"/>
              <w:ind w:right="102"/>
              <w:jc w:val="right"/>
              <w:rPr>
                <w:sz w:val="20"/>
              </w:rPr>
            </w:pPr>
            <w:r>
              <w:rPr>
                <w:sz w:val="20"/>
              </w:rPr>
              <w:t>$</w:t>
            </w:r>
            <w:r>
              <w:rPr>
                <w:sz w:val="20"/>
              </w:rPr>
              <w:tab/>
              <w:t>—</w:t>
            </w:r>
          </w:p>
        </w:tc>
        <w:tc>
          <w:tcPr>
            <w:tcW w:w="1057" w:type="dxa"/>
            <w:tcBorders>
              <w:top w:val="single" w:sz="8" w:space="0" w:color="000000"/>
            </w:tcBorders>
          </w:tcPr>
          <w:p w14:paraId="7326CB66" w14:textId="77777777" w:rsidR="00EF3DFB" w:rsidRDefault="00D27C17">
            <w:pPr>
              <w:pStyle w:val="TableParagraph"/>
              <w:tabs>
                <w:tab w:val="left" w:pos="670"/>
              </w:tabs>
              <w:spacing w:before="15"/>
              <w:ind w:right="79"/>
              <w:jc w:val="right"/>
              <w:rPr>
                <w:sz w:val="20"/>
              </w:rPr>
            </w:pPr>
            <w:r>
              <w:rPr>
                <w:sz w:val="20"/>
              </w:rPr>
              <w:t>$</w:t>
            </w:r>
            <w:r>
              <w:rPr>
                <w:sz w:val="20"/>
              </w:rPr>
              <w:tab/>
              <w:t>—</w:t>
            </w:r>
          </w:p>
        </w:tc>
        <w:tc>
          <w:tcPr>
            <w:tcW w:w="1115" w:type="dxa"/>
            <w:tcBorders>
              <w:top w:val="single" w:sz="8" w:space="0" w:color="000000"/>
            </w:tcBorders>
          </w:tcPr>
          <w:p w14:paraId="7326CB67" w14:textId="77777777" w:rsidR="00EF3DFB" w:rsidRDefault="00D27C17">
            <w:pPr>
              <w:pStyle w:val="TableParagraph"/>
              <w:tabs>
                <w:tab w:val="left" w:pos="570"/>
              </w:tabs>
              <w:spacing w:before="15"/>
              <w:ind w:right="114"/>
              <w:jc w:val="right"/>
              <w:rPr>
                <w:sz w:val="20"/>
              </w:rPr>
            </w:pPr>
            <w:r>
              <w:rPr>
                <w:sz w:val="20"/>
              </w:rPr>
              <w:t>$</w:t>
            </w:r>
            <w:r>
              <w:rPr>
                <w:sz w:val="20"/>
              </w:rPr>
              <w:tab/>
              <w:t>233</w:t>
            </w:r>
          </w:p>
        </w:tc>
        <w:tc>
          <w:tcPr>
            <w:tcW w:w="1044" w:type="dxa"/>
            <w:tcBorders>
              <w:top w:val="single" w:sz="8" w:space="0" w:color="000000"/>
            </w:tcBorders>
          </w:tcPr>
          <w:p w14:paraId="7326CB68" w14:textId="77777777" w:rsidR="00EF3DFB" w:rsidRDefault="00D27C17">
            <w:pPr>
              <w:pStyle w:val="TableParagraph"/>
              <w:tabs>
                <w:tab w:val="left" w:pos="570"/>
              </w:tabs>
              <w:spacing w:before="15"/>
              <w:ind w:right="78"/>
              <w:jc w:val="right"/>
              <w:rPr>
                <w:sz w:val="20"/>
              </w:rPr>
            </w:pPr>
            <w:r>
              <w:rPr>
                <w:sz w:val="20"/>
              </w:rPr>
              <w:t>$</w:t>
            </w:r>
            <w:r>
              <w:rPr>
                <w:sz w:val="20"/>
              </w:rPr>
              <w:tab/>
              <w:t>233</w:t>
            </w:r>
          </w:p>
        </w:tc>
      </w:tr>
      <w:tr w:rsidR="00EF3DFB" w14:paraId="7326CB71" w14:textId="77777777">
        <w:trPr>
          <w:trHeight w:val="285"/>
        </w:trPr>
        <w:tc>
          <w:tcPr>
            <w:tcW w:w="4215" w:type="dxa"/>
            <w:shd w:val="clear" w:color="auto" w:fill="CCEDFF"/>
          </w:tcPr>
          <w:p w14:paraId="7326CB6A" w14:textId="77777777" w:rsidR="00EF3DFB" w:rsidRDefault="00D27C17">
            <w:pPr>
              <w:pStyle w:val="TableParagraph"/>
              <w:spacing w:before="4"/>
              <w:ind w:left="52"/>
              <w:rPr>
                <w:sz w:val="20"/>
              </w:rPr>
            </w:pPr>
            <w:r>
              <w:rPr>
                <w:sz w:val="20"/>
              </w:rPr>
              <w:t>Fixed income securities and funds</w:t>
            </w:r>
          </w:p>
        </w:tc>
        <w:tc>
          <w:tcPr>
            <w:tcW w:w="1028" w:type="dxa"/>
            <w:shd w:val="clear" w:color="auto" w:fill="CCEDFF"/>
          </w:tcPr>
          <w:p w14:paraId="7326CB6B" w14:textId="77777777" w:rsidR="00EF3DFB" w:rsidRDefault="00D27C17">
            <w:pPr>
              <w:pStyle w:val="TableParagraph"/>
              <w:spacing w:before="25"/>
              <w:ind w:right="102"/>
              <w:jc w:val="right"/>
              <w:rPr>
                <w:sz w:val="20"/>
              </w:rPr>
            </w:pPr>
            <w:r>
              <w:rPr>
                <w:sz w:val="20"/>
              </w:rPr>
              <w:t>400</w:t>
            </w:r>
          </w:p>
        </w:tc>
        <w:tc>
          <w:tcPr>
            <w:tcW w:w="1080" w:type="dxa"/>
            <w:shd w:val="clear" w:color="auto" w:fill="CCEDFF"/>
          </w:tcPr>
          <w:p w14:paraId="7326CB6C" w14:textId="77777777" w:rsidR="00EF3DFB" w:rsidRDefault="00D27C17">
            <w:pPr>
              <w:pStyle w:val="TableParagraph"/>
              <w:spacing w:before="25"/>
              <w:ind w:right="102"/>
              <w:jc w:val="right"/>
              <w:rPr>
                <w:sz w:val="20"/>
              </w:rPr>
            </w:pPr>
            <w:r>
              <w:rPr>
                <w:sz w:val="20"/>
              </w:rPr>
              <w:t>—</w:t>
            </w:r>
          </w:p>
        </w:tc>
        <w:tc>
          <w:tcPr>
            <w:tcW w:w="1080" w:type="dxa"/>
            <w:shd w:val="clear" w:color="auto" w:fill="CCEDFF"/>
          </w:tcPr>
          <w:p w14:paraId="7326CB6D" w14:textId="77777777" w:rsidR="00EF3DFB" w:rsidRDefault="00D27C17">
            <w:pPr>
              <w:pStyle w:val="TableParagraph"/>
              <w:spacing w:before="25"/>
              <w:ind w:right="102"/>
              <w:jc w:val="right"/>
              <w:rPr>
                <w:sz w:val="20"/>
              </w:rPr>
            </w:pPr>
            <w:r>
              <w:rPr>
                <w:sz w:val="20"/>
              </w:rPr>
              <w:t>—</w:t>
            </w:r>
          </w:p>
        </w:tc>
        <w:tc>
          <w:tcPr>
            <w:tcW w:w="1057" w:type="dxa"/>
            <w:shd w:val="clear" w:color="auto" w:fill="CCEDFF"/>
          </w:tcPr>
          <w:p w14:paraId="7326CB6E" w14:textId="77777777" w:rsidR="00EF3DFB" w:rsidRDefault="00D27C17">
            <w:pPr>
              <w:pStyle w:val="TableParagraph"/>
              <w:spacing w:before="25"/>
              <w:ind w:right="79"/>
              <w:jc w:val="right"/>
              <w:rPr>
                <w:sz w:val="20"/>
              </w:rPr>
            </w:pPr>
            <w:r>
              <w:rPr>
                <w:sz w:val="20"/>
              </w:rPr>
              <w:t>400</w:t>
            </w:r>
          </w:p>
        </w:tc>
        <w:tc>
          <w:tcPr>
            <w:tcW w:w="1115" w:type="dxa"/>
            <w:shd w:val="clear" w:color="auto" w:fill="CCEDFF"/>
          </w:tcPr>
          <w:p w14:paraId="7326CB6F" w14:textId="77777777" w:rsidR="00EF3DFB" w:rsidRDefault="00D27C17">
            <w:pPr>
              <w:pStyle w:val="TableParagraph"/>
              <w:spacing w:before="25"/>
              <w:ind w:right="114"/>
              <w:jc w:val="right"/>
              <w:rPr>
                <w:sz w:val="20"/>
              </w:rPr>
            </w:pPr>
            <w:r>
              <w:rPr>
                <w:sz w:val="20"/>
              </w:rPr>
              <w:t>330</w:t>
            </w:r>
          </w:p>
        </w:tc>
        <w:tc>
          <w:tcPr>
            <w:tcW w:w="1044" w:type="dxa"/>
            <w:shd w:val="clear" w:color="auto" w:fill="CCEDFF"/>
          </w:tcPr>
          <w:p w14:paraId="7326CB70" w14:textId="77777777" w:rsidR="00EF3DFB" w:rsidRDefault="00D27C17">
            <w:pPr>
              <w:pStyle w:val="TableParagraph"/>
              <w:spacing w:before="25"/>
              <w:ind w:right="78"/>
              <w:jc w:val="right"/>
              <w:rPr>
                <w:sz w:val="20"/>
              </w:rPr>
            </w:pPr>
            <w:r>
              <w:rPr>
                <w:sz w:val="20"/>
              </w:rPr>
              <w:t>730</w:t>
            </w:r>
          </w:p>
        </w:tc>
      </w:tr>
      <w:tr w:rsidR="00EF3DFB" w14:paraId="7326CB79" w14:textId="77777777">
        <w:trPr>
          <w:trHeight w:val="285"/>
        </w:trPr>
        <w:tc>
          <w:tcPr>
            <w:tcW w:w="4215" w:type="dxa"/>
          </w:tcPr>
          <w:p w14:paraId="7326CB72" w14:textId="77777777" w:rsidR="00EF3DFB" w:rsidRDefault="00D27C17">
            <w:pPr>
              <w:pStyle w:val="TableParagraph"/>
              <w:spacing w:before="4"/>
              <w:ind w:left="52"/>
              <w:rPr>
                <w:sz w:val="20"/>
              </w:rPr>
            </w:pPr>
            <w:r>
              <w:rPr>
                <w:sz w:val="20"/>
              </w:rPr>
              <w:t>Alternative investments</w:t>
            </w:r>
          </w:p>
        </w:tc>
        <w:tc>
          <w:tcPr>
            <w:tcW w:w="1028" w:type="dxa"/>
          </w:tcPr>
          <w:p w14:paraId="7326CB73" w14:textId="77777777" w:rsidR="00EF3DFB" w:rsidRDefault="00D27C17">
            <w:pPr>
              <w:pStyle w:val="TableParagraph"/>
              <w:spacing w:before="25"/>
              <w:ind w:right="102"/>
              <w:jc w:val="right"/>
              <w:rPr>
                <w:sz w:val="20"/>
              </w:rPr>
            </w:pPr>
            <w:r>
              <w:rPr>
                <w:sz w:val="20"/>
              </w:rPr>
              <w:t>47</w:t>
            </w:r>
          </w:p>
        </w:tc>
        <w:tc>
          <w:tcPr>
            <w:tcW w:w="1080" w:type="dxa"/>
          </w:tcPr>
          <w:p w14:paraId="7326CB74" w14:textId="77777777" w:rsidR="00EF3DFB" w:rsidRDefault="00D27C17">
            <w:pPr>
              <w:pStyle w:val="TableParagraph"/>
              <w:spacing w:before="25"/>
              <w:ind w:right="102"/>
              <w:jc w:val="right"/>
              <w:rPr>
                <w:sz w:val="20"/>
              </w:rPr>
            </w:pPr>
            <w:r>
              <w:rPr>
                <w:sz w:val="20"/>
              </w:rPr>
              <w:t>—</w:t>
            </w:r>
          </w:p>
        </w:tc>
        <w:tc>
          <w:tcPr>
            <w:tcW w:w="1080" w:type="dxa"/>
          </w:tcPr>
          <w:p w14:paraId="7326CB75" w14:textId="77777777" w:rsidR="00EF3DFB" w:rsidRDefault="00D27C17">
            <w:pPr>
              <w:pStyle w:val="TableParagraph"/>
              <w:spacing w:before="25"/>
              <w:ind w:right="102"/>
              <w:jc w:val="right"/>
              <w:rPr>
                <w:sz w:val="20"/>
              </w:rPr>
            </w:pPr>
            <w:r>
              <w:rPr>
                <w:sz w:val="20"/>
              </w:rPr>
              <w:t>—</w:t>
            </w:r>
          </w:p>
        </w:tc>
        <w:tc>
          <w:tcPr>
            <w:tcW w:w="1057" w:type="dxa"/>
          </w:tcPr>
          <w:p w14:paraId="7326CB76" w14:textId="77777777" w:rsidR="00EF3DFB" w:rsidRDefault="00D27C17">
            <w:pPr>
              <w:pStyle w:val="TableParagraph"/>
              <w:spacing w:before="25"/>
              <w:ind w:right="79"/>
              <w:jc w:val="right"/>
              <w:rPr>
                <w:sz w:val="20"/>
              </w:rPr>
            </w:pPr>
            <w:r>
              <w:rPr>
                <w:sz w:val="20"/>
              </w:rPr>
              <w:t>47</w:t>
            </w:r>
          </w:p>
        </w:tc>
        <w:tc>
          <w:tcPr>
            <w:tcW w:w="1115" w:type="dxa"/>
          </w:tcPr>
          <w:p w14:paraId="7326CB77" w14:textId="77777777" w:rsidR="00EF3DFB" w:rsidRDefault="00D27C17">
            <w:pPr>
              <w:pStyle w:val="TableParagraph"/>
              <w:spacing w:before="25"/>
              <w:ind w:right="114"/>
              <w:jc w:val="right"/>
              <w:rPr>
                <w:sz w:val="20"/>
              </w:rPr>
            </w:pPr>
            <w:r>
              <w:rPr>
                <w:sz w:val="20"/>
              </w:rPr>
              <w:t>192</w:t>
            </w:r>
          </w:p>
        </w:tc>
        <w:tc>
          <w:tcPr>
            <w:tcW w:w="1044" w:type="dxa"/>
          </w:tcPr>
          <w:p w14:paraId="7326CB78" w14:textId="77777777" w:rsidR="00EF3DFB" w:rsidRDefault="00D27C17">
            <w:pPr>
              <w:pStyle w:val="TableParagraph"/>
              <w:spacing w:before="25"/>
              <w:ind w:right="78"/>
              <w:jc w:val="right"/>
              <w:rPr>
                <w:sz w:val="20"/>
              </w:rPr>
            </w:pPr>
            <w:r>
              <w:rPr>
                <w:sz w:val="20"/>
              </w:rPr>
              <w:t>239</w:t>
            </w:r>
          </w:p>
        </w:tc>
      </w:tr>
      <w:tr w:rsidR="00EF3DFB" w14:paraId="7326CB81" w14:textId="77777777">
        <w:trPr>
          <w:trHeight w:val="275"/>
        </w:trPr>
        <w:tc>
          <w:tcPr>
            <w:tcW w:w="4215" w:type="dxa"/>
            <w:shd w:val="clear" w:color="auto" w:fill="CCEDFF"/>
          </w:tcPr>
          <w:p w14:paraId="7326CB7A" w14:textId="77777777" w:rsidR="00EF3DFB" w:rsidRDefault="00D27C17">
            <w:pPr>
              <w:pStyle w:val="TableParagraph"/>
              <w:spacing w:before="4"/>
              <w:ind w:left="52"/>
              <w:rPr>
                <w:sz w:val="20"/>
              </w:rPr>
            </w:pPr>
            <w:r>
              <w:rPr>
                <w:sz w:val="20"/>
              </w:rPr>
              <w:t>Cash and other</w:t>
            </w:r>
          </w:p>
        </w:tc>
        <w:tc>
          <w:tcPr>
            <w:tcW w:w="1028" w:type="dxa"/>
            <w:tcBorders>
              <w:bottom w:val="single" w:sz="8" w:space="0" w:color="000000"/>
            </w:tcBorders>
            <w:shd w:val="clear" w:color="auto" w:fill="CCEDFF"/>
          </w:tcPr>
          <w:p w14:paraId="7326CB7B" w14:textId="77777777" w:rsidR="00EF3DFB" w:rsidRDefault="00D27C17">
            <w:pPr>
              <w:pStyle w:val="TableParagraph"/>
              <w:spacing w:before="25" w:line="230" w:lineRule="exact"/>
              <w:ind w:right="102"/>
              <w:jc w:val="right"/>
              <w:rPr>
                <w:sz w:val="20"/>
              </w:rPr>
            </w:pPr>
            <w:r>
              <w:rPr>
                <w:sz w:val="20"/>
              </w:rPr>
              <w:t>10</w:t>
            </w:r>
          </w:p>
        </w:tc>
        <w:tc>
          <w:tcPr>
            <w:tcW w:w="1080" w:type="dxa"/>
            <w:tcBorders>
              <w:bottom w:val="single" w:sz="8" w:space="0" w:color="000000"/>
            </w:tcBorders>
            <w:shd w:val="clear" w:color="auto" w:fill="CCEDFF"/>
          </w:tcPr>
          <w:p w14:paraId="7326CB7C" w14:textId="77777777" w:rsidR="00EF3DFB" w:rsidRDefault="00D27C17">
            <w:pPr>
              <w:pStyle w:val="TableParagraph"/>
              <w:spacing w:before="25" w:line="230" w:lineRule="exact"/>
              <w:ind w:right="102"/>
              <w:jc w:val="right"/>
              <w:rPr>
                <w:sz w:val="20"/>
              </w:rPr>
            </w:pPr>
            <w:r>
              <w:rPr>
                <w:sz w:val="20"/>
              </w:rPr>
              <w:t>15</w:t>
            </w:r>
          </w:p>
        </w:tc>
        <w:tc>
          <w:tcPr>
            <w:tcW w:w="1080" w:type="dxa"/>
            <w:tcBorders>
              <w:bottom w:val="single" w:sz="8" w:space="0" w:color="000000"/>
            </w:tcBorders>
            <w:shd w:val="clear" w:color="auto" w:fill="CCEDFF"/>
          </w:tcPr>
          <w:p w14:paraId="7326CB7D" w14:textId="77777777" w:rsidR="00EF3DFB" w:rsidRDefault="00D27C17">
            <w:pPr>
              <w:pStyle w:val="TableParagraph"/>
              <w:spacing w:before="25" w:line="230" w:lineRule="exact"/>
              <w:ind w:right="102"/>
              <w:jc w:val="right"/>
              <w:rPr>
                <w:sz w:val="20"/>
              </w:rPr>
            </w:pPr>
            <w:r>
              <w:rPr>
                <w:sz w:val="20"/>
              </w:rPr>
              <w:t>1</w:t>
            </w:r>
          </w:p>
        </w:tc>
        <w:tc>
          <w:tcPr>
            <w:tcW w:w="1057" w:type="dxa"/>
            <w:tcBorders>
              <w:bottom w:val="single" w:sz="8" w:space="0" w:color="000000"/>
            </w:tcBorders>
            <w:shd w:val="clear" w:color="auto" w:fill="CCEDFF"/>
          </w:tcPr>
          <w:p w14:paraId="7326CB7E" w14:textId="77777777" w:rsidR="00EF3DFB" w:rsidRDefault="00D27C17">
            <w:pPr>
              <w:pStyle w:val="TableParagraph"/>
              <w:spacing w:before="25" w:line="230" w:lineRule="exact"/>
              <w:ind w:right="79"/>
              <w:jc w:val="right"/>
              <w:rPr>
                <w:sz w:val="20"/>
              </w:rPr>
            </w:pPr>
            <w:r>
              <w:rPr>
                <w:sz w:val="20"/>
              </w:rPr>
              <w:t>26</w:t>
            </w:r>
          </w:p>
        </w:tc>
        <w:tc>
          <w:tcPr>
            <w:tcW w:w="1115" w:type="dxa"/>
            <w:tcBorders>
              <w:bottom w:val="single" w:sz="8" w:space="0" w:color="000000"/>
            </w:tcBorders>
            <w:shd w:val="clear" w:color="auto" w:fill="CCEDFF"/>
          </w:tcPr>
          <w:p w14:paraId="7326CB7F" w14:textId="77777777" w:rsidR="00EF3DFB" w:rsidRDefault="00D27C17">
            <w:pPr>
              <w:pStyle w:val="TableParagraph"/>
              <w:spacing w:before="25" w:line="230" w:lineRule="exact"/>
              <w:ind w:right="114"/>
              <w:jc w:val="right"/>
              <w:rPr>
                <w:sz w:val="20"/>
              </w:rPr>
            </w:pPr>
            <w:r>
              <w:rPr>
                <w:sz w:val="20"/>
              </w:rPr>
              <w:t>—</w:t>
            </w:r>
          </w:p>
        </w:tc>
        <w:tc>
          <w:tcPr>
            <w:tcW w:w="1044" w:type="dxa"/>
            <w:tcBorders>
              <w:bottom w:val="single" w:sz="8" w:space="0" w:color="000000"/>
            </w:tcBorders>
            <w:shd w:val="clear" w:color="auto" w:fill="CCEDFF"/>
          </w:tcPr>
          <w:p w14:paraId="7326CB80" w14:textId="77777777" w:rsidR="00EF3DFB" w:rsidRDefault="00D27C17">
            <w:pPr>
              <w:pStyle w:val="TableParagraph"/>
              <w:spacing w:before="25" w:line="230" w:lineRule="exact"/>
              <w:ind w:right="78"/>
              <w:jc w:val="right"/>
              <w:rPr>
                <w:sz w:val="20"/>
              </w:rPr>
            </w:pPr>
            <w:r>
              <w:rPr>
                <w:sz w:val="20"/>
              </w:rPr>
              <w:t>26</w:t>
            </w:r>
          </w:p>
        </w:tc>
      </w:tr>
      <w:tr w:rsidR="00EF3DFB" w14:paraId="7326CB89" w14:textId="77777777">
        <w:trPr>
          <w:trHeight w:val="285"/>
        </w:trPr>
        <w:tc>
          <w:tcPr>
            <w:tcW w:w="4215" w:type="dxa"/>
          </w:tcPr>
          <w:p w14:paraId="7326CB82" w14:textId="77777777" w:rsidR="00EF3DFB" w:rsidRDefault="00D27C17">
            <w:pPr>
              <w:pStyle w:val="TableParagraph"/>
              <w:spacing w:line="224" w:lineRule="exact"/>
              <w:ind w:left="52"/>
              <w:rPr>
                <w:sz w:val="20"/>
              </w:rPr>
            </w:pPr>
            <w:r>
              <w:rPr>
                <w:sz w:val="20"/>
              </w:rPr>
              <w:t>Total</w:t>
            </w:r>
          </w:p>
        </w:tc>
        <w:tc>
          <w:tcPr>
            <w:tcW w:w="1028" w:type="dxa"/>
            <w:tcBorders>
              <w:top w:val="single" w:sz="8" w:space="0" w:color="000000"/>
              <w:bottom w:val="single" w:sz="8" w:space="0" w:color="000000"/>
            </w:tcBorders>
          </w:tcPr>
          <w:p w14:paraId="7326CB83"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457</w:t>
            </w:r>
          </w:p>
        </w:tc>
        <w:tc>
          <w:tcPr>
            <w:tcW w:w="1080" w:type="dxa"/>
            <w:tcBorders>
              <w:top w:val="single" w:sz="8" w:space="0" w:color="000000"/>
              <w:bottom w:val="single" w:sz="8" w:space="0" w:color="000000"/>
            </w:tcBorders>
          </w:tcPr>
          <w:p w14:paraId="7326CB84" w14:textId="77777777" w:rsidR="00EF3DFB" w:rsidRDefault="00D27C17">
            <w:pPr>
              <w:pStyle w:val="TableParagraph"/>
              <w:tabs>
                <w:tab w:val="left" w:pos="670"/>
              </w:tabs>
              <w:spacing w:before="15"/>
              <w:ind w:right="102"/>
              <w:jc w:val="right"/>
              <w:rPr>
                <w:sz w:val="20"/>
              </w:rPr>
            </w:pPr>
            <w:r>
              <w:rPr>
                <w:sz w:val="20"/>
                <w:u w:val="single"/>
              </w:rPr>
              <w:t>$</w:t>
            </w:r>
            <w:r>
              <w:rPr>
                <w:sz w:val="20"/>
                <w:u w:val="single"/>
              </w:rPr>
              <w:tab/>
              <w:t>15</w:t>
            </w:r>
          </w:p>
        </w:tc>
        <w:tc>
          <w:tcPr>
            <w:tcW w:w="1080" w:type="dxa"/>
            <w:tcBorders>
              <w:top w:val="single" w:sz="8" w:space="0" w:color="000000"/>
              <w:bottom w:val="single" w:sz="8" w:space="0" w:color="000000"/>
            </w:tcBorders>
          </w:tcPr>
          <w:p w14:paraId="7326CB85" w14:textId="77777777" w:rsidR="00EF3DFB" w:rsidRDefault="00D27C17">
            <w:pPr>
              <w:pStyle w:val="TableParagraph"/>
              <w:tabs>
                <w:tab w:val="left" w:pos="770"/>
              </w:tabs>
              <w:spacing w:before="15"/>
              <w:ind w:right="102"/>
              <w:jc w:val="right"/>
              <w:rPr>
                <w:sz w:val="20"/>
              </w:rPr>
            </w:pPr>
            <w:r>
              <w:rPr>
                <w:sz w:val="20"/>
                <w:u w:val="single"/>
              </w:rPr>
              <w:t>$</w:t>
            </w:r>
            <w:r>
              <w:rPr>
                <w:sz w:val="20"/>
                <w:u w:val="single"/>
              </w:rPr>
              <w:tab/>
              <w:t>1</w:t>
            </w:r>
          </w:p>
        </w:tc>
        <w:tc>
          <w:tcPr>
            <w:tcW w:w="1057" w:type="dxa"/>
            <w:tcBorders>
              <w:top w:val="single" w:sz="8" w:space="0" w:color="000000"/>
              <w:bottom w:val="single" w:sz="8" w:space="0" w:color="000000"/>
            </w:tcBorders>
          </w:tcPr>
          <w:p w14:paraId="7326CB86" w14:textId="77777777" w:rsidR="00EF3DFB" w:rsidRDefault="00D27C17">
            <w:pPr>
              <w:pStyle w:val="TableParagraph"/>
              <w:tabs>
                <w:tab w:val="left" w:pos="570"/>
              </w:tabs>
              <w:spacing w:before="15"/>
              <w:ind w:right="79"/>
              <w:jc w:val="right"/>
              <w:rPr>
                <w:sz w:val="20"/>
              </w:rPr>
            </w:pPr>
            <w:r>
              <w:rPr>
                <w:sz w:val="20"/>
                <w:u w:val="single"/>
              </w:rPr>
              <w:t>$</w:t>
            </w:r>
            <w:r>
              <w:rPr>
                <w:sz w:val="20"/>
                <w:u w:val="single"/>
              </w:rPr>
              <w:tab/>
              <w:t>473</w:t>
            </w:r>
          </w:p>
        </w:tc>
        <w:tc>
          <w:tcPr>
            <w:tcW w:w="1115" w:type="dxa"/>
            <w:tcBorders>
              <w:top w:val="single" w:sz="8" w:space="0" w:color="000000"/>
              <w:bottom w:val="single" w:sz="8" w:space="0" w:color="000000"/>
            </w:tcBorders>
          </w:tcPr>
          <w:p w14:paraId="7326CB87" w14:textId="77777777" w:rsidR="00EF3DFB" w:rsidRDefault="00D27C17">
            <w:pPr>
              <w:pStyle w:val="TableParagraph"/>
              <w:tabs>
                <w:tab w:val="left" w:pos="570"/>
              </w:tabs>
              <w:spacing w:before="15"/>
              <w:ind w:right="114"/>
              <w:jc w:val="right"/>
              <w:rPr>
                <w:sz w:val="20"/>
              </w:rPr>
            </w:pPr>
            <w:r>
              <w:rPr>
                <w:sz w:val="20"/>
                <w:u w:val="single"/>
              </w:rPr>
              <w:t>$</w:t>
            </w:r>
            <w:r>
              <w:rPr>
                <w:sz w:val="20"/>
                <w:u w:val="single"/>
              </w:rPr>
              <w:tab/>
              <w:t>755</w:t>
            </w:r>
          </w:p>
        </w:tc>
        <w:tc>
          <w:tcPr>
            <w:tcW w:w="1044" w:type="dxa"/>
            <w:tcBorders>
              <w:top w:val="single" w:sz="8" w:space="0" w:color="000000"/>
              <w:bottom w:val="single" w:sz="8" w:space="0" w:color="000000"/>
            </w:tcBorders>
          </w:tcPr>
          <w:p w14:paraId="7326CB88" w14:textId="77777777" w:rsidR="00EF3DFB" w:rsidRDefault="00D27C17">
            <w:pPr>
              <w:pStyle w:val="TableParagraph"/>
              <w:tabs>
                <w:tab w:val="left" w:pos="420"/>
              </w:tabs>
              <w:spacing w:before="15"/>
              <w:ind w:right="78"/>
              <w:jc w:val="right"/>
              <w:rPr>
                <w:sz w:val="20"/>
              </w:rPr>
            </w:pPr>
            <w:r>
              <w:rPr>
                <w:sz w:val="20"/>
                <w:u w:val="single"/>
              </w:rPr>
              <w:t>$</w:t>
            </w:r>
            <w:r>
              <w:rPr>
                <w:sz w:val="20"/>
                <w:u w:val="single"/>
              </w:rPr>
              <w:tab/>
              <w:t>1,228</w:t>
            </w:r>
          </w:p>
        </w:tc>
      </w:tr>
    </w:tbl>
    <w:p w14:paraId="7326CB8A" w14:textId="77777777" w:rsidR="00EF3DFB" w:rsidRDefault="00EF3DFB">
      <w:pPr>
        <w:jc w:val="right"/>
        <w:rPr>
          <w:sz w:val="20"/>
        </w:rPr>
        <w:sectPr w:rsidR="00EF3DFB">
          <w:footerReference w:type="default" r:id="rId20"/>
          <w:pgSz w:w="12240" w:h="15840"/>
          <w:pgMar w:top="840" w:right="640" w:bottom="480" w:left="620" w:header="0" w:footer="291" w:gutter="0"/>
          <w:pgNumType w:start="80"/>
          <w:cols w:space="720"/>
        </w:sectPr>
      </w:pPr>
    </w:p>
    <w:p w14:paraId="7326CB8B" w14:textId="77777777" w:rsidR="00EF3DFB" w:rsidRDefault="00D27C17">
      <w:pPr>
        <w:pStyle w:val="BodyText"/>
        <w:spacing w:before="72"/>
        <w:ind w:left="190"/>
      </w:pPr>
      <w:r>
        <w:lastRenderedPageBreak/>
        <w:t>The composition of international pension plan assets at December 31, 2020 and 2019 is as follows (in millions):</w:t>
      </w:r>
    </w:p>
    <w:p w14:paraId="7326CB8C" w14:textId="77777777" w:rsidR="00EF3DFB" w:rsidRDefault="00EF3DFB">
      <w:pPr>
        <w:pStyle w:val="BodyText"/>
        <w:spacing w:before="9"/>
        <w:rPr>
          <w:sz w:val="26"/>
        </w:rPr>
      </w:pPr>
    </w:p>
    <w:p w14:paraId="7326CB8D" w14:textId="2B7A9944" w:rsidR="00EF3DFB" w:rsidRDefault="00D27C17">
      <w:pPr>
        <w:spacing w:before="93" w:line="278" w:lineRule="auto"/>
        <w:ind w:left="6880" w:right="2037" w:hanging="588"/>
        <w:rPr>
          <w:b/>
          <w:sz w:val="18"/>
        </w:rPr>
      </w:pPr>
      <w:r>
        <w:rPr>
          <w:noProof/>
        </w:rPr>
        <mc:AlternateContent>
          <mc:Choice Requires="wpg">
            <w:drawing>
              <wp:anchor distT="0" distB="0" distL="114300" distR="114300" simplePos="0" relativeHeight="502907120" behindDoc="1" locked="0" layoutInCell="1" allowOverlap="1" wp14:anchorId="7326D754" wp14:editId="0226F466">
                <wp:simplePos x="0" y="0"/>
                <wp:positionH relativeFrom="page">
                  <wp:posOffset>3190875</wp:posOffset>
                </wp:positionH>
                <wp:positionV relativeFrom="paragraph">
                  <wp:posOffset>203200</wp:posOffset>
                </wp:positionV>
                <wp:extent cx="4067175" cy="12700"/>
                <wp:effectExtent l="9525" t="0" r="9525" b="6350"/>
                <wp:wrapNone/>
                <wp:docPr id="285"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5025" y="320"/>
                          <a:chExt cx="6405" cy="20"/>
                        </a:xfrm>
                      </wpg:grpSpPr>
                      <wps:wsp>
                        <wps:cNvPr id="286" name="Line 270"/>
                        <wps:cNvCnPr>
                          <a:cxnSpLocks noChangeShapeType="1"/>
                        </wps:cNvCnPr>
                        <wps:spPr bwMode="auto">
                          <a:xfrm>
                            <a:off x="5025" y="330"/>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69"/>
                        <wps:cNvCnPr>
                          <a:cxnSpLocks noChangeShapeType="1"/>
                        </wps:cNvCnPr>
                        <wps:spPr bwMode="auto">
                          <a:xfrm>
                            <a:off x="5025" y="330"/>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0CB85" id="Group 268" o:spid="_x0000_s1026" style="position:absolute;margin-left:251.25pt;margin-top:16pt;width:320.25pt;height:1pt;z-index:-409360;mso-position-horizontal-relative:page" coordorigin="5025,320"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">
                <v:line id="Line 270" o:spid="_x0000_s1027" style="position:absolute;visibility:visible;mso-wrap-style:square" from="5025,330" to="114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line id="Line 269" o:spid="_x0000_s1028" style="position:absolute;visibility:visible;mso-wrap-style:square" from="5025,330" to="114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" strokeweight="1pt"/>
                <w10:wrap anchorx="page"/>
              </v:group>
            </w:pict>
          </mc:Fallback>
        </mc:AlternateContent>
      </w:r>
      <w:r>
        <w:rPr>
          <w:noProof/>
        </w:rPr>
        <mc:AlternateContent>
          <mc:Choice Requires="wpg">
            <w:drawing>
              <wp:anchor distT="0" distB="0" distL="114300" distR="114300" simplePos="0" relativeHeight="3568" behindDoc="0" locked="0" layoutInCell="1" allowOverlap="1" wp14:anchorId="7326D755" wp14:editId="36B4BE9F">
                <wp:simplePos x="0" y="0"/>
                <wp:positionH relativeFrom="page">
                  <wp:posOffset>3190875</wp:posOffset>
                </wp:positionH>
                <wp:positionV relativeFrom="paragraph">
                  <wp:posOffset>355600</wp:posOffset>
                </wp:positionV>
                <wp:extent cx="4067175" cy="12700"/>
                <wp:effectExtent l="9525" t="0" r="9525" b="6350"/>
                <wp:wrapNone/>
                <wp:docPr id="28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5025" y="560"/>
                          <a:chExt cx="6405" cy="20"/>
                        </a:xfrm>
                      </wpg:grpSpPr>
                      <wps:wsp>
                        <wps:cNvPr id="283" name="Line 267"/>
                        <wps:cNvCnPr>
                          <a:cxnSpLocks noChangeShapeType="1"/>
                        </wps:cNvCnPr>
                        <wps:spPr bwMode="auto">
                          <a:xfrm>
                            <a:off x="5025" y="570"/>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266"/>
                        <wps:cNvCnPr>
                          <a:cxnSpLocks noChangeShapeType="1"/>
                        </wps:cNvCnPr>
                        <wps:spPr bwMode="auto">
                          <a:xfrm>
                            <a:off x="5025" y="570"/>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F8479" id="Group 265" o:spid="_x0000_s1026" style="position:absolute;margin-left:251.25pt;margin-top:28pt;width:320.25pt;height:1pt;z-index:3568;mso-position-horizontal-relative:page" coordorigin="5025,560"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">
                <v:line id="Line 267" o:spid="_x0000_s1027" style="position:absolute;visibility:visible;mso-wrap-style:square" from="5025,570" to="1143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line id="Line 266" o:spid="_x0000_s1028" style="position:absolute;visibility:visible;mso-wrap-style:square" from="5025,570" to="1143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w10:wrap anchorx="page"/>
              </v:group>
            </w:pict>
          </mc:Fallback>
        </mc:AlternateContent>
      </w:r>
      <w:r>
        <w:rPr>
          <w:b/>
          <w:sz w:val="18"/>
        </w:rPr>
        <w:t>Plan Assets — International Plans December 31, 2020</w:t>
      </w:r>
    </w:p>
    <w:p w14:paraId="7326CB8E" w14:textId="12D9A7AE" w:rsidR="00EF3DFB" w:rsidRDefault="00D27C17">
      <w:pPr>
        <w:ind w:left="5528"/>
        <w:rPr>
          <w:b/>
          <w:sz w:val="18"/>
        </w:rPr>
      </w:pPr>
      <w:r>
        <w:rPr>
          <w:noProof/>
        </w:rPr>
        <mc:AlternateContent>
          <mc:Choice Requires="wpg">
            <w:drawing>
              <wp:anchor distT="0" distB="0" distL="114300" distR="114300" simplePos="0" relativeHeight="3592" behindDoc="0" locked="0" layoutInCell="1" allowOverlap="1" wp14:anchorId="7326D756" wp14:editId="110BF599">
                <wp:simplePos x="0" y="0"/>
                <wp:positionH relativeFrom="page">
                  <wp:posOffset>3190875</wp:posOffset>
                </wp:positionH>
                <wp:positionV relativeFrom="paragraph">
                  <wp:posOffset>144145</wp:posOffset>
                </wp:positionV>
                <wp:extent cx="2695575" cy="12700"/>
                <wp:effectExtent l="9525" t="8890" r="9525" b="6985"/>
                <wp:wrapNone/>
                <wp:docPr id="279"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12700"/>
                          <a:chOff x="5025" y="227"/>
                          <a:chExt cx="4245" cy="20"/>
                        </a:xfrm>
                      </wpg:grpSpPr>
                      <wps:wsp>
                        <wps:cNvPr id="280" name="Line 264"/>
                        <wps:cNvCnPr>
                          <a:cxnSpLocks noChangeShapeType="1"/>
                        </wps:cNvCnPr>
                        <wps:spPr bwMode="auto">
                          <a:xfrm>
                            <a:off x="5025" y="237"/>
                            <a:ext cx="4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63"/>
                        <wps:cNvCnPr>
                          <a:cxnSpLocks noChangeShapeType="1"/>
                        </wps:cNvCnPr>
                        <wps:spPr bwMode="auto">
                          <a:xfrm>
                            <a:off x="5025" y="237"/>
                            <a:ext cx="42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B519E" id="Group 262" o:spid="_x0000_s1026" style="position:absolute;margin-left:251.25pt;margin-top:11.35pt;width:212.25pt;height:1pt;z-index:3592;mso-position-horizontal-relative:page" coordorigin="5025,227" coordsize="42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">
                <v:line id="Line 264" o:spid="_x0000_s1027" style="position:absolute;visibility:visible;mso-wrap-style:square" from="5025,237" to="927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line id="Line 263" o:spid="_x0000_s1028" style="position:absolute;visibility:visible;mso-wrap-style:square" from="5025,237" to="927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w10:wrap anchorx="page"/>
              </v:group>
            </w:pict>
          </mc:Fallback>
        </mc:AlternateContent>
      </w:r>
      <w:r>
        <w:rPr>
          <w:b/>
          <w:sz w:val="18"/>
        </w:rPr>
        <w:t>Fair Value Measurements</w:t>
      </w:r>
    </w:p>
    <w:p w14:paraId="7326CB8F" w14:textId="77777777" w:rsidR="00EF3DFB" w:rsidRDefault="00EF3DFB">
      <w:pPr>
        <w:rPr>
          <w:sz w:val="18"/>
        </w:rPr>
        <w:sectPr w:rsidR="00EF3DFB">
          <w:pgSz w:w="12240" w:h="15840"/>
          <w:pgMar w:top="840" w:right="640" w:bottom="480" w:left="620" w:header="0" w:footer="291" w:gutter="0"/>
          <w:cols w:space="720"/>
        </w:sectPr>
      </w:pPr>
    </w:p>
    <w:p w14:paraId="7326CB90" w14:textId="77777777" w:rsidR="00EF3DFB" w:rsidRDefault="00EF3DFB">
      <w:pPr>
        <w:pStyle w:val="BodyText"/>
        <w:spacing w:before="6"/>
        <w:rPr>
          <w:b/>
          <w:sz w:val="18"/>
        </w:rPr>
      </w:pPr>
    </w:p>
    <w:p w14:paraId="7326CB91" w14:textId="3B281610" w:rsidR="00EF3DFB" w:rsidRDefault="00D27C17">
      <w:pPr>
        <w:tabs>
          <w:tab w:val="left" w:pos="4630"/>
          <w:tab w:val="left" w:pos="5710"/>
          <w:tab w:val="left" w:pos="6790"/>
          <w:tab w:val="left" w:pos="7822"/>
        </w:tabs>
        <w:ind w:left="242"/>
        <w:rPr>
          <w:b/>
          <w:sz w:val="18"/>
        </w:rPr>
      </w:pPr>
      <w:r>
        <w:rPr>
          <w:noProof/>
        </w:rPr>
        <mc:AlternateContent>
          <mc:Choice Requires="wps">
            <w:drawing>
              <wp:anchor distT="0" distB="0" distL="114300" distR="114300" simplePos="0" relativeHeight="3616" behindDoc="0" locked="0" layoutInCell="1" allowOverlap="1" wp14:anchorId="7326D757" wp14:editId="68525F8A">
                <wp:simplePos x="0" y="0"/>
                <wp:positionH relativeFrom="page">
                  <wp:posOffset>514350</wp:posOffset>
                </wp:positionH>
                <wp:positionV relativeFrom="paragraph">
                  <wp:posOffset>150495</wp:posOffset>
                </wp:positionV>
                <wp:extent cx="2628900" cy="0"/>
                <wp:effectExtent l="9525" t="5715" r="9525" b="13335"/>
                <wp:wrapNone/>
                <wp:docPr id="27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6CC7" id="Line 261" o:spid="_x0000_s1026" style="position:absolute;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1.85pt" to="2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" strokeweight="0">
                <w10:wrap anchorx="page"/>
              </v:line>
            </w:pict>
          </mc:Fallback>
        </mc:AlternateContent>
      </w:r>
      <w:r>
        <w:rPr>
          <w:b/>
          <w:sz w:val="18"/>
        </w:rPr>
        <w:t>Asset</w:t>
      </w:r>
      <w:r>
        <w:rPr>
          <w:b/>
          <w:spacing w:val="-2"/>
          <w:sz w:val="18"/>
        </w:rPr>
        <w:t xml:space="preserve"> </w:t>
      </w:r>
      <w:r>
        <w:rPr>
          <w:b/>
          <w:sz w:val="18"/>
        </w:rPr>
        <w:t>Category</w:t>
      </w:r>
      <w:r>
        <w:rPr>
          <w:b/>
          <w:sz w:val="18"/>
        </w:rPr>
        <w:tab/>
      </w:r>
      <w:r>
        <w:rPr>
          <w:b/>
          <w:sz w:val="18"/>
        </w:rPr>
        <w:t>Level 1</w:t>
      </w:r>
      <w:r>
        <w:rPr>
          <w:b/>
          <w:sz w:val="18"/>
        </w:rPr>
        <w:tab/>
        <w:t>Level 2</w:t>
      </w:r>
      <w:r>
        <w:rPr>
          <w:b/>
          <w:sz w:val="18"/>
        </w:rPr>
        <w:tab/>
        <w:t>Level 3</w:t>
      </w:r>
      <w:r>
        <w:rPr>
          <w:b/>
          <w:sz w:val="18"/>
        </w:rPr>
        <w:tab/>
      </w:r>
      <w:r>
        <w:rPr>
          <w:b/>
          <w:spacing w:val="-1"/>
          <w:sz w:val="18"/>
        </w:rPr>
        <w:t>Subtotal</w:t>
      </w:r>
    </w:p>
    <w:p w14:paraId="7326CB92" w14:textId="77777777" w:rsidR="00EF3DFB" w:rsidRDefault="00D27C17">
      <w:pPr>
        <w:spacing w:before="33" w:line="193" w:lineRule="exact"/>
        <w:ind w:left="242"/>
        <w:rPr>
          <w:b/>
          <w:sz w:val="18"/>
        </w:rPr>
      </w:pPr>
      <w:r>
        <w:br w:type="column"/>
      </w:r>
      <w:r>
        <w:rPr>
          <w:b/>
          <w:sz w:val="18"/>
        </w:rPr>
        <w:t>NAV-based</w:t>
      </w:r>
    </w:p>
    <w:p w14:paraId="7326CB93" w14:textId="77777777" w:rsidR="00EF3DFB" w:rsidRDefault="00D27C17">
      <w:pPr>
        <w:tabs>
          <w:tab w:val="left" w:pos="1562"/>
        </w:tabs>
        <w:spacing w:line="193" w:lineRule="exact"/>
        <w:ind w:left="467"/>
        <w:rPr>
          <w:b/>
          <w:sz w:val="18"/>
        </w:rPr>
      </w:pPr>
      <w:r>
        <w:rPr>
          <w:b/>
          <w:sz w:val="18"/>
        </w:rPr>
        <w:t>assets</w:t>
      </w:r>
      <w:r>
        <w:rPr>
          <w:b/>
          <w:sz w:val="18"/>
        </w:rPr>
        <w:tab/>
        <w:t>Total</w:t>
      </w:r>
    </w:p>
    <w:p w14:paraId="7326CB94" w14:textId="77777777" w:rsidR="00EF3DFB" w:rsidRDefault="00EF3DFB">
      <w:pPr>
        <w:spacing w:line="193" w:lineRule="exact"/>
        <w:rPr>
          <w:sz w:val="18"/>
        </w:rPr>
        <w:sectPr w:rsidR="00EF3DFB">
          <w:type w:val="continuous"/>
          <w:pgSz w:w="12240" w:h="15840"/>
          <w:pgMar w:top="760" w:right="640" w:bottom="280" w:left="620" w:header="720" w:footer="720" w:gutter="0"/>
          <w:cols w:num="2" w:space="720" w:equalWidth="0">
            <w:col w:w="8473" w:space="67"/>
            <w:col w:w="2440"/>
          </w:cols>
        </w:sectPr>
      </w:pPr>
    </w:p>
    <w:p w14:paraId="7326CB95" w14:textId="77777777" w:rsidR="00EF3DFB" w:rsidRDefault="00EF3DFB">
      <w:pPr>
        <w:pStyle w:val="BodyText"/>
        <w:spacing w:before="6"/>
        <w:rPr>
          <w:b/>
          <w:sz w:val="2"/>
        </w:rPr>
      </w:pPr>
    </w:p>
    <w:tbl>
      <w:tblPr>
        <w:tblW w:w="0" w:type="auto"/>
        <w:tblInd w:w="190" w:type="dxa"/>
        <w:tblLayout w:type="fixed"/>
        <w:tblCellMar>
          <w:left w:w="0" w:type="dxa"/>
          <w:right w:w="0" w:type="dxa"/>
        </w:tblCellMar>
        <w:tblLook w:val="01E0" w:firstRow="1" w:lastRow="1" w:firstColumn="1" w:lastColumn="1" w:noHBand="0" w:noVBand="0"/>
      </w:tblPr>
      <w:tblGrid>
        <w:gridCol w:w="4140"/>
        <w:gridCol w:w="75"/>
        <w:gridCol w:w="1028"/>
        <w:gridCol w:w="1080"/>
        <w:gridCol w:w="1080"/>
        <w:gridCol w:w="1080"/>
        <w:gridCol w:w="1080"/>
        <w:gridCol w:w="1057"/>
      </w:tblGrid>
      <w:tr w:rsidR="00EF3DFB" w14:paraId="7326CB97" w14:textId="77777777">
        <w:trPr>
          <w:trHeight w:val="287"/>
        </w:trPr>
        <w:tc>
          <w:tcPr>
            <w:tcW w:w="10620" w:type="dxa"/>
            <w:gridSpan w:val="8"/>
            <w:tcBorders>
              <w:top w:val="single" w:sz="8" w:space="0" w:color="000000"/>
            </w:tcBorders>
            <w:shd w:val="clear" w:color="auto" w:fill="CCEDFF"/>
          </w:tcPr>
          <w:p w14:paraId="7326CB96" w14:textId="77777777" w:rsidR="00EF3DFB" w:rsidRDefault="00D27C17">
            <w:pPr>
              <w:pStyle w:val="TableParagraph"/>
              <w:tabs>
                <w:tab w:val="left" w:pos="4267"/>
                <w:tab w:val="left" w:pos="5038"/>
                <w:tab w:val="left" w:pos="5347"/>
                <w:tab w:val="left" w:pos="6118"/>
                <w:tab w:val="left" w:pos="6427"/>
                <w:tab w:val="left" w:pos="7098"/>
                <w:tab w:val="left" w:pos="7507"/>
                <w:tab w:val="left" w:pos="8278"/>
                <w:tab w:val="left" w:pos="8587"/>
                <w:tab w:val="left" w:pos="9258"/>
                <w:tab w:val="left" w:pos="9667"/>
                <w:tab w:val="right" w:pos="10538"/>
              </w:tabs>
              <w:spacing w:line="244" w:lineRule="exact"/>
              <w:ind w:left="52"/>
              <w:rPr>
                <w:sz w:val="20"/>
              </w:rPr>
            </w:pPr>
            <w:r>
              <w:rPr>
                <w:sz w:val="20"/>
              </w:rPr>
              <w:t>Equity securities</w:t>
            </w:r>
            <w:r>
              <w:rPr>
                <w:spacing w:val="-5"/>
                <w:sz w:val="20"/>
              </w:rPr>
              <w:t xml:space="preserve"> </w:t>
            </w:r>
            <w:r>
              <w:rPr>
                <w:sz w:val="20"/>
              </w:rPr>
              <w:t>and</w:t>
            </w:r>
            <w:r>
              <w:rPr>
                <w:spacing w:val="-2"/>
                <w:sz w:val="20"/>
              </w:rPr>
              <w:t xml:space="preserve"> </w:t>
            </w:r>
            <w:r>
              <w:rPr>
                <w:sz w:val="20"/>
              </w:rPr>
              <w:t>funds</w:t>
            </w:r>
            <w:r>
              <w:rPr>
                <w:sz w:val="20"/>
              </w:rPr>
              <w:tab/>
            </w:r>
            <w:r>
              <w:rPr>
                <w:position w:val="-1"/>
                <w:sz w:val="20"/>
              </w:rPr>
              <w:t>$</w:t>
            </w:r>
            <w:r>
              <w:rPr>
                <w:position w:val="-1"/>
                <w:sz w:val="20"/>
              </w:rPr>
              <w:tab/>
              <w:t>3</w:t>
            </w:r>
            <w:r>
              <w:rPr>
                <w:position w:val="-1"/>
                <w:sz w:val="20"/>
              </w:rPr>
              <w:tab/>
              <w:t>$</w:t>
            </w:r>
            <w:r>
              <w:rPr>
                <w:position w:val="-1"/>
                <w:sz w:val="20"/>
              </w:rPr>
              <w:tab/>
              <w:t>3</w:t>
            </w:r>
            <w:r>
              <w:rPr>
                <w:position w:val="-1"/>
                <w:sz w:val="20"/>
              </w:rPr>
              <w:tab/>
              <w:t>$</w:t>
            </w:r>
            <w:r>
              <w:rPr>
                <w:position w:val="-1"/>
                <w:sz w:val="20"/>
              </w:rPr>
              <w:tab/>
              <w:t>—</w:t>
            </w:r>
            <w:r>
              <w:rPr>
                <w:position w:val="-1"/>
                <w:sz w:val="20"/>
              </w:rPr>
              <w:tab/>
              <w:t>$</w:t>
            </w:r>
            <w:r>
              <w:rPr>
                <w:position w:val="-1"/>
                <w:sz w:val="20"/>
              </w:rPr>
              <w:tab/>
              <w:t>6</w:t>
            </w:r>
            <w:r>
              <w:rPr>
                <w:position w:val="-1"/>
                <w:sz w:val="20"/>
              </w:rPr>
              <w:tab/>
              <w:t>$</w:t>
            </w:r>
            <w:r>
              <w:rPr>
                <w:position w:val="-1"/>
                <w:sz w:val="20"/>
              </w:rPr>
              <w:tab/>
              <w:t>—</w:t>
            </w:r>
            <w:r>
              <w:rPr>
                <w:position w:val="-1"/>
                <w:sz w:val="20"/>
              </w:rPr>
              <w:tab/>
              <w:t>$</w:t>
            </w:r>
            <w:r>
              <w:rPr>
                <w:position w:val="-1"/>
                <w:sz w:val="20"/>
              </w:rPr>
              <w:tab/>
              <w:t>6</w:t>
            </w:r>
          </w:p>
        </w:tc>
      </w:tr>
      <w:tr w:rsidR="00EF3DFB" w14:paraId="7326CBA0" w14:textId="77777777">
        <w:trPr>
          <w:trHeight w:val="272"/>
        </w:trPr>
        <w:tc>
          <w:tcPr>
            <w:tcW w:w="4140" w:type="dxa"/>
          </w:tcPr>
          <w:p w14:paraId="7326CB98" w14:textId="77777777" w:rsidR="00EF3DFB" w:rsidRDefault="00D27C17">
            <w:pPr>
              <w:pStyle w:val="TableParagraph"/>
              <w:spacing w:before="4"/>
              <w:ind w:left="52"/>
              <w:rPr>
                <w:sz w:val="20"/>
              </w:rPr>
            </w:pPr>
            <w:r>
              <w:rPr>
                <w:sz w:val="20"/>
              </w:rPr>
              <w:t>Fixed income securities and funds</w:t>
            </w:r>
          </w:p>
        </w:tc>
        <w:tc>
          <w:tcPr>
            <w:tcW w:w="75" w:type="dxa"/>
          </w:tcPr>
          <w:p w14:paraId="7326CB99" w14:textId="77777777" w:rsidR="00EF3DFB" w:rsidRDefault="00EF3DFB">
            <w:pPr>
              <w:pStyle w:val="TableParagraph"/>
              <w:rPr>
                <w:sz w:val="18"/>
              </w:rPr>
            </w:pPr>
          </w:p>
        </w:tc>
        <w:tc>
          <w:tcPr>
            <w:tcW w:w="1028" w:type="dxa"/>
          </w:tcPr>
          <w:p w14:paraId="7326CB9A" w14:textId="77777777" w:rsidR="00EF3DFB" w:rsidRDefault="00D27C17">
            <w:pPr>
              <w:pStyle w:val="TableParagraph"/>
              <w:spacing w:before="25"/>
              <w:ind w:right="102"/>
              <w:jc w:val="right"/>
              <w:rPr>
                <w:sz w:val="20"/>
              </w:rPr>
            </w:pPr>
            <w:r>
              <w:rPr>
                <w:sz w:val="20"/>
              </w:rPr>
              <w:t>262</w:t>
            </w:r>
          </w:p>
        </w:tc>
        <w:tc>
          <w:tcPr>
            <w:tcW w:w="1080" w:type="dxa"/>
          </w:tcPr>
          <w:p w14:paraId="7326CB9B" w14:textId="77777777" w:rsidR="00EF3DFB" w:rsidRDefault="00D27C17">
            <w:pPr>
              <w:pStyle w:val="TableParagraph"/>
              <w:spacing w:before="25"/>
              <w:ind w:right="102"/>
              <w:jc w:val="right"/>
              <w:rPr>
                <w:sz w:val="20"/>
              </w:rPr>
            </w:pPr>
            <w:r>
              <w:rPr>
                <w:sz w:val="20"/>
              </w:rPr>
              <w:t>3</w:t>
            </w:r>
          </w:p>
        </w:tc>
        <w:tc>
          <w:tcPr>
            <w:tcW w:w="1080" w:type="dxa"/>
          </w:tcPr>
          <w:p w14:paraId="7326CB9C" w14:textId="77777777" w:rsidR="00EF3DFB" w:rsidRDefault="00D27C17">
            <w:pPr>
              <w:pStyle w:val="TableParagraph"/>
              <w:spacing w:before="25"/>
              <w:ind w:right="102"/>
              <w:jc w:val="right"/>
              <w:rPr>
                <w:sz w:val="20"/>
              </w:rPr>
            </w:pPr>
            <w:r>
              <w:rPr>
                <w:sz w:val="20"/>
              </w:rPr>
              <w:t>—</w:t>
            </w:r>
          </w:p>
        </w:tc>
        <w:tc>
          <w:tcPr>
            <w:tcW w:w="1080" w:type="dxa"/>
          </w:tcPr>
          <w:p w14:paraId="7326CB9D" w14:textId="77777777" w:rsidR="00EF3DFB" w:rsidRDefault="00D27C17">
            <w:pPr>
              <w:pStyle w:val="TableParagraph"/>
              <w:spacing w:before="25"/>
              <w:ind w:right="102"/>
              <w:jc w:val="right"/>
              <w:rPr>
                <w:sz w:val="20"/>
              </w:rPr>
            </w:pPr>
            <w:r>
              <w:rPr>
                <w:sz w:val="20"/>
              </w:rPr>
              <w:t>265</w:t>
            </w:r>
          </w:p>
        </w:tc>
        <w:tc>
          <w:tcPr>
            <w:tcW w:w="1080" w:type="dxa"/>
          </w:tcPr>
          <w:p w14:paraId="7326CB9E" w14:textId="77777777" w:rsidR="00EF3DFB" w:rsidRDefault="00D27C17">
            <w:pPr>
              <w:pStyle w:val="TableParagraph"/>
              <w:spacing w:before="25"/>
              <w:ind w:right="102"/>
              <w:jc w:val="right"/>
              <w:rPr>
                <w:sz w:val="20"/>
              </w:rPr>
            </w:pPr>
            <w:r>
              <w:rPr>
                <w:sz w:val="20"/>
              </w:rPr>
              <w:t>—</w:t>
            </w:r>
          </w:p>
        </w:tc>
        <w:tc>
          <w:tcPr>
            <w:tcW w:w="1057" w:type="dxa"/>
          </w:tcPr>
          <w:p w14:paraId="7326CB9F" w14:textId="77777777" w:rsidR="00EF3DFB" w:rsidRDefault="00D27C17">
            <w:pPr>
              <w:pStyle w:val="TableParagraph"/>
              <w:spacing w:before="25"/>
              <w:ind w:right="79"/>
              <w:jc w:val="right"/>
              <w:rPr>
                <w:sz w:val="20"/>
              </w:rPr>
            </w:pPr>
            <w:r>
              <w:rPr>
                <w:sz w:val="20"/>
              </w:rPr>
              <w:t>265</w:t>
            </w:r>
          </w:p>
        </w:tc>
      </w:tr>
      <w:tr w:rsidR="00EF3DFB" w14:paraId="7326CBA9" w14:textId="77777777">
        <w:trPr>
          <w:trHeight w:val="275"/>
        </w:trPr>
        <w:tc>
          <w:tcPr>
            <w:tcW w:w="4140" w:type="dxa"/>
            <w:shd w:val="clear" w:color="auto" w:fill="CCEDFF"/>
          </w:tcPr>
          <w:p w14:paraId="7326CBA1" w14:textId="77777777" w:rsidR="00EF3DFB" w:rsidRDefault="00D27C17">
            <w:pPr>
              <w:pStyle w:val="TableParagraph"/>
              <w:spacing w:before="4"/>
              <w:ind w:left="52"/>
              <w:rPr>
                <w:sz w:val="20"/>
              </w:rPr>
            </w:pPr>
            <w:r>
              <w:rPr>
                <w:sz w:val="20"/>
              </w:rPr>
              <w:t>Cash and other</w:t>
            </w:r>
          </w:p>
        </w:tc>
        <w:tc>
          <w:tcPr>
            <w:tcW w:w="75" w:type="dxa"/>
            <w:shd w:val="clear" w:color="auto" w:fill="CCEDFF"/>
          </w:tcPr>
          <w:p w14:paraId="7326CBA2" w14:textId="77777777" w:rsidR="00EF3DFB" w:rsidRDefault="00EF3DFB">
            <w:pPr>
              <w:pStyle w:val="TableParagraph"/>
              <w:rPr>
                <w:sz w:val="18"/>
              </w:rPr>
            </w:pPr>
          </w:p>
        </w:tc>
        <w:tc>
          <w:tcPr>
            <w:tcW w:w="1028" w:type="dxa"/>
            <w:tcBorders>
              <w:bottom w:val="single" w:sz="8" w:space="0" w:color="000000"/>
            </w:tcBorders>
            <w:shd w:val="clear" w:color="auto" w:fill="CCEDFF"/>
          </w:tcPr>
          <w:p w14:paraId="7326CBA3" w14:textId="77777777" w:rsidR="00EF3DFB" w:rsidRDefault="00D27C17">
            <w:pPr>
              <w:pStyle w:val="TableParagraph"/>
              <w:spacing w:before="25" w:line="230" w:lineRule="exact"/>
              <w:ind w:right="102"/>
              <w:jc w:val="right"/>
              <w:rPr>
                <w:sz w:val="20"/>
              </w:rPr>
            </w:pPr>
            <w:r>
              <w:rPr>
                <w:sz w:val="20"/>
              </w:rPr>
              <w:t>4</w:t>
            </w:r>
          </w:p>
        </w:tc>
        <w:tc>
          <w:tcPr>
            <w:tcW w:w="1080" w:type="dxa"/>
            <w:tcBorders>
              <w:bottom w:val="single" w:sz="8" w:space="0" w:color="000000"/>
            </w:tcBorders>
            <w:shd w:val="clear" w:color="auto" w:fill="CCEDFF"/>
          </w:tcPr>
          <w:p w14:paraId="7326CBA4" w14:textId="77777777" w:rsidR="00EF3DFB" w:rsidRDefault="00D27C17">
            <w:pPr>
              <w:pStyle w:val="TableParagraph"/>
              <w:spacing w:before="25" w:line="230" w:lineRule="exact"/>
              <w:ind w:right="102"/>
              <w:jc w:val="right"/>
              <w:rPr>
                <w:sz w:val="20"/>
              </w:rPr>
            </w:pPr>
            <w:r>
              <w:rPr>
                <w:sz w:val="20"/>
              </w:rPr>
              <w:t>234</w:t>
            </w:r>
          </w:p>
        </w:tc>
        <w:tc>
          <w:tcPr>
            <w:tcW w:w="1080" w:type="dxa"/>
            <w:tcBorders>
              <w:bottom w:val="single" w:sz="8" w:space="0" w:color="000000"/>
            </w:tcBorders>
            <w:shd w:val="clear" w:color="auto" w:fill="CCEDFF"/>
          </w:tcPr>
          <w:p w14:paraId="7326CBA5" w14:textId="77777777" w:rsidR="00EF3DFB" w:rsidRDefault="00D27C17">
            <w:pPr>
              <w:pStyle w:val="TableParagraph"/>
              <w:spacing w:before="25" w:line="230" w:lineRule="exact"/>
              <w:ind w:right="102"/>
              <w:jc w:val="right"/>
              <w:rPr>
                <w:sz w:val="20"/>
              </w:rPr>
            </w:pPr>
            <w:r>
              <w:rPr>
                <w:sz w:val="20"/>
              </w:rPr>
              <w:t>9</w:t>
            </w:r>
          </w:p>
        </w:tc>
        <w:tc>
          <w:tcPr>
            <w:tcW w:w="1080" w:type="dxa"/>
            <w:tcBorders>
              <w:bottom w:val="single" w:sz="8" w:space="0" w:color="000000"/>
            </w:tcBorders>
            <w:shd w:val="clear" w:color="auto" w:fill="CCEDFF"/>
          </w:tcPr>
          <w:p w14:paraId="7326CBA6" w14:textId="77777777" w:rsidR="00EF3DFB" w:rsidRDefault="00D27C17">
            <w:pPr>
              <w:pStyle w:val="TableParagraph"/>
              <w:spacing w:before="25" w:line="230" w:lineRule="exact"/>
              <w:ind w:right="102"/>
              <w:jc w:val="right"/>
              <w:rPr>
                <w:sz w:val="20"/>
              </w:rPr>
            </w:pPr>
            <w:r>
              <w:rPr>
                <w:sz w:val="20"/>
              </w:rPr>
              <w:t>247</w:t>
            </w:r>
          </w:p>
        </w:tc>
        <w:tc>
          <w:tcPr>
            <w:tcW w:w="1080" w:type="dxa"/>
            <w:tcBorders>
              <w:bottom w:val="single" w:sz="8" w:space="0" w:color="000000"/>
            </w:tcBorders>
            <w:shd w:val="clear" w:color="auto" w:fill="CCEDFF"/>
          </w:tcPr>
          <w:p w14:paraId="7326CBA7" w14:textId="77777777" w:rsidR="00EF3DFB" w:rsidRDefault="00D27C17">
            <w:pPr>
              <w:pStyle w:val="TableParagraph"/>
              <w:spacing w:before="25" w:line="230" w:lineRule="exact"/>
              <w:ind w:right="102"/>
              <w:jc w:val="right"/>
              <w:rPr>
                <w:sz w:val="20"/>
              </w:rPr>
            </w:pPr>
            <w:r>
              <w:rPr>
                <w:sz w:val="20"/>
              </w:rPr>
              <w:t>109</w:t>
            </w:r>
          </w:p>
        </w:tc>
        <w:tc>
          <w:tcPr>
            <w:tcW w:w="1057" w:type="dxa"/>
            <w:tcBorders>
              <w:bottom w:val="single" w:sz="8" w:space="0" w:color="000000"/>
            </w:tcBorders>
            <w:shd w:val="clear" w:color="auto" w:fill="CCEDFF"/>
          </w:tcPr>
          <w:p w14:paraId="7326CBA8" w14:textId="77777777" w:rsidR="00EF3DFB" w:rsidRDefault="00D27C17">
            <w:pPr>
              <w:pStyle w:val="TableParagraph"/>
              <w:spacing w:before="25" w:line="230" w:lineRule="exact"/>
              <w:ind w:right="79"/>
              <w:jc w:val="right"/>
              <w:rPr>
                <w:sz w:val="20"/>
              </w:rPr>
            </w:pPr>
            <w:r>
              <w:rPr>
                <w:sz w:val="20"/>
              </w:rPr>
              <w:t>356</w:t>
            </w:r>
          </w:p>
        </w:tc>
      </w:tr>
      <w:tr w:rsidR="00EF3DFB" w14:paraId="7326CBB2" w14:textId="77777777">
        <w:trPr>
          <w:trHeight w:val="285"/>
        </w:trPr>
        <w:tc>
          <w:tcPr>
            <w:tcW w:w="4140" w:type="dxa"/>
          </w:tcPr>
          <w:p w14:paraId="7326CBAA" w14:textId="77777777" w:rsidR="00EF3DFB" w:rsidRDefault="00D27C17">
            <w:pPr>
              <w:pStyle w:val="TableParagraph"/>
              <w:spacing w:line="224" w:lineRule="exact"/>
              <w:ind w:left="52"/>
              <w:rPr>
                <w:sz w:val="20"/>
              </w:rPr>
            </w:pPr>
            <w:r>
              <w:rPr>
                <w:sz w:val="20"/>
              </w:rPr>
              <w:t>Total</w:t>
            </w:r>
          </w:p>
        </w:tc>
        <w:tc>
          <w:tcPr>
            <w:tcW w:w="75" w:type="dxa"/>
          </w:tcPr>
          <w:p w14:paraId="7326CBAB" w14:textId="77777777" w:rsidR="00EF3DFB" w:rsidRDefault="00EF3DFB">
            <w:pPr>
              <w:pStyle w:val="TableParagraph"/>
              <w:rPr>
                <w:sz w:val="18"/>
              </w:rPr>
            </w:pPr>
          </w:p>
        </w:tc>
        <w:tc>
          <w:tcPr>
            <w:tcW w:w="1028" w:type="dxa"/>
            <w:tcBorders>
              <w:top w:val="single" w:sz="8" w:space="0" w:color="000000"/>
              <w:bottom w:val="single" w:sz="8" w:space="0" w:color="000000"/>
            </w:tcBorders>
          </w:tcPr>
          <w:p w14:paraId="7326CBAC"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269</w:t>
            </w:r>
          </w:p>
        </w:tc>
        <w:tc>
          <w:tcPr>
            <w:tcW w:w="1080" w:type="dxa"/>
            <w:tcBorders>
              <w:top w:val="single" w:sz="8" w:space="0" w:color="000000"/>
              <w:bottom w:val="single" w:sz="8" w:space="0" w:color="000000"/>
            </w:tcBorders>
          </w:tcPr>
          <w:p w14:paraId="7326CBAD"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240</w:t>
            </w:r>
          </w:p>
        </w:tc>
        <w:tc>
          <w:tcPr>
            <w:tcW w:w="1080" w:type="dxa"/>
            <w:tcBorders>
              <w:top w:val="single" w:sz="8" w:space="0" w:color="000000"/>
              <w:bottom w:val="single" w:sz="8" w:space="0" w:color="000000"/>
            </w:tcBorders>
          </w:tcPr>
          <w:p w14:paraId="7326CBAE" w14:textId="77777777" w:rsidR="00EF3DFB" w:rsidRDefault="00D27C17">
            <w:pPr>
              <w:pStyle w:val="TableParagraph"/>
              <w:tabs>
                <w:tab w:val="left" w:pos="770"/>
              </w:tabs>
              <w:spacing w:before="15"/>
              <w:ind w:right="102"/>
              <w:jc w:val="right"/>
              <w:rPr>
                <w:sz w:val="20"/>
              </w:rPr>
            </w:pPr>
            <w:r>
              <w:rPr>
                <w:sz w:val="20"/>
                <w:u w:val="single"/>
              </w:rPr>
              <w:t>$</w:t>
            </w:r>
            <w:r>
              <w:rPr>
                <w:sz w:val="20"/>
                <w:u w:val="single"/>
              </w:rPr>
              <w:tab/>
              <w:t>9</w:t>
            </w:r>
          </w:p>
        </w:tc>
        <w:tc>
          <w:tcPr>
            <w:tcW w:w="1080" w:type="dxa"/>
            <w:tcBorders>
              <w:top w:val="single" w:sz="8" w:space="0" w:color="000000"/>
              <w:bottom w:val="single" w:sz="8" w:space="0" w:color="000000"/>
            </w:tcBorders>
          </w:tcPr>
          <w:p w14:paraId="7326CBAF"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518</w:t>
            </w:r>
          </w:p>
        </w:tc>
        <w:tc>
          <w:tcPr>
            <w:tcW w:w="1080" w:type="dxa"/>
            <w:tcBorders>
              <w:top w:val="single" w:sz="8" w:space="0" w:color="000000"/>
              <w:bottom w:val="single" w:sz="8" w:space="0" w:color="000000"/>
            </w:tcBorders>
          </w:tcPr>
          <w:p w14:paraId="7326CBB0"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109</w:t>
            </w:r>
          </w:p>
        </w:tc>
        <w:tc>
          <w:tcPr>
            <w:tcW w:w="1057" w:type="dxa"/>
            <w:tcBorders>
              <w:top w:val="single" w:sz="8" w:space="0" w:color="000000"/>
              <w:bottom w:val="single" w:sz="8" w:space="0" w:color="000000"/>
            </w:tcBorders>
          </w:tcPr>
          <w:p w14:paraId="7326CBB1" w14:textId="77777777" w:rsidR="00EF3DFB" w:rsidRDefault="00D27C17">
            <w:pPr>
              <w:pStyle w:val="TableParagraph"/>
              <w:tabs>
                <w:tab w:val="left" w:pos="570"/>
              </w:tabs>
              <w:spacing w:before="15"/>
              <w:ind w:right="79"/>
              <w:jc w:val="right"/>
              <w:rPr>
                <w:sz w:val="20"/>
              </w:rPr>
            </w:pPr>
            <w:r>
              <w:rPr>
                <w:sz w:val="20"/>
                <w:u w:val="single"/>
              </w:rPr>
              <w:t>$</w:t>
            </w:r>
            <w:r>
              <w:rPr>
                <w:sz w:val="20"/>
                <w:u w:val="single"/>
              </w:rPr>
              <w:tab/>
              <w:t>627</w:t>
            </w:r>
          </w:p>
        </w:tc>
      </w:tr>
    </w:tbl>
    <w:p w14:paraId="7326CBB3" w14:textId="77777777" w:rsidR="00EF3DFB" w:rsidRDefault="00EF3DFB">
      <w:pPr>
        <w:pStyle w:val="BodyText"/>
        <w:spacing w:before="8"/>
        <w:rPr>
          <w:b/>
          <w:sz w:val="9"/>
        </w:rPr>
      </w:pPr>
    </w:p>
    <w:p w14:paraId="7326CBB4" w14:textId="57A2E875" w:rsidR="00EF3DFB" w:rsidRDefault="00D27C17">
      <w:pPr>
        <w:spacing w:before="92" w:line="278" w:lineRule="auto"/>
        <w:ind w:left="6880" w:right="2037" w:hanging="588"/>
        <w:rPr>
          <w:b/>
          <w:sz w:val="18"/>
        </w:rPr>
      </w:pPr>
      <w:r>
        <w:rPr>
          <w:noProof/>
        </w:rPr>
        <mc:AlternateContent>
          <mc:Choice Requires="wpg">
            <w:drawing>
              <wp:anchor distT="0" distB="0" distL="114300" distR="114300" simplePos="0" relativeHeight="502907216" behindDoc="1" locked="0" layoutInCell="1" allowOverlap="1" wp14:anchorId="7326D758" wp14:editId="0F0F43A6">
                <wp:simplePos x="0" y="0"/>
                <wp:positionH relativeFrom="page">
                  <wp:posOffset>3190875</wp:posOffset>
                </wp:positionH>
                <wp:positionV relativeFrom="paragraph">
                  <wp:posOffset>202565</wp:posOffset>
                </wp:positionV>
                <wp:extent cx="4067175" cy="12700"/>
                <wp:effectExtent l="9525" t="8255" r="9525" b="7620"/>
                <wp:wrapNone/>
                <wp:docPr id="275"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5025" y="319"/>
                          <a:chExt cx="6405" cy="20"/>
                        </a:xfrm>
                      </wpg:grpSpPr>
                      <wps:wsp>
                        <wps:cNvPr id="276" name="Line 260"/>
                        <wps:cNvCnPr>
                          <a:cxnSpLocks noChangeShapeType="1"/>
                        </wps:cNvCnPr>
                        <wps:spPr bwMode="auto">
                          <a:xfrm>
                            <a:off x="5025" y="329"/>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59"/>
                        <wps:cNvCnPr>
                          <a:cxnSpLocks noChangeShapeType="1"/>
                        </wps:cNvCnPr>
                        <wps:spPr bwMode="auto">
                          <a:xfrm>
                            <a:off x="5025" y="329"/>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98011" id="Group 258" o:spid="_x0000_s1026" style="position:absolute;margin-left:251.25pt;margin-top:15.95pt;width:320.25pt;height:1pt;z-index:-409264;mso-position-horizontal-relative:page" coordorigin="5025,319"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">
                <v:line id="Line 260" o:spid="_x0000_s1027" style="position:absolute;visibility:visible;mso-wrap-style:square" from="5025,329" to="1143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line id="Line 259" o:spid="_x0000_s1028" style="position:absolute;visibility:visible;mso-wrap-style:square" from="5025,329" to="1143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w10:wrap anchorx="page"/>
              </v:group>
            </w:pict>
          </mc:Fallback>
        </mc:AlternateContent>
      </w:r>
      <w:r>
        <w:rPr>
          <w:b/>
          <w:sz w:val="18"/>
        </w:rPr>
        <w:t>Plan Assets — International Plans December 31, 2019</w:t>
      </w:r>
    </w:p>
    <w:p w14:paraId="7326CBB5" w14:textId="6F6D73BD" w:rsidR="00EF3DFB" w:rsidRDefault="00D27C17">
      <w:pPr>
        <w:pStyle w:val="BodyText"/>
        <w:spacing w:line="20" w:lineRule="exact"/>
        <w:ind w:left="4395"/>
        <w:rPr>
          <w:sz w:val="2"/>
        </w:rPr>
      </w:pPr>
      <w:r>
        <w:rPr>
          <w:noProof/>
          <w:sz w:val="2"/>
        </w:rPr>
        <mc:AlternateContent>
          <mc:Choice Requires="wpg">
            <w:drawing>
              <wp:inline distT="0" distB="0" distL="0" distR="0" wp14:anchorId="7326D759" wp14:editId="666297FB">
                <wp:extent cx="4067175" cy="12700"/>
                <wp:effectExtent l="12700" t="6985" r="15875" b="8890"/>
                <wp:docPr id="272"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0" y="0"/>
                          <a:chExt cx="6405" cy="20"/>
                        </a:xfrm>
                      </wpg:grpSpPr>
                      <wps:wsp>
                        <wps:cNvPr id="273" name="Line 257"/>
                        <wps:cNvCnPr>
                          <a:cxnSpLocks noChangeShapeType="1"/>
                        </wps:cNvCnPr>
                        <wps:spPr bwMode="auto">
                          <a:xfrm>
                            <a:off x="0" y="10"/>
                            <a:ext cx="64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56"/>
                        <wps:cNvCnPr>
                          <a:cxnSpLocks noChangeShapeType="1"/>
                        </wps:cNvCnPr>
                        <wps:spPr bwMode="auto">
                          <a:xfrm>
                            <a:off x="0" y="10"/>
                            <a:ext cx="64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46F3C5" id="Group 255" o:spid="_x0000_s1026" style="width:320.25pt;height:1pt;mso-position-horizontal-relative:char;mso-position-vertical-relative:line"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">
                <v:line id="Line 257" o:spid="_x0000_s1027"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line id="Line 256" o:spid="_x0000_s1028"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Jl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Ac2LJlxQAAANwAAAAP&#10;AAAAAAAAAAAAAAAAAAcCAABkcnMvZG93bnJldi54bWxQSwUGAAAAAAMAAwC3AAAA+QIAAAAA&#10;" strokeweight="1pt"/>
                <w10:anchorlock/>
              </v:group>
            </w:pict>
          </mc:Fallback>
        </mc:AlternateContent>
      </w:r>
    </w:p>
    <w:p w14:paraId="7326CBB6" w14:textId="77777777" w:rsidR="00EF3DFB" w:rsidRDefault="00D27C17">
      <w:pPr>
        <w:spacing w:after="30"/>
        <w:ind w:left="5528"/>
        <w:rPr>
          <w:b/>
          <w:sz w:val="18"/>
        </w:rPr>
      </w:pPr>
      <w:r>
        <w:rPr>
          <w:b/>
          <w:sz w:val="18"/>
        </w:rPr>
        <w:t>Fair Value Measurements</w:t>
      </w:r>
    </w:p>
    <w:tbl>
      <w:tblPr>
        <w:tblW w:w="0" w:type="auto"/>
        <w:tblInd w:w="190" w:type="dxa"/>
        <w:tblLayout w:type="fixed"/>
        <w:tblCellMar>
          <w:left w:w="0" w:type="dxa"/>
          <w:right w:w="0" w:type="dxa"/>
        </w:tblCellMar>
        <w:tblLook w:val="01E0" w:firstRow="1" w:lastRow="1" w:firstColumn="1" w:lastColumn="1" w:noHBand="0" w:noVBand="0"/>
      </w:tblPr>
      <w:tblGrid>
        <w:gridCol w:w="4215"/>
        <w:gridCol w:w="1028"/>
        <w:gridCol w:w="1080"/>
        <w:gridCol w:w="1080"/>
        <w:gridCol w:w="1057"/>
        <w:gridCol w:w="1115"/>
        <w:gridCol w:w="1044"/>
      </w:tblGrid>
      <w:tr w:rsidR="00EF3DFB" w14:paraId="7326CBC4" w14:textId="77777777">
        <w:trPr>
          <w:trHeight w:val="445"/>
        </w:trPr>
        <w:tc>
          <w:tcPr>
            <w:tcW w:w="4215" w:type="dxa"/>
            <w:tcBorders>
              <w:bottom w:val="single" w:sz="8" w:space="0" w:color="000000"/>
            </w:tcBorders>
          </w:tcPr>
          <w:p w14:paraId="7326CBB7" w14:textId="77777777" w:rsidR="00EF3DFB" w:rsidRDefault="00EF3DFB">
            <w:pPr>
              <w:pStyle w:val="TableParagraph"/>
              <w:spacing w:before="11"/>
              <w:rPr>
                <w:b/>
                <w:sz w:val="18"/>
              </w:rPr>
            </w:pPr>
          </w:p>
          <w:p w14:paraId="7326CBB8" w14:textId="77777777" w:rsidR="00EF3DFB" w:rsidRDefault="00D27C17">
            <w:pPr>
              <w:pStyle w:val="TableParagraph"/>
              <w:ind w:left="52"/>
              <w:rPr>
                <w:b/>
                <w:sz w:val="18"/>
              </w:rPr>
            </w:pPr>
            <w:r>
              <w:rPr>
                <w:b/>
                <w:sz w:val="18"/>
              </w:rPr>
              <w:t>Asset Category</w:t>
            </w:r>
          </w:p>
        </w:tc>
        <w:tc>
          <w:tcPr>
            <w:tcW w:w="1028" w:type="dxa"/>
            <w:tcBorders>
              <w:top w:val="single" w:sz="8" w:space="0" w:color="000000"/>
              <w:bottom w:val="single" w:sz="8" w:space="0" w:color="000000"/>
            </w:tcBorders>
          </w:tcPr>
          <w:p w14:paraId="7326CBB9" w14:textId="77777777" w:rsidR="00EF3DFB" w:rsidRDefault="00EF3DFB">
            <w:pPr>
              <w:pStyle w:val="TableParagraph"/>
              <w:spacing w:before="11"/>
              <w:rPr>
                <w:b/>
                <w:sz w:val="18"/>
              </w:rPr>
            </w:pPr>
          </w:p>
          <w:p w14:paraId="7326CBBA" w14:textId="77777777" w:rsidR="00EF3DFB" w:rsidRDefault="00D27C17">
            <w:pPr>
              <w:pStyle w:val="TableParagraph"/>
              <w:ind w:left="225"/>
              <w:rPr>
                <w:b/>
                <w:sz w:val="18"/>
              </w:rPr>
            </w:pPr>
            <w:r>
              <w:rPr>
                <w:b/>
                <w:sz w:val="18"/>
              </w:rPr>
              <w:t>Level 1</w:t>
            </w:r>
          </w:p>
        </w:tc>
        <w:tc>
          <w:tcPr>
            <w:tcW w:w="1080" w:type="dxa"/>
            <w:tcBorders>
              <w:top w:val="single" w:sz="8" w:space="0" w:color="000000"/>
              <w:bottom w:val="single" w:sz="8" w:space="0" w:color="000000"/>
            </w:tcBorders>
          </w:tcPr>
          <w:p w14:paraId="7326CBBB" w14:textId="77777777" w:rsidR="00EF3DFB" w:rsidRDefault="00EF3DFB">
            <w:pPr>
              <w:pStyle w:val="TableParagraph"/>
              <w:spacing w:before="11"/>
              <w:rPr>
                <w:b/>
                <w:sz w:val="18"/>
              </w:rPr>
            </w:pPr>
          </w:p>
          <w:p w14:paraId="7326CBBC" w14:textId="77777777" w:rsidR="00EF3DFB" w:rsidRDefault="00D27C17">
            <w:pPr>
              <w:pStyle w:val="TableParagraph"/>
              <w:ind w:left="277"/>
              <w:rPr>
                <w:b/>
                <w:sz w:val="18"/>
              </w:rPr>
            </w:pPr>
            <w:r>
              <w:rPr>
                <w:b/>
                <w:sz w:val="18"/>
              </w:rPr>
              <w:t>Level 2</w:t>
            </w:r>
          </w:p>
        </w:tc>
        <w:tc>
          <w:tcPr>
            <w:tcW w:w="1080" w:type="dxa"/>
            <w:tcBorders>
              <w:top w:val="single" w:sz="8" w:space="0" w:color="000000"/>
              <w:bottom w:val="single" w:sz="8" w:space="0" w:color="000000"/>
            </w:tcBorders>
          </w:tcPr>
          <w:p w14:paraId="7326CBBD" w14:textId="77777777" w:rsidR="00EF3DFB" w:rsidRDefault="00EF3DFB">
            <w:pPr>
              <w:pStyle w:val="TableParagraph"/>
              <w:spacing w:before="11"/>
              <w:rPr>
                <w:b/>
                <w:sz w:val="18"/>
              </w:rPr>
            </w:pPr>
          </w:p>
          <w:p w14:paraId="7326CBBE" w14:textId="77777777" w:rsidR="00EF3DFB" w:rsidRDefault="00D27C17">
            <w:pPr>
              <w:pStyle w:val="TableParagraph"/>
              <w:ind w:left="277"/>
              <w:rPr>
                <w:b/>
                <w:sz w:val="18"/>
              </w:rPr>
            </w:pPr>
            <w:r>
              <w:rPr>
                <w:b/>
                <w:sz w:val="18"/>
              </w:rPr>
              <w:t>Level 3</w:t>
            </w:r>
          </w:p>
        </w:tc>
        <w:tc>
          <w:tcPr>
            <w:tcW w:w="1057" w:type="dxa"/>
            <w:tcBorders>
              <w:top w:val="single" w:sz="8" w:space="0" w:color="000000"/>
              <w:bottom w:val="single" w:sz="8" w:space="0" w:color="000000"/>
            </w:tcBorders>
          </w:tcPr>
          <w:p w14:paraId="7326CBBF" w14:textId="77777777" w:rsidR="00EF3DFB" w:rsidRDefault="00EF3DFB">
            <w:pPr>
              <w:pStyle w:val="TableParagraph"/>
              <w:spacing w:before="11"/>
              <w:rPr>
                <w:b/>
                <w:sz w:val="18"/>
              </w:rPr>
            </w:pPr>
          </w:p>
          <w:p w14:paraId="7326CBC0" w14:textId="77777777" w:rsidR="00EF3DFB" w:rsidRDefault="00D27C17">
            <w:pPr>
              <w:pStyle w:val="TableParagraph"/>
              <w:ind w:left="229"/>
              <w:rPr>
                <w:b/>
                <w:sz w:val="18"/>
              </w:rPr>
            </w:pPr>
            <w:r>
              <w:rPr>
                <w:b/>
                <w:sz w:val="18"/>
              </w:rPr>
              <w:t>Subtotal</w:t>
            </w:r>
          </w:p>
        </w:tc>
        <w:tc>
          <w:tcPr>
            <w:tcW w:w="1115" w:type="dxa"/>
            <w:tcBorders>
              <w:bottom w:val="single" w:sz="8" w:space="0" w:color="000000"/>
            </w:tcBorders>
          </w:tcPr>
          <w:p w14:paraId="7326CBC1" w14:textId="77777777" w:rsidR="00EF3DFB" w:rsidRDefault="00D27C17">
            <w:pPr>
              <w:pStyle w:val="TableParagraph"/>
              <w:spacing w:before="60" w:line="208" w:lineRule="auto"/>
              <w:ind w:left="357" w:right="72" w:hanging="225"/>
              <w:rPr>
                <w:b/>
                <w:sz w:val="18"/>
              </w:rPr>
            </w:pPr>
            <w:r>
              <w:rPr>
                <w:b/>
                <w:sz w:val="18"/>
              </w:rPr>
              <w:t>NAV-based assets</w:t>
            </w:r>
          </w:p>
        </w:tc>
        <w:tc>
          <w:tcPr>
            <w:tcW w:w="1044" w:type="dxa"/>
            <w:tcBorders>
              <w:bottom w:val="single" w:sz="8" w:space="0" w:color="000000"/>
            </w:tcBorders>
          </w:tcPr>
          <w:p w14:paraId="7326CBC2" w14:textId="77777777" w:rsidR="00EF3DFB" w:rsidRDefault="00EF3DFB">
            <w:pPr>
              <w:pStyle w:val="TableParagraph"/>
              <w:spacing w:before="11"/>
              <w:rPr>
                <w:b/>
                <w:sz w:val="18"/>
              </w:rPr>
            </w:pPr>
          </w:p>
          <w:p w14:paraId="7326CBC3" w14:textId="77777777" w:rsidR="00EF3DFB" w:rsidRDefault="00D27C17">
            <w:pPr>
              <w:pStyle w:val="TableParagraph"/>
              <w:ind w:left="337"/>
              <w:rPr>
                <w:b/>
                <w:sz w:val="18"/>
              </w:rPr>
            </w:pPr>
            <w:r>
              <w:rPr>
                <w:b/>
                <w:sz w:val="18"/>
              </w:rPr>
              <w:t>Total</w:t>
            </w:r>
          </w:p>
        </w:tc>
      </w:tr>
      <w:tr w:rsidR="00EF3DFB" w14:paraId="7326CBCC" w14:textId="77777777">
        <w:trPr>
          <w:trHeight w:val="275"/>
        </w:trPr>
        <w:tc>
          <w:tcPr>
            <w:tcW w:w="4215" w:type="dxa"/>
            <w:tcBorders>
              <w:top w:val="single" w:sz="8" w:space="0" w:color="000000"/>
            </w:tcBorders>
            <w:shd w:val="clear" w:color="auto" w:fill="CCEDFF"/>
          </w:tcPr>
          <w:p w14:paraId="7326CBC5" w14:textId="77777777" w:rsidR="00EF3DFB" w:rsidRDefault="00D27C17">
            <w:pPr>
              <w:pStyle w:val="TableParagraph"/>
              <w:spacing w:line="224" w:lineRule="exact"/>
              <w:ind w:left="52"/>
              <w:rPr>
                <w:sz w:val="20"/>
              </w:rPr>
            </w:pPr>
            <w:r>
              <w:rPr>
                <w:sz w:val="20"/>
              </w:rPr>
              <w:t>Equity securities and funds</w:t>
            </w:r>
          </w:p>
        </w:tc>
        <w:tc>
          <w:tcPr>
            <w:tcW w:w="1028" w:type="dxa"/>
            <w:tcBorders>
              <w:top w:val="single" w:sz="8" w:space="0" w:color="000000"/>
            </w:tcBorders>
            <w:shd w:val="clear" w:color="auto" w:fill="CCEDFF"/>
          </w:tcPr>
          <w:p w14:paraId="7326CBC6" w14:textId="77777777" w:rsidR="00EF3DFB" w:rsidRDefault="00D27C17">
            <w:pPr>
              <w:pStyle w:val="TableParagraph"/>
              <w:tabs>
                <w:tab w:val="left" w:pos="770"/>
              </w:tabs>
              <w:spacing w:before="15"/>
              <w:ind w:right="102"/>
              <w:jc w:val="right"/>
              <w:rPr>
                <w:sz w:val="20"/>
              </w:rPr>
            </w:pPr>
            <w:r>
              <w:rPr>
                <w:sz w:val="20"/>
              </w:rPr>
              <w:t>$</w:t>
            </w:r>
            <w:r>
              <w:rPr>
                <w:sz w:val="20"/>
              </w:rPr>
              <w:tab/>
              <w:t>3</w:t>
            </w:r>
          </w:p>
        </w:tc>
        <w:tc>
          <w:tcPr>
            <w:tcW w:w="1080" w:type="dxa"/>
            <w:tcBorders>
              <w:top w:val="single" w:sz="8" w:space="0" w:color="000000"/>
            </w:tcBorders>
            <w:shd w:val="clear" w:color="auto" w:fill="CCEDFF"/>
          </w:tcPr>
          <w:p w14:paraId="7326CBC7" w14:textId="77777777" w:rsidR="00EF3DFB" w:rsidRDefault="00D27C17">
            <w:pPr>
              <w:pStyle w:val="TableParagraph"/>
              <w:tabs>
                <w:tab w:val="left" w:pos="670"/>
              </w:tabs>
              <w:spacing w:before="15"/>
              <w:ind w:right="102"/>
              <w:jc w:val="right"/>
              <w:rPr>
                <w:sz w:val="20"/>
              </w:rPr>
            </w:pPr>
            <w:r>
              <w:rPr>
                <w:sz w:val="20"/>
              </w:rPr>
              <w:t>$</w:t>
            </w:r>
            <w:r>
              <w:rPr>
                <w:sz w:val="20"/>
              </w:rPr>
              <w:tab/>
              <w:t>—</w:t>
            </w:r>
          </w:p>
        </w:tc>
        <w:tc>
          <w:tcPr>
            <w:tcW w:w="1080" w:type="dxa"/>
            <w:tcBorders>
              <w:top w:val="single" w:sz="8" w:space="0" w:color="000000"/>
            </w:tcBorders>
            <w:shd w:val="clear" w:color="auto" w:fill="CCEDFF"/>
          </w:tcPr>
          <w:p w14:paraId="7326CBC8" w14:textId="77777777" w:rsidR="00EF3DFB" w:rsidRDefault="00D27C17">
            <w:pPr>
              <w:pStyle w:val="TableParagraph"/>
              <w:tabs>
                <w:tab w:val="left" w:pos="670"/>
              </w:tabs>
              <w:spacing w:before="15"/>
              <w:ind w:right="102"/>
              <w:jc w:val="right"/>
              <w:rPr>
                <w:sz w:val="20"/>
              </w:rPr>
            </w:pPr>
            <w:r>
              <w:rPr>
                <w:sz w:val="20"/>
              </w:rPr>
              <w:t>$</w:t>
            </w:r>
            <w:r>
              <w:rPr>
                <w:sz w:val="20"/>
              </w:rPr>
              <w:tab/>
              <w:t>—</w:t>
            </w:r>
          </w:p>
        </w:tc>
        <w:tc>
          <w:tcPr>
            <w:tcW w:w="1057" w:type="dxa"/>
            <w:tcBorders>
              <w:top w:val="single" w:sz="8" w:space="0" w:color="000000"/>
            </w:tcBorders>
            <w:shd w:val="clear" w:color="auto" w:fill="CCEDFF"/>
          </w:tcPr>
          <w:p w14:paraId="7326CBC9" w14:textId="77777777" w:rsidR="00EF3DFB" w:rsidRDefault="00D27C17">
            <w:pPr>
              <w:pStyle w:val="TableParagraph"/>
              <w:tabs>
                <w:tab w:val="left" w:pos="770"/>
              </w:tabs>
              <w:spacing w:before="15"/>
              <w:ind w:right="79"/>
              <w:jc w:val="right"/>
              <w:rPr>
                <w:sz w:val="20"/>
              </w:rPr>
            </w:pPr>
            <w:r>
              <w:rPr>
                <w:sz w:val="20"/>
              </w:rPr>
              <w:t>$</w:t>
            </w:r>
            <w:r>
              <w:rPr>
                <w:sz w:val="20"/>
              </w:rPr>
              <w:tab/>
              <w:t>3</w:t>
            </w:r>
          </w:p>
        </w:tc>
        <w:tc>
          <w:tcPr>
            <w:tcW w:w="1115" w:type="dxa"/>
            <w:tcBorders>
              <w:top w:val="single" w:sz="8" w:space="0" w:color="000000"/>
            </w:tcBorders>
            <w:shd w:val="clear" w:color="auto" w:fill="CCEDFF"/>
          </w:tcPr>
          <w:p w14:paraId="7326CBCA" w14:textId="77777777" w:rsidR="00EF3DFB" w:rsidRDefault="00D27C17">
            <w:pPr>
              <w:pStyle w:val="TableParagraph"/>
              <w:tabs>
                <w:tab w:val="left" w:pos="770"/>
              </w:tabs>
              <w:spacing w:before="15"/>
              <w:ind w:right="114"/>
              <w:jc w:val="right"/>
              <w:rPr>
                <w:sz w:val="20"/>
              </w:rPr>
            </w:pPr>
            <w:r>
              <w:rPr>
                <w:sz w:val="20"/>
              </w:rPr>
              <w:t>$</w:t>
            </w:r>
            <w:r>
              <w:rPr>
                <w:sz w:val="20"/>
              </w:rPr>
              <w:tab/>
              <w:t>2</w:t>
            </w:r>
          </w:p>
        </w:tc>
        <w:tc>
          <w:tcPr>
            <w:tcW w:w="1044" w:type="dxa"/>
            <w:tcBorders>
              <w:top w:val="single" w:sz="8" w:space="0" w:color="000000"/>
            </w:tcBorders>
            <w:shd w:val="clear" w:color="auto" w:fill="CCEDFF"/>
          </w:tcPr>
          <w:p w14:paraId="7326CBCB" w14:textId="77777777" w:rsidR="00EF3DFB" w:rsidRDefault="00D27C17">
            <w:pPr>
              <w:pStyle w:val="TableParagraph"/>
              <w:tabs>
                <w:tab w:val="left" w:pos="770"/>
              </w:tabs>
              <w:spacing w:before="15"/>
              <w:ind w:right="78"/>
              <w:jc w:val="right"/>
              <w:rPr>
                <w:sz w:val="20"/>
              </w:rPr>
            </w:pPr>
            <w:r>
              <w:rPr>
                <w:sz w:val="20"/>
              </w:rPr>
              <w:t>$</w:t>
            </w:r>
            <w:r>
              <w:rPr>
                <w:sz w:val="20"/>
              </w:rPr>
              <w:tab/>
              <w:t>5</w:t>
            </w:r>
          </w:p>
        </w:tc>
      </w:tr>
      <w:tr w:rsidR="00EF3DFB" w14:paraId="7326CBD4" w14:textId="77777777">
        <w:trPr>
          <w:trHeight w:val="285"/>
        </w:trPr>
        <w:tc>
          <w:tcPr>
            <w:tcW w:w="4215" w:type="dxa"/>
          </w:tcPr>
          <w:p w14:paraId="7326CBCD" w14:textId="77777777" w:rsidR="00EF3DFB" w:rsidRDefault="00D27C17">
            <w:pPr>
              <w:pStyle w:val="TableParagraph"/>
              <w:spacing w:before="4"/>
              <w:ind w:left="52"/>
              <w:rPr>
                <w:sz w:val="20"/>
              </w:rPr>
            </w:pPr>
            <w:r>
              <w:rPr>
                <w:sz w:val="20"/>
              </w:rPr>
              <w:t>Fixed income securities and funds</w:t>
            </w:r>
          </w:p>
        </w:tc>
        <w:tc>
          <w:tcPr>
            <w:tcW w:w="1028" w:type="dxa"/>
          </w:tcPr>
          <w:p w14:paraId="7326CBCE" w14:textId="77777777" w:rsidR="00EF3DFB" w:rsidRDefault="00D27C17">
            <w:pPr>
              <w:pStyle w:val="TableParagraph"/>
              <w:spacing w:before="25"/>
              <w:ind w:right="102"/>
              <w:jc w:val="right"/>
              <w:rPr>
                <w:sz w:val="20"/>
              </w:rPr>
            </w:pPr>
            <w:r>
              <w:rPr>
                <w:sz w:val="20"/>
              </w:rPr>
              <w:t>298</w:t>
            </w:r>
          </w:p>
        </w:tc>
        <w:tc>
          <w:tcPr>
            <w:tcW w:w="1080" w:type="dxa"/>
          </w:tcPr>
          <w:p w14:paraId="7326CBCF" w14:textId="77777777" w:rsidR="00EF3DFB" w:rsidRDefault="00D27C17">
            <w:pPr>
              <w:pStyle w:val="TableParagraph"/>
              <w:spacing w:before="25"/>
              <w:ind w:right="102"/>
              <w:jc w:val="right"/>
              <w:rPr>
                <w:sz w:val="20"/>
              </w:rPr>
            </w:pPr>
            <w:r>
              <w:rPr>
                <w:sz w:val="20"/>
              </w:rPr>
              <w:t>—</w:t>
            </w:r>
          </w:p>
        </w:tc>
        <w:tc>
          <w:tcPr>
            <w:tcW w:w="1080" w:type="dxa"/>
          </w:tcPr>
          <w:p w14:paraId="7326CBD0" w14:textId="77777777" w:rsidR="00EF3DFB" w:rsidRDefault="00D27C17">
            <w:pPr>
              <w:pStyle w:val="TableParagraph"/>
              <w:spacing w:before="25"/>
              <w:ind w:right="102"/>
              <w:jc w:val="right"/>
              <w:rPr>
                <w:sz w:val="20"/>
              </w:rPr>
            </w:pPr>
            <w:r>
              <w:rPr>
                <w:sz w:val="20"/>
              </w:rPr>
              <w:t>—</w:t>
            </w:r>
          </w:p>
        </w:tc>
        <w:tc>
          <w:tcPr>
            <w:tcW w:w="1057" w:type="dxa"/>
          </w:tcPr>
          <w:p w14:paraId="7326CBD1" w14:textId="77777777" w:rsidR="00EF3DFB" w:rsidRDefault="00D27C17">
            <w:pPr>
              <w:pStyle w:val="TableParagraph"/>
              <w:spacing w:before="25"/>
              <w:ind w:right="79"/>
              <w:jc w:val="right"/>
              <w:rPr>
                <w:sz w:val="20"/>
              </w:rPr>
            </w:pPr>
            <w:r>
              <w:rPr>
                <w:sz w:val="20"/>
              </w:rPr>
              <w:t>298</w:t>
            </w:r>
          </w:p>
        </w:tc>
        <w:tc>
          <w:tcPr>
            <w:tcW w:w="1115" w:type="dxa"/>
          </w:tcPr>
          <w:p w14:paraId="7326CBD2" w14:textId="77777777" w:rsidR="00EF3DFB" w:rsidRDefault="00D27C17">
            <w:pPr>
              <w:pStyle w:val="TableParagraph"/>
              <w:spacing w:before="25"/>
              <w:ind w:right="114"/>
              <w:jc w:val="right"/>
              <w:rPr>
                <w:sz w:val="20"/>
              </w:rPr>
            </w:pPr>
            <w:r>
              <w:rPr>
                <w:sz w:val="20"/>
              </w:rPr>
              <w:t>3</w:t>
            </w:r>
          </w:p>
        </w:tc>
        <w:tc>
          <w:tcPr>
            <w:tcW w:w="1044" w:type="dxa"/>
          </w:tcPr>
          <w:p w14:paraId="7326CBD3" w14:textId="77777777" w:rsidR="00EF3DFB" w:rsidRDefault="00D27C17">
            <w:pPr>
              <w:pStyle w:val="TableParagraph"/>
              <w:spacing w:before="25"/>
              <w:ind w:right="78"/>
              <w:jc w:val="right"/>
              <w:rPr>
                <w:sz w:val="20"/>
              </w:rPr>
            </w:pPr>
            <w:r>
              <w:rPr>
                <w:sz w:val="20"/>
              </w:rPr>
              <w:t>301</w:t>
            </w:r>
          </w:p>
        </w:tc>
      </w:tr>
      <w:tr w:rsidR="00EF3DFB" w14:paraId="7326CBDC" w14:textId="77777777">
        <w:trPr>
          <w:trHeight w:val="275"/>
        </w:trPr>
        <w:tc>
          <w:tcPr>
            <w:tcW w:w="4215" w:type="dxa"/>
            <w:shd w:val="clear" w:color="auto" w:fill="CCEDFF"/>
          </w:tcPr>
          <w:p w14:paraId="7326CBD5" w14:textId="77777777" w:rsidR="00EF3DFB" w:rsidRDefault="00D27C17">
            <w:pPr>
              <w:pStyle w:val="TableParagraph"/>
              <w:spacing w:before="4"/>
              <w:ind w:left="52"/>
              <w:rPr>
                <w:sz w:val="20"/>
              </w:rPr>
            </w:pPr>
            <w:r>
              <w:rPr>
                <w:sz w:val="20"/>
              </w:rPr>
              <w:t>Cash and other</w:t>
            </w:r>
          </w:p>
        </w:tc>
        <w:tc>
          <w:tcPr>
            <w:tcW w:w="1028" w:type="dxa"/>
            <w:tcBorders>
              <w:bottom w:val="single" w:sz="8" w:space="0" w:color="000000"/>
            </w:tcBorders>
            <w:shd w:val="clear" w:color="auto" w:fill="CCEDFF"/>
          </w:tcPr>
          <w:p w14:paraId="7326CBD6" w14:textId="77777777" w:rsidR="00EF3DFB" w:rsidRDefault="00D27C17">
            <w:pPr>
              <w:pStyle w:val="TableParagraph"/>
              <w:spacing w:before="25" w:line="230" w:lineRule="exact"/>
              <w:ind w:right="102"/>
              <w:jc w:val="right"/>
              <w:rPr>
                <w:sz w:val="20"/>
              </w:rPr>
            </w:pPr>
            <w:r>
              <w:rPr>
                <w:sz w:val="20"/>
              </w:rPr>
              <w:t>8</w:t>
            </w:r>
          </w:p>
        </w:tc>
        <w:tc>
          <w:tcPr>
            <w:tcW w:w="1080" w:type="dxa"/>
            <w:tcBorders>
              <w:bottom w:val="single" w:sz="8" w:space="0" w:color="000000"/>
            </w:tcBorders>
            <w:shd w:val="clear" w:color="auto" w:fill="CCEDFF"/>
          </w:tcPr>
          <w:p w14:paraId="7326CBD7" w14:textId="77777777" w:rsidR="00EF3DFB" w:rsidRDefault="00D27C17">
            <w:pPr>
              <w:pStyle w:val="TableParagraph"/>
              <w:spacing w:before="25" w:line="230" w:lineRule="exact"/>
              <w:ind w:right="102"/>
              <w:jc w:val="right"/>
              <w:rPr>
                <w:sz w:val="20"/>
              </w:rPr>
            </w:pPr>
            <w:r>
              <w:rPr>
                <w:sz w:val="20"/>
              </w:rPr>
              <w:t>255</w:t>
            </w:r>
          </w:p>
        </w:tc>
        <w:tc>
          <w:tcPr>
            <w:tcW w:w="1080" w:type="dxa"/>
            <w:tcBorders>
              <w:bottom w:val="single" w:sz="8" w:space="0" w:color="000000"/>
            </w:tcBorders>
            <w:shd w:val="clear" w:color="auto" w:fill="CCEDFF"/>
          </w:tcPr>
          <w:p w14:paraId="7326CBD8" w14:textId="77777777" w:rsidR="00EF3DFB" w:rsidRDefault="00D27C17">
            <w:pPr>
              <w:pStyle w:val="TableParagraph"/>
              <w:spacing w:before="25" w:line="230" w:lineRule="exact"/>
              <w:ind w:right="102"/>
              <w:jc w:val="right"/>
              <w:rPr>
                <w:sz w:val="20"/>
              </w:rPr>
            </w:pPr>
            <w:r>
              <w:rPr>
                <w:sz w:val="20"/>
              </w:rPr>
              <w:t>8</w:t>
            </w:r>
          </w:p>
        </w:tc>
        <w:tc>
          <w:tcPr>
            <w:tcW w:w="1057" w:type="dxa"/>
            <w:tcBorders>
              <w:bottom w:val="single" w:sz="8" w:space="0" w:color="000000"/>
            </w:tcBorders>
            <w:shd w:val="clear" w:color="auto" w:fill="CCEDFF"/>
          </w:tcPr>
          <w:p w14:paraId="7326CBD9" w14:textId="77777777" w:rsidR="00EF3DFB" w:rsidRDefault="00D27C17">
            <w:pPr>
              <w:pStyle w:val="TableParagraph"/>
              <w:spacing w:before="25" w:line="230" w:lineRule="exact"/>
              <w:ind w:right="79"/>
              <w:jc w:val="right"/>
              <w:rPr>
                <w:sz w:val="20"/>
              </w:rPr>
            </w:pPr>
            <w:r>
              <w:rPr>
                <w:sz w:val="20"/>
              </w:rPr>
              <w:t>271</w:t>
            </w:r>
          </w:p>
        </w:tc>
        <w:tc>
          <w:tcPr>
            <w:tcW w:w="1115" w:type="dxa"/>
            <w:tcBorders>
              <w:bottom w:val="single" w:sz="8" w:space="0" w:color="000000"/>
            </w:tcBorders>
            <w:shd w:val="clear" w:color="auto" w:fill="CCEDFF"/>
          </w:tcPr>
          <w:p w14:paraId="7326CBDA" w14:textId="77777777" w:rsidR="00EF3DFB" w:rsidRDefault="00D27C17">
            <w:pPr>
              <w:pStyle w:val="TableParagraph"/>
              <w:spacing w:before="25" w:line="230" w:lineRule="exact"/>
              <w:ind w:right="114"/>
              <w:jc w:val="right"/>
              <w:rPr>
                <w:sz w:val="20"/>
              </w:rPr>
            </w:pPr>
            <w:r>
              <w:rPr>
                <w:sz w:val="20"/>
              </w:rPr>
              <w:t>3</w:t>
            </w:r>
          </w:p>
        </w:tc>
        <w:tc>
          <w:tcPr>
            <w:tcW w:w="1044" w:type="dxa"/>
            <w:tcBorders>
              <w:bottom w:val="single" w:sz="8" w:space="0" w:color="000000"/>
            </w:tcBorders>
            <w:shd w:val="clear" w:color="auto" w:fill="CCEDFF"/>
          </w:tcPr>
          <w:p w14:paraId="7326CBDB" w14:textId="77777777" w:rsidR="00EF3DFB" w:rsidRDefault="00D27C17">
            <w:pPr>
              <w:pStyle w:val="TableParagraph"/>
              <w:spacing w:before="25" w:line="230" w:lineRule="exact"/>
              <w:ind w:right="78"/>
              <w:jc w:val="right"/>
              <w:rPr>
                <w:sz w:val="20"/>
              </w:rPr>
            </w:pPr>
            <w:r>
              <w:rPr>
                <w:sz w:val="20"/>
              </w:rPr>
              <w:t>274</w:t>
            </w:r>
          </w:p>
        </w:tc>
      </w:tr>
      <w:tr w:rsidR="00EF3DFB" w14:paraId="7326CBE4" w14:textId="77777777">
        <w:trPr>
          <w:trHeight w:val="285"/>
        </w:trPr>
        <w:tc>
          <w:tcPr>
            <w:tcW w:w="4215" w:type="dxa"/>
          </w:tcPr>
          <w:p w14:paraId="7326CBDD" w14:textId="77777777" w:rsidR="00EF3DFB" w:rsidRDefault="00D27C17">
            <w:pPr>
              <w:pStyle w:val="TableParagraph"/>
              <w:spacing w:line="224" w:lineRule="exact"/>
              <w:ind w:left="52"/>
              <w:rPr>
                <w:sz w:val="20"/>
              </w:rPr>
            </w:pPr>
            <w:r>
              <w:rPr>
                <w:sz w:val="20"/>
              </w:rPr>
              <w:t>Total</w:t>
            </w:r>
          </w:p>
        </w:tc>
        <w:tc>
          <w:tcPr>
            <w:tcW w:w="1028" w:type="dxa"/>
            <w:tcBorders>
              <w:top w:val="single" w:sz="8" w:space="0" w:color="000000"/>
              <w:bottom w:val="single" w:sz="8" w:space="0" w:color="000000"/>
            </w:tcBorders>
          </w:tcPr>
          <w:p w14:paraId="7326CBDE"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309</w:t>
            </w:r>
          </w:p>
        </w:tc>
        <w:tc>
          <w:tcPr>
            <w:tcW w:w="1080" w:type="dxa"/>
            <w:tcBorders>
              <w:top w:val="single" w:sz="8" w:space="0" w:color="000000"/>
              <w:bottom w:val="single" w:sz="8" w:space="0" w:color="000000"/>
            </w:tcBorders>
          </w:tcPr>
          <w:p w14:paraId="7326CBDF" w14:textId="77777777" w:rsidR="00EF3DFB" w:rsidRDefault="00D27C17">
            <w:pPr>
              <w:pStyle w:val="TableParagraph"/>
              <w:tabs>
                <w:tab w:val="left" w:pos="570"/>
              </w:tabs>
              <w:spacing w:before="15"/>
              <w:ind w:right="102"/>
              <w:jc w:val="right"/>
              <w:rPr>
                <w:sz w:val="20"/>
              </w:rPr>
            </w:pPr>
            <w:r>
              <w:rPr>
                <w:sz w:val="20"/>
                <w:u w:val="single"/>
              </w:rPr>
              <w:t>$</w:t>
            </w:r>
            <w:r>
              <w:rPr>
                <w:sz w:val="20"/>
                <w:u w:val="single"/>
              </w:rPr>
              <w:tab/>
              <w:t>255</w:t>
            </w:r>
          </w:p>
        </w:tc>
        <w:tc>
          <w:tcPr>
            <w:tcW w:w="1080" w:type="dxa"/>
            <w:tcBorders>
              <w:top w:val="single" w:sz="8" w:space="0" w:color="000000"/>
              <w:bottom w:val="single" w:sz="8" w:space="0" w:color="000000"/>
            </w:tcBorders>
          </w:tcPr>
          <w:p w14:paraId="7326CBE0" w14:textId="77777777" w:rsidR="00EF3DFB" w:rsidRDefault="00D27C17">
            <w:pPr>
              <w:pStyle w:val="TableParagraph"/>
              <w:tabs>
                <w:tab w:val="left" w:pos="770"/>
              </w:tabs>
              <w:spacing w:before="15"/>
              <w:ind w:right="102"/>
              <w:jc w:val="right"/>
              <w:rPr>
                <w:sz w:val="20"/>
              </w:rPr>
            </w:pPr>
            <w:r>
              <w:rPr>
                <w:sz w:val="20"/>
                <w:u w:val="single"/>
              </w:rPr>
              <w:t>$</w:t>
            </w:r>
            <w:r>
              <w:rPr>
                <w:sz w:val="20"/>
                <w:u w:val="single"/>
              </w:rPr>
              <w:tab/>
              <w:t>8</w:t>
            </w:r>
          </w:p>
        </w:tc>
        <w:tc>
          <w:tcPr>
            <w:tcW w:w="1057" w:type="dxa"/>
            <w:tcBorders>
              <w:top w:val="single" w:sz="8" w:space="0" w:color="000000"/>
              <w:bottom w:val="single" w:sz="8" w:space="0" w:color="000000"/>
            </w:tcBorders>
          </w:tcPr>
          <w:p w14:paraId="7326CBE1" w14:textId="77777777" w:rsidR="00EF3DFB" w:rsidRDefault="00D27C17">
            <w:pPr>
              <w:pStyle w:val="TableParagraph"/>
              <w:tabs>
                <w:tab w:val="left" w:pos="570"/>
              </w:tabs>
              <w:spacing w:before="15"/>
              <w:ind w:right="79"/>
              <w:jc w:val="right"/>
              <w:rPr>
                <w:sz w:val="20"/>
              </w:rPr>
            </w:pPr>
            <w:r>
              <w:rPr>
                <w:sz w:val="20"/>
                <w:u w:val="single"/>
              </w:rPr>
              <w:t>$</w:t>
            </w:r>
            <w:r>
              <w:rPr>
                <w:sz w:val="20"/>
                <w:u w:val="single"/>
              </w:rPr>
              <w:tab/>
              <w:t>572</w:t>
            </w:r>
          </w:p>
        </w:tc>
        <w:tc>
          <w:tcPr>
            <w:tcW w:w="1115" w:type="dxa"/>
            <w:tcBorders>
              <w:top w:val="single" w:sz="8" w:space="0" w:color="000000"/>
              <w:bottom w:val="single" w:sz="8" w:space="0" w:color="000000"/>
            </w:tcBorders>
          </w:tcPr>
          <w:p w14:paraId="7326CBE2" w14:textId="77777777" w:rsidR="00EF3DFB" w:rsidRDefault="00D27C17">
            <w:pPr>
              <w:pStyle w:val="TableParagraph"/>
              <w:tabs>
                <w:tab w:val="left" w:pos="770"/>
              </w:tabs>
              <w:spacing w:before="15"/>
              <w:ind w:right="114"/>
              <w:jc w:val="right"/>
              <w:rPr>
                <w:sz w:val="20"/>
              </w:rPr>
            </w:pPr>
            <w:r>
              <w:rPr>
                <w:sz w:val="20"/>
                <w:u w:val="single"/>
              </w:rPr>
              <w:t>$</w:t>
            </w:r>
            <w:r>
              <w:rPr>
                <w:sz w:val="20"/>
                <w:u w:val="single"/>
              </w:rPr>
              <w:tab/>
              <w:t>8</w:t>
            </w:r>
          </w:p>
        </w:tc>
        <w:tc>
          <w:tcPr>
            <w:tcW w:w="1044" w:type="dxa"/>
            <w:tcBorders>
              <w:top w:val="single" w:sz="8" w:space="0" w:color="000000"/>
              <w:bottom w:val="single" w:sz="8" w:space="0" w:color="000000"/>
            </w:tcBorders>
          </w:tcPr>
          <w:p w14:paraId="7326CBE3" w14:textId="77777777" w:rsidR="00EF3DFB" w:rsidRDefault="00D27C17">
            <w:pPr>
              <w:pStyle w:val="TableParagraph"/>
              <w:tabs>
                <w:tab w:val="left" w:pos="570"/>
              </w:tabs>
              <w:spacing w:before="15"/>
              <w:ind w:right="78"/>
              <w:jc w:val="right"/>
              <w:rPr>
                <w:sz w:val="20"/>
              </w:rPr>
            </w:pPr>
            <w:r>
              <w:rPr>
                <w:sz w:val="20"/>
                <w:u w:val="single"/>
              </w:rPr>
              <w:t>$</w:t>
            </w:r>
            <w:r>
              <w:rPr>
                <w:sz w:val="20"/>
                <w:u w:val="single"/>
              </w:rPr>
              <w:tab/>
              <w:t>580</w:t>
            </w:r>
          </w:p>
        </w:tc>
      </w:tr>
    </w:tbl>
    <w:p w14:paraId="7326CBE5" w14:textId="77777777" w:rsidR="00EF3DFB" w:rsidRDefault="00D27C17">
      <w:pPr>
        <w:pStyle w:val="BodyText"/>
        <w:spacing w:before="132" w:line="249" w:lineRule="auto"/>
        <w:ind w:left="190" w:right="333"/>
      </w:pPr>
      <w:r>
        <w:t>A reconciliation of the change in fair value of the defined benefit plans’ assets using significant unobservable inputs (Level 3) for 2020 and 2019 is as follows (in millions):</w:t>
      </w:r>
    </w:p>
    <w:p w14:paraId="7326CBE6" w14:textId="77777777" w:rsidR="00EF3DFB" w:rsidRDefault="00EF3DFB">
      <w:pPr>
        <w:pStyle w:val="BodyText"/>
        <w:spacing w:before="7"/>
        <w:rPr>
          <w:sz w:val="17"/>
        </w:rPr>
      </w:pPr>
    </w:p>
    <w:tbl>
      <w:tblPr>
        <w:tblW w:w="0" w:type="auto"/>
        <w:tblInd w:w="190" w:type="dxa"/>
        <w:tblLayout w:type="fixed"/>
        <w:tblCellMar>
          <w:left w:w="0" w:type="dxa"/>
          <w:right w:w="0" w:type="dxa"/>
        </w:tblCellMar>
        <w:tblLook w:val="01E0" w:firstRow="1" w:lastRow="1" w:firstColumn="1" w:lastColumn="1" w:noHBand="0" w:noVBand="0"/>
      </w:tblPr>
      <w:tblGrid>
        <w:gridCol w:w="6502"/>
        <w:gridCol w:w="3768"/>
        <w:gridCol w:w="350"/>
      </w:tblGrid>
      <w:tr w:rsidR="00EF3DFB" w14:paraId="7326CBEA" w14:textId="77777777">
        <w:trPr>
          <w:trHeight w:val="196"/>
        </w:trPr>
        <w:tc>
          <w:tcPr>
            <w:tcW w:w="6502" w:type="dxa"/>
          </w:tcPr>
          <w:p w14:paraId="7326CBE7" w14:textId="77777777" w:rsidR="00EF3DFB" w:rsidRDefault="00EF3DFB">
            <w:pPr>
              <w:pStyle w:val="TableParagraph"/>
              <w:rPr>
                <w:sz w:val="12"/>
              </w:rPr>
            </w:pPr>
          </w:p>
        </w:tc>
        <w:tc>
          <w:tcPr>
            <w:tcW w:w="3768" w:type="dxa"/>
            <w:tcBorders>
              <w:bottom w:val="single" w:sz="8" w:space="0" w:color="000000"/>
            </w:tcBorders>
          </w:tcPr>
          <w:p w14:paraId="7326CBE8" w14:textId="77777777" w:rsidR="00EF3DFB" w:rsidRDefault="00D27C17">
            <w:pPr>
              <w:pStyle w:val="TableParagraph"/>
              <w:spacing w:line="177" w:lineRule="exact"/>
              <w:ind w:right="65"/>
              <w:jc w:val="right"/>
              <w:rPr>
                <w:b/>
                <w:sz w:val="16"/>
              </w:rPr>
            </w:pPr>
            <w:r>
              <w:rPr>
                <w:b/>
                <w:sz w:val="16"/>
              </w:rPr>
              <w:t>Total</w:t>
            </w:r>
          </w:p>
        </w:tc>
        <w:tc>
          <w:tcPr>
            <w:tcW w:w="350" w:type="dxa"/>
            <w:tcBorders>
              <w:bottom w:val="single" w:sz="8" w:space="0" w:color="000000"/>
            </w:tcBorders>
          </w:tcPr>
          <w:p w14:paraId="7326CBE9" w14:textId="77777777" w:rsidR="00EF3DFB" w:rsidRDefault="00EF3DFB">
            <w:pPr>
              <w:pStyle w:val="TableParagraph"/>
              <w:rPr>
                <w:sz w:val="12"/>
              </w:rPr>
            </w:pPr>
          </w:p>
        </w:tc>
      </w:tr>
      <w:tr w:rsidR="00EF3DFB" w14:paraId="7326CBEE" w14:textId="77777777">
        <w:trPr>
          <w:trHeight w:val="275"/>
        </w:trPr>
        <w:tc>
          <w:tcPr>
            <w:tcW w:w="6502" w:type="dxa"/>
            <w:shd w:val="clear" w:color="auto" w:fill="CCEDFF"/>
          </w:tcPr>
          <w:p w14:paraId="7326CBEB" w14:textId="77777777" w:rsidR="00EF3DFB" w:rsidRDefault="00D27C17">
            <w:pPr>
              <w:pStyle w:val="TableParagraph"/>
              <w:spacing w:line="224" w:lineRule="exact"/>
              <w:ind w:left="52"/>
              <w:rPr>
                <w:sz w:val="20"/>
              </w:rPr>
            </w:pPr>
            <w:r>
              <w:rPr>
                <w:sz w:val="20"/>
              </w:rPr>
              <w:t>Balance December 31, 2018</w:t>
            </w:r>
          </w:p>
        </w:tc>
        <w:tc>
          <w:tcPr>
            <w:tcW w:w="3768" w:type="dxa"/>
            <w:tcBorders>
              <w:top w:val="single" w:sz="8" w:space="0" w:color="000000"/>
            </w:tcBorders>
            <w:shd w:val="clear" w:color="auto" w:fill="CCEDFF"/>
          </w:tcPr>
          <w:p w14:paraId="7326CBEC" w14:textId="77777777" w:rsidR="00EF3DFB" w:rsidRDefault="00D27C17">
            <w:pPr>
              <w:pStyle w:val="TableParagraph"/>
              <w:spacing w:before="15"/>
              <w:ind w:right="695"/>
              <w:jc w:val="right"/>
              <w:rPr>
                <w:sz w:val="20"/>
              </w:rPr>
            </w:pPr>
            <w:r>
              <w:rPr>
                <w:sz w:val="20"/>
              </w:rPr>
              <w:t>$</w:t>
            </w:r>
          </w:p>
        </w:tc>
        <w:tc>
          <w:tcPr>
            <w:tcW w:w="350" w:type="dxa"/>
            <w:tcBorders>
              <w:top w:val="single" w:sz="8" w:space="0" w:color="000000"/>
            </w:tcBorders>
            <w:shd w:val="clear" w:color="auto" w:fill="CCEDFF"/>
          </w:tcPr>
          <w:p w14:paraId="7326CBED" w14:textId="77777777" w:rsidR="00EF3DFB" w:rsidRDefault="00D27C17">
            <w:pPr>
              <w:pStyle w:val="TableParagraph"/>
              <w:spacing w:before="15"/>
              <w:ind w:left="49" w:right="60"/>
              <w:jc w:val="center"/>
              <w:rPr>
                <w:sz w:val="20"/>
              </w:rPr>
            </w:pPr>
            <w:r>
              <w:rPr>
                <w:sz w:val="20"/>
              </w:rPr>
              <w:t>10</w:t>
            </w:r>
          </w:p>
        </w:tc>
      </w:tr>
      <w:tr w:rsidR="00EF3DFB" w14:paraId="7326CBF2" w14:textId="77777777">
        <w:trPr>
          <w:trHeight w:val="275"/>
        </w:trPr>
        <w:tc>
          <w:tcPr>
            <w:tcW w:w="6502" w:type="dxa"/>
          </w:tcPr>
          <w:p w14:paraId="7326CBEF" w14:textId="77777777" w:rsidR="00EF3DFB" w:rsidRDefault="00D27C17">
            <w:pPr>
              <w:pStyle w:val="TableParagraph"/>
              <w:spacing w:before="4"/>
              <w:ind w:left="52"/>
              <w:rPr>
                <w:sz w:val="20"/>
              </w:rPr>
            </w:pPr>
            <w:r>
              <w:rPr>
                <w:sz w:val="20"/>
              </w:rPr>
              <w:t>Purchases, sales, settlements, and other, net</w:t>
            </w:r>
          </w:p>
        </w:tc>
        <w:tc>
          <w:tcPr>
            <w:tcW w:w="3768" w:type="dxa"/>
            <w:tcBorders>
              <w:bottom w:val="single" w:sz="8" w:space="0" w:color="000000"/>
            </w:tcBorders>
          </w:tcPr>
          <w:p w14:paraId="7326CBF0" w14:textId="77777777" w:rsidR="00EF3DFB" w:rsidRDefault="00EF3DFB">
            <w:pPr>
              <w:pStyle w:val="TableParagraph"/>
              <w:rPr>
                <w:sz w:val="18"/>
              </w:rPr>
            </w:pPr>
          </w:p>
        </w:tc>
        <w:tc>
          <w:tcPr>
            <w:tcW w:w="350" w:type="dxa"/>
            <w:tcBorders>
              <w:bottom w:val="single" w:sz="8" w:space="0" w:color="000000"/>
            </w:tcBorders>
          </w:tcPr>
          <w:p w14:paraId="7326CBF1" w14:textId="77777777" w:rsidR="00EF3DFB" w:rsidRDefault="00D27C17">
            <w:pPr>
              <w:pStyle w:val="TableParagraph"/>
              <w:spacing w:before="25" w:line="230" w:lineRule="exact"/>
              <w:ind w:left="86"/>
              <w:jc w:val="center"/>
              <w:rPr>
                <w:sz w:val="20"/>
              </w:rPr>
            </w:pPr>
            <w:r>
              <w:rPr>
                <w:sz w:val="20"/>
              </w:rPr>
              <w:t>(1)</w:t>
            </w:r>
          </w:p>
        </w:tc>
      </w:tr>
      <w:tr w:rsidR="00EF3DFB" w14:paraId="7326CBF6" w14:textId="77777777">
        <w:trPr>
          <w:trHeight w:val="275"/>
        </w:trPr>
        <w:tc>
          <w:tcPr>
            <w:tcW w:w="6502" w:type="dxa"/>
            <w:shd w:val="clear" w:color="auto" w:fill="CCEDFF"/>
          </w:tcPr>
          <w:p w14:paraId="7326CBF3" w14:textId="77777777" w:rsidR="00EF3DFB" w:rsidRDefault="00D27C17">
            <w:pPr>
              <w:pStyle w:val="TableParagraph"/>
              <w:spacing w:line="224" w:lineRule="exact"/>
              <w:ind w:left="52"/>
              <w:rPr>
                <w:sz w:val="20"/>
              </w:rPr>
            </w:pPr>
            <w:r>
              <w:rPr>
                <w:sz w:val="20"/>
              </w:rPr>
              <w:t>Balance December 31, 2019</w:t>
            </w:r>
          </w:p>
        </w:tc>
        <w:tc>
          <w:tcPr>
            <w:tcW w:w="3768" w:type="dxa"/>
            <w:tcBorders>
              <w:top w:val="single" w:sz="8" w:space="0" w:color="000000"/>
            </w:tcBorders>
            <w:shd w:val="clear" w:color="auto" w:fill="CCEDFF"/>
          </w:tcPr>
          <w:p w14:paraId="7326CBF4" w14:textId="77777777" w:rsidR="00EF3DFB" w:rsidRDefault="00EF3DFB">
            <w:pPr>
              <w:pStyle w:val="TableParagraph"/>
              <w:rPr>
                <w:sz w:val="18"/>
              </w:rPr>
            </w:pPr>
          </w:p>
        </w:tc>
        <w:tc>
          <w:tcPr>
            <w:tcW w:w="350" w:type="dxa"/>
            <w:tcBorders>
              <w:top w:val="single" w:sz="8" w:space="0" w:color="000000"/>
            </w:tcBorders>
            <w:shd w:val="clear" w:color="auto" w:fill="CCEDFF"/>
          </w:tcPr>
          <w:p w14:paraId="7326CBF5" w14:textId="77777777" w:rsidR="00EF3DFB" w:rsidRDefault="00D27C17">
            <w:pPr>
              <w:pStyle w:val="TableParagraph"/>
              <w:spacing w:before="15"/>
              <w:ind w:left="86"/>
              <w:jc w:val="center"/>
              <w:rPr>
                <w:sz w:val="20"/>
              </w:rPr>
            </w:pPr>
            <w:r>
              <w:rPr>
                <w:sz w:val="20"/>
              </w:rPr>
              <w:t>9</w:t>
            </w:r>
          </w:p>
        </w:tc>
      </w:tr>
      <w:tr w:rsidR="00EF3DFB" w14:paraId="7326CBFA" w14:textId="77777777">
        <w:trPr>
          <w:trHeight w:val="297"/>
        </w:trPr>
        <w:tc>
          <w:tcPr>
            <w:tcW w:w="6502" w:type="dxa"/>
          </w:tcPr>
          <w:p w14:paraId="7326CBF7" w14:textId="77777777" w:rsidR="00EF3DFB" w:rsidRDefault="00D27C17">
            <w:pPr>
              <w:pStyle w:val="TableParagraph"/>
              <w:spacing w:before="4"/>
              <w:ind w:left="52"/>
              <w:rPr>
                <w:sz w:val="20"/>
              </w:rPr>
            </w:pPr>
            <w:r>
              <w:rPr>
                <w:sz w:val="20"/>
              </w:rPr>
              <w:t>Unrealized gains</w:t>
            </w:r>
          </w:p>
        </w:tc>
        <w:tc>
          <w:tcPr>
            <w:tcW w:w="3768" w:type="dxa"/>
          </w:tcPr>
          <w:p w14:paraId="7326CBF8" w14:textId="77777777" w:rsidR="00EF3DFB" w:rsidRDefault="00EF3DFB">
            <w:pPr>
              <w:pStyle w:val="TableParagraph"/>
              <w:rPr>
                <w:sz w:val="18"/>
              </w:rPr>
            </w:pPr>
          </w:p>
        </w:tc>
        <w:tc>
          <w:tcPr>
            <w:tcW w:w="350" w:type="dxa"/>
          </w:tcPr>
          <w:p w14:paraId="7326CBF9" w14:textId="77777777" w:rsidR="00EF3DFB" w:rsidRDefault="00D27C17">
            <w:pPr>
              <w:pStyle w:val="TableParagraph"/>
              <w:spacing w:before="25"/>
              <w:ind w:left="86"/>
              <w:jc w:val="center"/>
              <w:rPr>
                <w:sz w:val="20"/>
              </w:rPr>
            </w:pPr>
            <w:r>
              <w:rPr>
                <w:sz w:val="20"/>
              </w:rPr>
              <w:t>1</w:t>
            </w:r>
          </w:p>
        </w:tc>
      </w:tr>
      <w:tr w:rsidR="00EF3DFB" w14:paraId="7326CBFD" w14:textId="77777777">
        <w:trPr>
          <w:trHeight w:val="292"/>
        </w:trPr>
        <w:tc>
          <w:tcPr>
            <w:tcW w:w="6502" w:type="dxa"/>
            <w:shd w:val="clear" w:color="auto" w:fill="CCEDFF"/>
          </w:tcPr>
          <w:p w14:paraId="7326CBFB" w14:textId="77777777" w:rsidR="00EF3DFB" w:rsidRDefault="00D27C17">
            <w:pPr>
              <w:pStyle w:val="TableParagraph"/>
              <w:spacing w:before="4"/>
              <w:ind w:left="52"/>
              <w:rPr>
                <w:sz w:val="20"/>
              </w:rPr>
            </w:pPr>
            <w:r>
              <w:rPr>
                <w:sz w:val="20"/>
              </w:rPr>
              <w:t>Balance December 31, 2020</w:t>
            </w:r>
          </w:p>
        </w:tc>
        <w:tc>
          <w:tcPr>
            <w:tcW w:w="4118" w:type="dxa"/>
            <w:gridSpan w:val="2"/>
            <w:shd w:val="clear" w:color="auto" w:fill="CCEDFF"/>
          </w:tcPr>
          <w:p w14:paraId="7326CBFC" w14:textId="77777777" w:rsidR="00EF3DFB" w:rsidRDefault="00D27C17">
            <w:pPr>
              <w:pStyle w:val="TableParagraph"/>
              <w:tabs>
                <w:tab w:val="left" w:pos="865"/>
              </w:tabs>
              <w:spacing w:before="25"/>
              <w:ind w:right="79"/>
              <w:jc w:val="right"/>
              <w:rPr>
                <w:sz w:val="20"/>
              </w:rPr>
            </w:pPr>
            <w:r>
              <w:rPr>
                <w:sz w:val="20"/>
                <w:u w:val="single"/>
              </w:rPr>
              <w:t>$</w:t>
            </w:r>
            <w:r>
              <w:rPr>
                <w:sz w:val="20"/>
                <w:u w:val="single"/>
              </w:rPr>
              <w:tab/>
              <w:t>10</w:t>
            </w:r>
          </w:p>
        </w:tc>
      </w:tr>
    </w:tbl>
    <w:p w14:paraId="7326CBFE" w14:textId="77777777" w:rsidR="00EF3DFB" w:rsidRDefault="00EF3DFB">
      <w:pPr>
        <w:pStyle w:val="BodyText"/>
        <w:rPr>
          <w:sz w:val="32"/>
        </w:rPr>
      </w:pPr>
    </w:p>
    <w:p w14:paraId="7326CBFF" w14:textId="77777777" w:rsidR="00EF3DFB" w:rsidRDefault="00D27C17">
      <w:pPr>
        <w:pStyle w:val="Heading2"/>
        <w:jc w:val="left"/>
      </w:pPr>
      <w:r>
        <w:t>Contributions and Estimated Future Benefit Payments</w:t>
      </w:r>
    </w:p>
    <w:p w14:paraId="7326CC00" w14:textId="77777777" w:rsidR="00EF3DFB" w:rsidRDefault="00D27C17">
      <w:pPr>
        <w:pStyle w:val="BodyText"/>
        <w:spacing w:before="134" w:line="249" w:lineRule="auto"/>
        <w:ind w:left="190"/>
      </w:pPr>
      <w:r>
        <w:t>During 2021, the Company expects to make cash contributions of approximately $16 million and $11 million to its domestic and international defined benefit plans, respectively.</w:t>
      </w:r>
    </w:p>
    <w:p w14:paraId="7326CC01" w14:textId="77777777" w:rsidR="00EF3DFB" w:rsidRDefault="00EF3DFB">
      <w:pPr>
        <w:pStyle w:val="BodyText"/>
        <w:rPr>
          <w:sz w:val="21"/>
        </w:rPr>
      </w:pPr>
    </w:p>
    <w:p w14:paraId="7326CC02" w14:textId="77777777" w:rsidR="00EF3DFB" w:rsidRDefault="00D27C17">
      <w:pPr>
        <w:pStyle w:val="BodyText"/>
        <w:spacing w:line="249" w:lineRule="auto"/>
        <w:ind w:left="190" w:right="333"/>
      </w:pPr>
      <w:r>
        <w:t>Estimated future benefit payments under the Company’s defined benefit pension p</w:t>
      </w:r>
      <w:r>
        <w:t>lans and postretirement benefit plans are as follows at December 31, 2020 (in millions):</w:t>
      </w:r>
    </w:p>
    <w:p w14:paraId="7326CC03" w14:textId="77777777" w:rsidR="00EF3DFB" w:rsidRDefault="00EF3DFB">
      <w:pPr>
        <w:pStyle w:val="BodyText"/>
        <w:spacing w:before="11"/>
        <w:rPr>
          <w:sz w:val="13"/>
        </w:rPr>
      </w:pPr>
    </w:p>
    <w:tbl>
      <w:tblPr>
        <w:tblW w:w="0" w:type="auto"/>
        <w:tblInd w:w="190" w:type="dxa"/>
        <w:tblLayout w:type="fixed"/>
        <w:tblCellMar>
          <w:left w:w="0" w:type="dxa"/>
          <w:right w:w="0" w:type="dxa"/>
        </w:tblCellMar>
        <w:tblLook w:val="01E0" w:firstRow="1" w:lastRow="1" w:firstColumn="1" w:lastColumn="1" w:noHBand="0" w:noVBand="0"/>
      </w:tblPr>
      <w:tblGrid>
        <w:gridCol w:w="3084"/>
        <w:gridCol w:w="2159"/>
        <w:gridCol w:w="1080"/>
        <w:gridCol w:w="1080"/>
        <w:gridCol w:w="1080"/>
        <w:gridCol w:w="1080"/>
        <w:gridCol w:w="1057"/>
      </w:tblGrid>
      <w:tr w:rsidR="00EF3DFB" w14:paraId="7326CC0B" w14:textId="77777777">
        <w:trPr>
          <w:trHeight w:val="219"/>
        </w:trPr>
        <w:tc>
          <w:tcPr>
            <w:tcW w:w="3084" w:type="dxa"/>
          </w:tcPr>
          <w:p w14:paraId="7326CC04" w14:textId="77777777" w:rsidR="00EF3DFB" w:rsidRDefault="00EF3DFB">
            <w:pPr>
              <w:pStyle w:val="TableParagraph"/>
              <w:rPr>
                <w:sz w:val="14"/>
              </w:rPr>
            </w:pPr>
          </w:p>
        </w:tc>
        <w:tc>
          <w:tcPr>
            <w:tcW w:w="2159" w:type="dxa"/>
            <w:tcBorders>
              <w:bottom w:val="single" w:sz="8" w:space="0" w:color="000000"/>
            </w:tcBorders>
          </w:tcPr>
          <w:p w14:paraId="7326CC05" w14:textId="77777777" w:rsidR="00EF3DFB" w:rsidRDefault="00D27C17">
            <w:pPr>
              <w:pStyle w:val="TableParagraph"/>
              <w:spacing w:line="199" w:lineRule="exact"/>
              <w:ind w:left="1107"/>
              <w:jc w:val="center"/>
              <w:rPr>
                <w:b/>
                <w:sz w:val="18"/>
              </w:rPr>
            </w:pPr>
            <w:r>
              <w:rPr>
                <w:b/>
                <w:sz w:val="18"/>
              </w:rPr>
              <w:t>2021</w:t>
            </w:r>
          </w:p>
        </w:tc>
        <w:tc>
          <w:tcPr>
            <w:tcW w:w="1080" w:type="dxa"/>
            <w:tcBorders>
              <w:bottom w:val="single" w:sz="8" w:space="0" w:color="000000"/>
            </w:tcBorders>
          </w:tcPr>
          <w:p w14:paraId="7326CC06" w14:textId="77777777" w:rsidR="00EF3DFB" w:rsidRDefault="00D27C17">
            <w:pPr>
              <w:pStyle w:val="TableParagraph"/>
              <w:spacing w:line="199" w:lineRule="exact"/>
              <w:ind w:left="354" w:right="326"/>
              <w:jc w:val="center"/>
              <w:rPr>
                <w:b/>
                <w:sz w:val="18"/>
              </w:rPr>
            </w:pPr>
            <w:r>
              <w:rPr>
                <w:b/>
                <w:sz w:val="18"/>
              </w:rPr>
              <w:t>2022</w:t>
            </w:r>
          </w:p>
        </w:tc>
        <w:tc>
          <w:tcPr>
            <w:tcW w:w="1080" w:type="dxa"/>
            <w:tcBorders>
              <w:bottom w:val="single" w:sz="8" w:space="0" w:color="000000"/>
            </w:tcBorders>
          </w:tcPr>
          <w:p w14:paraId="7326CC07" w14:textId="77777777" w:rsidR="00EF3DFB" w:rsidRDefault="00D27C17">
            <w:pPr>
              <w:pStyle w:val="TableParagraph"/>
              <w:spacing w:line="199" w:lineRule="exact"/>
              <w:ind w:left="354" w:right="326"/>
              <w:jc w:val="center"/>
              <w:rPr>
                <w:b/>
                <w:sz w:val="18"/>
              </w:rPr>
            </w:pPr>
            <w:r>
              <w:rPr>
                <w:b/>
                <w:sz w:val="18"/>
              </w:rPr>
              <w:t>2023</w:t>
            </w:r>
          </w:p>
        </w:tc>
        <w:tc>
          <w:tcPr>
            <w:tcW w:w="1080" w:type="dxa"/>
            <w:tcBorders>
              <w:bottom w:val="single" w:sz="8" w:space="0" w:color="000000"/>
            </w:tcBorders>
          </w:tcPr>
          <w:p w14:paraId="7326CC08" w14:textId="77777777" w:rsidR="00EF3DFB" w:rsidRDefault="00D27C17">
            <w:pPr>
              <w:pStyle w:val="TableParagraph"/>
              <w:spacing w:line="199" w:lineRule="exact"/>
              <w:ind w:left="354" w:right="326"/>
              <w:jc w:val="center"/>
              <w:rPr>
                <w:b/>
                <w:sz w:val="18"/>
              </w:rPr>
            </w:pPr>
            <w:r>
              <w:rPr>
                <w:b/>
                <w:sz w:val="18"/>
              </w:rPr>
              <w:t>2024</w:t>
            </w:r>
          </w:p>
        </w:tc>
        <w:tc>
          <w:tcPr>
            <w:tcW w:w="1080" w:type="dxa"/>
            <w:tcBorders>
              <w:bottom w:val="single" w:sz="8" w:space="0" w:color="000000"/>
            </w:tcBorders>
          </w:tcPr>
          <w:p w14:paraId="7326CC09" w14:textId="77777777" w:rsidR="00EF3DFB" w:rsidRDefault="00D27C17">
            <w:pPr>
              <w:pStyle w:val="TableParagraph"/>
              <w:spacing w:line="199" w:lineRule="exact"/>
              <w:ind w:left="354" w:right="326"/>
              <w:jc w:val="center"/>
              <w:rPr>
                <w:b/>
                <w:sz w:val="18"/>
              </w:rPr>
            </w:pPr>
            <w:r>
              <w:rPr>
                <w:b/>
                <w:sz w:val="18"/>
              </w:rPr>
              <w:t>2025</w:t>
            </w:r>
          </w:p>
        </w:tc>
        <w:tc>
          <w:tcPr>
            <w:tcW w:w="1057" w:type="dxa"/>
            <w:tcBorders>
              <w:bottom w:val="single" w:sz="8" w:space="0" w:color="000000"/>
            </w:tcBorders>
          </w:tcPr>
          <w:p w14:paraId="7326CC0A" w14:textId="77777777" w:rsidR="00EF3DFB" w:rsidRDefault="00D27C17">
            <w:pPr>
              <w:pStyle w:val="TableParagraph"/>
              <w:spacing w:line="199" w:lineRule="exact"/>
              <w:ind w:left="52"/>
              <w:jc w:val="center"/>
              <w:rPr>
                <w:b/>
                <w:sz w:val="18"/>
              </w:rPr>
            </w:pPr>
            <w:r>
              <w:rPr>
                <w:b/>
                <w:sz w:val="18"/>
              </w:rPr>
              <w:t>Thereafter</w:t>
            </w:r>
          </w:p>
        </w:tc>
      </w:tr>
      <w:tr w:rsidR="00EF3DFB" w14:paraId="7326CC13" w14:textId="77777777">
        <w:trPr>
          <w:trHeight w:val="275"/>
        </w:trPr>
        <w:tc>
          <w:tcPr>
            <w:tcW w:w="3084" w:type="dxa"/>
            <w:shd w:val="clear" w:color="auto" w:fill="CCEDFF"/>
          </w:tcPr>
          <w:p w14:paraId="7326CC0C" w14:textId="77777777" w:rsidR="00EF3DFB" w:rsidRDefault="00D27C17">
            <w:pPr>
              <w:pStyle w:val="TableParagraph"/>
              <w:spacing w:line="224" w:lineRule="exact"/>
              <w:ind w:left="52"/>
              <w:rPr>
                <w:sz w:val="20"/>
              </w:rPr>
            </w:pPr>
            <w:r>
              <w:rPr>
                <w:sz w:val="20"/>
              </w:rPr>
              <w:t>Pension benefits</w:t>
            </w:r>
          </w:p>
        </w:tc>
        <w:tc>
          <w:tcPr>
            <w:tcW w:w="2159" w:type="dxa"/>
            <w:tcBorders>
              <w:top w:val="single" w:sz="8" w:space="0" w:color="000000"/>
            </w:tcBorders>
            <w:shd w:val="clear" w:color="auto" w:fill="CCEDFF"/>
          </w:tcPr>
          <w:p w14:paraId="7326CC0D" w14:textId="77777777" w:rsidR="00EF3DFB" w:rsidRDefault="00D27C17">
            <w:pPr>
              <w:pStyle w:val="TableParagraph"/>
              <w:tabs>
                <w:tab w:val="left" w:pos="1649"/>
              </w:tabs>
              <w:spacing w:before="15"/>
              <w:ind w:left="1079"/>
              <w:jc w:val="center"/>
              <w:rPr>
                <w:sz w:val="20"/>
              </w:rPr>
            </w:pPr>
            <w:r>
              <w:rPr>
                <w:sz w:val="20"/>
              </w:rPr>
              <w:t>$</w:t>
            </w:r>
            <w:r>
              <w:rPr>
                <w:sz w:val="20"/>
              </w:rPr>
              <w:tab/>
              <w:t>114</w:t>
            </w:r>
          </w:p>
        </w:tc>
        <w:tc>
          <w:tcPr>
            <w:tcW w:w="1080" w:type="dxa"/>
            <w:tcBorders>
              <w:top w:val="single" w:sz="8" w:space="0" w:color="000000"/>
            </w:tcBorders>
            <w:shd w:val="clear" w:color="auto" w:fill="CCEDFF"/>
          </w:tcPr>
          <w:p w14:paraId="7326CC0E" w14:textId="77777777" w:rsidR="00EF3DFB" w:rsidRDefault="00D27C17">
            <w:pPr>
              <w:pStyle w:val="TableParagraph"/>
              <w:tabs>
                <w:tab w:val="left" w:pos="570"/>
              </w:tabs>
              <w:spacing w:before="15"/>
              <w:jc w:val="center"/>
              <w:rPr>
                <w:sz w:val="20"/>
              </w:rPr>
            </w:pPr>
            <w:r>
              <w:rPr>
                <w:sz w:val="20"/>
              </w:rPr>
              <w:t>$</w:t>
            </w:r>
            <w:r>
              <w:rPr>
                <w:sz w:val="20"/>
              </w:rPr>
              <w:tab/>
              <w:t>112</w:t>
            </w:r>
          </w:p>
        </w:tc>
        <w:tc>
          <w:tcPr>
            <w:tcW w:w="1080" w:type="dxa"/>
            <w:tcBorders>
              <w:top w:val="single" w:sz="8" w:space="0" w:color="000000"/>
            </w:tcBorders>
            <w:shd w:val="clear" w:color="auto" w:fill="CCEDFF"/>
          </w:tcPr>
          <w:p w14:paraId="7326CC0F" w14:textId="77777777" w:rsidR="00EF3DFB" w:rsidRDefault="00D27C17">
            <w:pPr>
              <w:pStyle w:val="TableParagraph"/>
              <w:tabs>
                <w:tab w:val="left" w:pos="570"/>
              </w:tabs>
              <w:spacing w:before="15"/>
              <w:jc w:val="center"/>
              <w:rPr>
                <w:sz w:val="20"/>
              </w:rPr>
            </w:pPr>
            <w:r>
              <w:rPr>
                <w:sz w:val="20"/>
              </w:rPr>
              <w:t>$</w:t>
            </w:r>
            <w:r>
              <w:rPr>
                <w:sz w:val="20"/>
              </w:rPr>
              <w:tab/>
              <w:t>112</w:t>
            </w:r>
          </w:p>
        </w:tc>
        <w:tc>
          <w:tcPr>
            <w:tcW w:w="1080" w:type="dxa"/>
            <w:tcBorders>
              <w:top w:val="single" w:sz="8" w:space="0" w:color="000000"/>
            </w:tcBorders>
            <w:shd w:val="clear" w:color="auto" w:fill="CCEDFF"/>
          </w:tcPr>
          <w:p w14:paraId="7326CC10" w14:textId="77777777" w:rsidR="00EF3DFB" w:rsidRDefault="00D27C17">
            <w:pPr>
              <w:pStyle w:val="TableParagraph"/>
              <w:tabs>
                <w:tab w:val="left" w:pos="570"/>
              </w:tabs>
              <w:spacing w:before="15"/>
              <w:jc w:val="center"/>
              <w:rPr>
                <w:sz w:val="20"/>
              </w:rPr>
            </w:pPr>
            <w:r>
              <w:rPr>
                <w:sz w:val="20"/>
              </w:rPr>
              <w:t>$</w:t>
            </w:r>
            <w:r>
              <w:rPr>
                <w:sz w:val="20"/>
              </w:rPr>
              <w:tab/>
              <w:t>110</w:t>
            </w:r>
          </w:p>
        </w:tc>
        <w:tc>
          <w:tcPr>
            <w:tcW w:w="1080" w:type="dxa"/>
            <w:tcBorders>
              <w:top w:val="single" w:sz="8" w:space="0" w:color="000000"/>
            </w:tcBorders>
            <w:shd w:val="clear" w:color="auto" w:fill="CCEDFF"/>
          </w:tcPr>
          <w:p w14:paraId="7326CC11" w14:textId="77777777" w:rsidR="00EF3DFB" w:rsidRDefault="00D27C17">
            <w:pPr>
              <w:pStyle w:val="TableParagraph"/>
              <w:tabs>
                <w:tab w:val="left" w:pos="570"/>
              </w:tabs>
              <w:spacing w:before="15"/>
              <w:jc w:val="center"/>
              <w:rPr>
                <w:sz w:val="20"/>
              </w:rPr>
            </w:pPr>
            <w:r>
              <w:rPr>
                <w:sz w:val="20"/>
              </w:rPr>
              <w:t>$</w:t>
            </w:r>
            <w:r>
              <w:rPr>
                <w:sz w:val="20"/>
              </w:rPr>
              <w:tab/>
              <w:t>109</w:t>
            </w:r>
          </w:p>
        </w:tc>
        <w:tc>
          <w:tcPr>
            <w:tcW w:w="1057" w:type="dxa"/>
            <w:tcBorders>
              <w:top w:val="single" w:sz="8" w:space="0" w:color="000000"/>
            </w:tcBorders>
            <w:shd w:val="clear" w:color="auto" w:fill="CCEDFF"/>
          </w:tcPr>
          <w:p w14:paraId="7326CC12" w14:textId="77777777" w:rsidR="00EF3DFB" w:rsidRDefault="00D27C17">
            <w:pPr>
              <w:pStyle w:val="TableParagraph"/>
              <w:tabs>
                <w:tab w:val="left" w:pos="593"/>
              </w:tabs>
              <w:spacing w:before="15"/>
              <w:ind w:left="23"/>
              <w:jc w:val="center"/>
              <w:rPr>
                <w:sz w:val="20"/>
              </w:rPr>
            </w:pPr>
            <w:r>
              <w:rPr>
                <w:sz w:val="20"/>
              </w:rPr>
              <w:t>$</w:t>
            </w:r>
            <w:r>
              <w:rPr>
                <w:sz w:val="20"/>
              </w:rPr>
              <w:tab/>
              <w:t>530</w:t>
            </w:r>
          </w:p>
        </w:tc>
      </w:tr>
      <w:tr w:rsidR="00EF3DFB" w14:paraId="7326CC1B" w14:textId="77777777">
        <w:trPr>
          <w:trHeight w:val="255"/>
        </w:trPr>
        <w:tc>
          <w:tcPr>
            <w:tcW w:w="3084" w:type="dxa"/>
          </w:tcPr>
          <w:p w14:paraId="7326CC14" w14:textId="77777777" w:rsidR="00EF3DFB" w:rsidRDefault="00D27C17">
            <w:pPr>
              <w:pStyle w:val="TableParagraph"/>
              <w:spacing w:before="4"/>
              <w:ind w:left="52"/>
              <w:rPr>
                <w:sz w:val="20"/>
              </w:rPr>
            </w:pPr>
            <w:r>
              <w:rPr>
                <w:sz w:val="20"/>
              </w:rPr>
              <w:t>Postretirement benefits</w:t>
            </w:r>
          </w:p>
        </w:tc>
        <w:tc>
          <w:tcPr>
            <w:tcW w:w="2159" w:type="dxa"/>
          </w:tcPr>
          <w:p w14:paraId="7326CC15" w14:textId="77777777" w:rsidR="00EF3DFB" w:rsidRDefault="00D27C17">
            <w:pPr>
              <w:pStyle w:val="TableParagraph"/>
              <w:tabs>
                <w:tab w:val="left" w:pos="1849"/>
              </w:tabs>
              <w:spacing w:before="25" w:line="210" w:lineRule="exact"/>
              <w:ind w:left="1079"/>
              <w:jc w:val="center"/>
              <w:rPr>
                <w:sz w:val="20"/>
              </w:rPr>
            </w:pPr>
            <w:r>
              <w:rPr>
                <w:sz w:val="20"/>
              </w:rPr>
              <w:t>$</w:t>
            </w:r>
            <w:r>
              <w:rPr>
                <w:sz w:val="20"/>
              </w:rPr>
              <w:tab/>
              <w:t>5</w:t>
            </w:r>
          </w:p>
        </w:tc>
        <w:tc>
          <w:tcPr>
            <w:tcW w:w="1080" w:type="dxa"/>
          </w:tcPr>
          <w:p w14:paraId="7326CC16" w14:textId="77777777" w:rsidR="00EF3DFB" w:rsidRDefault="00D27C17">
            <w:pPr>
              <w:pStyle w:val="TableParagraph"/>
              <w:tabs>
                <w:tab w:val="left" w:pos="770"/>
              </w:tabs>
              <w:spacing w:before="25" w:line="210" w:lineRule="exact"/>
              <w:jc w:val="center"/>
              <w:rPr>
                <w:sz w:val="20"/>
              </w:rPr>
            </w:pPr>
            <w:r>
              <w:rPr>
                <w:sz w:val="20"/>
              </w:rPr>
              <w:t>$</w:t>
            </w:r>
            <w:r>
              <w:rPr>
                <w:sz w:val="20"/>
              </w:rPr>
              <w:tab/>
              <w:t>5</w:t>
            </w:r>
          </w:p>
        </w:tc>
        <w:tc>
          <w:tcPr>
            <w:tcW w:w="1080" w:type="dxa"/>
          </w:tcPr>
          <w:p w14:paraId="7326CC17" w14:textId="77777777" w:rsidR="00EF3DFB" w:rsidRDefault="00D27C17">
            <w:pPr>
              <w:pStyle w:val="TableParagraph"/>
              <w:tabs>
                <w:tab w:val="left" w:pos="770"/>
              </w:tabs>
              <w:spacing w:before="25" w:line="210" w:lineRule="exact"/>
              <w:jc w:val="center"/>
              <w:rPr>
                <w:sz w:val="20"/>
              </w:rPr>
            </w:pPr>
            <w:r>
              <w:rPr>
                <w:sz w:val="20"/>
              </w:rPr>
              <w:t>$</w:t>
            </w:r>
            <w:r>
              <w:rPr>
                <w:sz w:val="20"/>
              </w:rPr>
              <w:tab/>
              <w:t>5</w:t>
            </w:r>
          </w:p>
        </w:tc>
        <w:tc>
          <w:tcPr>
            <w:tcW w:w="1080" w:type="dxa"/>
          </w:tcPr>
          <w:p w14:paraId="7326CC18" w14:textId="77777777" w:rsidR="00EF3DFB" w:rsidRDefault="00D27C17">
            <w:pPr>
              <w:pStyle w:val="TableParagraph"/>
              <w:tabs>
                <w:tab w:val="left" w:pos="770"/>
              </w:tabs>
              <w:spacing w:before="25" w:line="210" w:lineRule="exact"/>
              <w:jc w:val="center"/>
              <w:rPr>
                <w:sz w:val="20"/>
              </w:rPr>
            </w:pPr>
            <w:r>
              <w:rPr>
                <w:sz w:val="20"/>
              </w:rPr>
              <w:t>$</w:t>
            </w:r>
            <w:r>
              <w:rPr>
                <w:sz w:val="20"/>
              </w:rPr>
              <w:tab/>
              <w:t>5</w:t>
            </w:r>
          </w:p>
        </w:tc>
        <w:tc>
          <w:tcPr>
            <w:tcW w:w="1080" w:type="dxa"/>
          </w:tcPr>
          <w:p w14:paraId="7326CC19" w14:textId="77777777" w:rsidR="00EF3DFB" w:rsidRDefault="00D27C17">
            <w:pPr>
              <w:pStyle w:val="TableParagraph"/>
              <w:tabs>
                <w:tab w:val="left" w:pos="770"/>
              </w:tabs>
              <w:spacing w:before="25" w:line="210" w:lineRule="exact"/>
              <w:jc w:val="center"/>
              <w:rPr>
                <w:sz w:val="20"/>
              </w:rPr>
            </w:pPr>
            <w:r>
              <w:rPr>
                <w:sz w:val="20"/>
              </w:rPr>
              <w:t>$</w:t>
            </w:r>
            <w:r>
              <w:rPr>
                <w:sz w:val="20"/>
              </w:rPr>
              <w:tab/>
              <w:t>5</w:t>
            </w:r>
          </w:p>
        </w:tc>
        <w:tc>
          <w:tcPr>
            <w:tcW w:w="1057" w:type="dxa"/>
          </w:tcPr>
          <w:p w14:paraId="7326CC1A" w14:textId="77777777" w:rsidR="00EF3DFB" w:rsidRDefault="00D27C17">
            <w:pPr>
              <w:pStyle w:val="TableParagraph"/>
              <w:tabs>
                <w:tab w:val="left" w:pos="693"/>
              </w:tabs>
              <w:spacing w:before="25" w:line="210" w:lineRule="exact"/>
              <w:ind w:left="23"/>
              <w:jc w:val="center"/>
              <w:rPr>
                <w:sz w:val="20"/>
              </w:rPr>
            </w:pPr>
            <w:r>
              <w:rPr>
                <w:sz w:val="20"/>
              </w:rPr>
              <w:t>$</w:t>
            </w:r>
            <w:r>
              <w:rPr>
                <w:sz w:val="20"/>
              </w:rPr>
              <w:tab/>
              <w:t>16</w:t>
            </w:r>
          </w:p>
        </w:tc>
      </w:tr>
    </w:tbl>
    <w:p w14:paraId="7326CC1C" w14:textId="77777777" w:rsidR="00EF3DFB" w:rsidRDefault="00EF3DFB">
      <w:pPr>
        <w:spacing w:line="210" w:lineRule="exact"/>
        <w:jc w:val="center"/>
        <w:rPr>
          <w:sz w:val="20"/>
        </w:rPr>
        <w:sectPr w:rsidR="00EF3DFB">
          <w:type w:val="continuous"/>
          <w:pgSz w:w="12240" w:h="15840"/>
          <w:pgMar w:top="760" w:right="640" w:bottom="280" w:left="620" w:header="720" w:footer="720" w:gutter="0"/>
          <w:cols w:space="720"/>
        </w:sectPr>
      </w:pPr>
    </w:p>
    <w:p w14:paraId="7326CC1D" w14:textId="77777777" w:rsidR="00EF3DFB" w:rsidRDefault="00D27C17">
      <w:pPr>
        <w:pStyle w:val="Heading2"/>
        <w:spacing w:before="68"/>
      </w:pPr>
      <w:bookmarkStart w:id="60" w:name="Footnote_12_—_Income_Taxes"/>
      <w:bookmarkEnd w:id="60"/>
      <w:r>
        <w:lastRenderedPageBreak/>
        <w:t>Footnote 12 — Income Taxes</w:t>
      </w:r>
    </w:p>
    <w:p w14:paraId="7326CC1E" w14:textId="77777777" w:rsidR="00EF3DFB" w:rsidRDefault="00EF3DFB">
      <w:pPr>
        <w:pStyle w:val="BodyText"/>
        <w:rPr>
          <w:b/>
          <w:sz w:val="22"/>
        </w:rPr>
      </w:pPr>
    </w:p>
    <w:p w14:paraId="7326CC1F" w14:textId="77777777" w:rsidR="00EF3DFB" w:rsidRDefault="00D27C17">
      <w:pPr>
        <w:pStyle w:val="BodyText"/>
        <w:spacing w:before="1"/>
        <w:ind w:left="190"/>
        <w:jc w:val="both"/>
      </w:pPr>
      <w:r>
        <w:t>The components of income (loss) before income taxes for the years ended December 31, (in millions):</w:t>
      </w:r>
    </w:p>
    <w:p w14:paraId="7326CC20" w14:textId="77777777" w:rsidR="00EF3DFB" w:rsidRDefault="00EF3DFB">
      <w:pPr>
        <w:pStyle w:val="BodyText"/>
        <w:spacing w:before="1"/>
        <w:rPr>
          <w:sz w:val="13"/>
        </w:rPr>
      </w:pPr>
    </w:p>
    <w:tbl>
      <w:tblPr>
        <w:tblW w:w="0" w:type="auto"/>
        <w:tblInd w:w="190" w:type="dxa"/>
        <w:tblLayout w:type="fixed"/>
        <w:tblCellMar>
          <w:left w:w="0" w:type="dxa"/>
          <w:right w:w="0" w:type="dxa"/>
        </w:tblCellMar>
        <w:tblLook w:val="01E0" w:firstRow="1" w:lastRow="1" w:firstColumn="1" w:lastColumn="1" w:noHBand="0" w:noVBand="0"/>
      </w:tblPr>
      <w:tblGrid>
        <w:gridCol w:w="3870"/>
        <w:gridCol w:w="4255"/>
        <w:gridCol w:w="1274"/>
        <w:gridCol w:w="1218"/>
      </w:tblGrid>
      <w:tr w:rsidR="00EF3DFB" w14:paraId="7326CC25" w14:textId="77777777">
        <w:trPr>
          <w:trHeight w:val="196"/>
        </w:trPr>
        <w:tc>
          <w:tcPr>
            <w:tcW w:w="3870" w:type="dxa"/>
          </w:tcPr>
          <w:p w14:paraId="7326CC21" w14:textId="77777777" w:rsidR="00EF3DFB" w:rsidRDefault="00EF3DFB">
            <w:pPr>
              <w:pStyle w:val="TableParagraph"/>
              <w:rPr>
                <w:sz w:val="12"/>
              </w:rPr>
            </w:pPr>
          </w:p>
        </w:tc>
        <w:tc>
          <w:tcPr>
            <w:tcW w:w="4255" w:type="dxa"/>
            <w:tcBorders>
              <w:bottom w:val="single" w:sz="8" w:space="0" w:color="000000"/>
            </w:tcBorders>
          </w:tcPr>
          <w:p w14:paraId="7326CC22" w14:textId="77777777" w:rsidR="00EF3DFB" w:rsidRDefault="00D27C17">
            <w:pPr>
              <w:pStyle w:val="TableParagraph"/>
              <w:spacing w:line="177" w:lineRule="exact"/>
              <w:ind w:right="494"/>
              <w:jc w:val="right"/>
              <w:rPr>
                <w:b/>
                <w:sz w:val="16"/>
              </w:rPr>
            </w:pPr>
            <w:r>
              <w:rPr>
                <w:b/>
                <w:sz w:val="16"/>
              </w:rPr>
              <w:t>2020</w:t>
            </w:r>
          </w:p>
        </w:tc>
        <w:tc>
          <w:tcPr>
            <w:tcW w:w="1274" w:type="dxa"/>
            <w:tcBorders>
              <w:bottom w:val="single" w:sz="8" w:space="0" w:color="000000"/>
            </w:tcBorders>
          </w:tcPr>
          <w:p w14:paraId="7326CC23" w14:textId="77777777" w:rsidR="00EF3DFB" w:rsidRDefault="00D27C17">
            <w:pPr>
              <w:pStyle w:val="TableParagraph"/>
              <w:spacing w:line="177" w:lineRule="exact"/>
              <w:ind w:left="440" w:right="473"/>
              <w:jc w:val="center"/>
              <w:rPr>
                <w:b/>
                <w:sz w:val="16"/>
              </w:rPr>
            </w:pPr>
            <w:r>
              <w:rPr>
                <w:b/>
                <w:sz w:val="16"/>
              </w:rPr>
              <w:t>2019</w:t>
            </w:r>
          </w:p>
        </w:tc>
        <w:tc>
          <w:tcPr>
            <w:tcW w:w="1218" w:type="dxa"/>
            <w:tcBorders>
              <w:bottom w:val="single" w:sz="8" w:space="0" w:color="000000"/>
            </w:tcBorders>
          </w:tcPr>
          <w:p w14:paraId="7326CC24" w14:textId="77777777" w:rsidR="00EF3DFB" w:rsidRDefault="00D27C17">
            <w:pPr>
              <w:pStyle w:val="TableParagraph"/>
              <w:spacing w:line="177" w:lineRule="exact"/>
              <w:ind w:left="439" w:right="415"/>
              <w:jc w:val="center"/>
              <w:rPr>
                <w:b/>
                <w:sz w:val="16"/>
              </w:rPr>
            </w:pPr>
            <w:r>
              <w:rPr>
                <w:b/>
                <w:sz w:val="16"/>
              </w:rPr>
              <w:t>2018</w:t>
            </w:r>
          </w:p>
        </w:tc>
      </w:tr>
      <w:tr w:rsidR="00EF3DFB" w14:paraId="7326CC2A" w14:textId="77777777">
        <w:trPr>
          <w:trHeight w:val="290"/>
        </w:trPr>
        <w:tc>
          <w:tcPr>
            <w:tcW w:w="3870" w:type="dxa"/>
            <w:shd w:val="clear" w:color="auto" w:fill="CCEDFF"/>
          </w:tcPr>
          <w:p w14:paraId="7326CC26" w14:textId="77777777" w:rsidR="00EF3DFB" w:rsidRDefault="00D27C17">
            <w:pPr>
              <w:pStyle w:val="TableParagraph"/>
              <w:spacing w:before="30"/>
              <w:ind w:left="52"/>
              <w:rPr>
                <w:sz w:val="20"/>
              </w:rPr>
            </w:pPr>
            <w:r>
              <w:rPr>
                <w:sz w:val="20"/>
              </w:rPr>
              <w:t>Domestic</w:t>
            </w:r>
          </w:p>
        </w:tc>
        <w:tc>
          <w:tcPr>
            <w:tcW w:w="4255" w:type="dxa"/>
            <w:tcBorders>
              <w:top w:val="single" w:sz="8" w:space="0" w:color="000000"/>
            </w:tcBorders>
            <w:shd w:val="clear" w:color="auto" w:fill="CCEDFF"/>
          </w:tcPr>
          <w:p w14:paraId="7326CC27" w14:textId="77777777" w:rsidR="00EF3DFB" w:rsidRDefault="00D27C17">
            <w:pPr>
              <w:pStyle w:val="TableParagraph"/>
              <w:tabs>
                <w:tab w:val="left" w:pos="699"/>
              </w:tabs>
              <w:spacing w:before="30"/>
              <w:ind w:right="69"/>
              <w:jc w:val="right"/>
              <w:rPr>
                <w:sz w:val="20"/>
              </w:rPr>
            </w:pPr>
            <w:r>
              <w:rPr>
                <w:sz w:val="20"/>
              </w:rPr>
              <w:t>$</w:t>
            </w:r>
            <w:r>
              <w:rPr>
                <w:sz w:val="20"/>
              </w:rPr>
              <w:tab/>
              <w:t>(928)</w:t>
            </w:r>
          </w:p>
        </w:tc>
        <w:tc>
          <w:tcPr>
            <w:tcW w:w="1274" w:type="dxa"/>
            <w:tcBorders>
              <w:top w:val="single" w:sz="8" w:space="0" w:color="000000"/>
            </w:tcBorders>
            <w:shd w:val="clear" w:color="auto" w:fill="CCEDFF"/>
          </w:tcPr>
          <w:p w14:paraId="7326CC28" w14:textId="77777777" w:rsidR="00EF3DFB" w:rsidRDefault="00D27C17">
            <w:pPr>
              <w:pStyle w:val="TableParagraph"/>
              <w:tabs>
                <w:tab w:val="left" w:pos="549"/>
              </w:tabs>
              <w:spacing w:before="30"/>
              <w:ind w:right="68"/>
              <w:jc w:val="right"/>
              <w:rPr>
                <w:sz w:val="20"/>
              </w:rPr>
            </w:pPr>
            <w:r>
              <w:rPr>
                <w:sz w:val="20"/>
              </w:rPr>
              <w:t>$</w:t>
            </w:r>
            <w:r>
              <w:rPr>
                <w:sz w:val="20"/>
              </w:rPr>
              <w:tab/>
            </w:r>
            <w:r>
              <w:rPr>
                <w:spacing w:val="-1"/>
                <w:sz w:val="20"/>
              </w:rPr>
              <w:t>(1,249)</w:t>
            </w:r>
          </w:p>
        </w:tc>
        <w:tc>
          <w:tcPr>
            <w:tcW w:w="1218" w:type="dxa"/>
            <w:tcBorders>
              <w:top w:val="single" w:sz="8" w:space="0" w:color="000000"/>
            </w:tcBorders>
            <w:shd w:val="clear" w:color="auto" w:fill="CCEDFF"/>
          </w:tcPr>
          <w:p w14:paraId="7326CC29" w14:textId="77777777" w:rsidR="00EF3DFB" w:rsidRDefault="00D27C17">
            <w:pPr>
              <w:pStyle w:val="TableParagraph"/>
              <w:tabs>
                <w:tab w:val="left" w:pos="549"/>
              </w:tabs>
              <w:spacing w:before="30"/>
              <w:ind w:right="11"/>
              <w:jc w:val="right"/>
              <w:rPr>
                <w:sz w:val="20"/>
              </w:rPr>
            </w:pPr>
            <w:r>
              <w:rPr>
                <w:sz w:val="20"/>
              </w:rPr>
              <w:t>$</w:t>
            </w:r>
            <w:r>
              <w:rPr>
                <w:sz w:val="20"/>
              </w:rPr>
              <w:tab/>
            </w:r>
            <w:r>
              <w:rPr>
                <w:spacing w:val="-1"/>
                <w:sz w:val="20"/>
              </w:rPr>
              <w:t>(8,099)</w:t>
            </w:r>
          </w:p>
        </w:tc>
      </w:tr>
      <w:tr w:rsidR="00EF3DFB" w14:paraId="7326CC2F" w14:textId="77777777">
        <w:trPr>
          <w:trHeight w:val="290"/>
        </w:trPr>
        <w:tc>
          <w:tcPr>
            <w:tcW w:w="3870" w:type="dxa"/>
          </w:tcPr>
          <w:p w14:paraId="7326CC2B" w14:textId="77777777" w:rsidR="00EF3DFB" w:rsidRDefault="00D27C17">
            <w:pPr>
              <w:pStyle w:val="TableParagraph"/>
              <w:spacing w:before="40" w:line="230" w:lineRule="exact"/>
              <w:ind w:left="52"/>
              <w:rPr>
                <w:sz w:val="20"/>
              </w:rPr>
            </w:pPr>
            <w:r>
              <w:rPr>
                <w:sz w:val="20"/>
              </w:rPr>
              <w:t>Foreign</w:t>
            </w:r>
          </w:p>
        </w:tc>
        <w:tc>
          <w:tcPr>
            <w:tcW w:w="4255" w:type="dxa"/>
            <w:tcBorders>
              <w:bottom w:val="single" w:sz="8" w:space="0" w:color="000000"/>
            </w:tcBorders>
          </w:tcPr>
          <w:p w14:paraId="7326CC2C" w14:textId="77777777" w:rsidR="00EF3DFB" w:rsidRDefault="00D27C17">
            <w:pPr>
              <w:pStyle w:val="TableParagraph"/>
              <w:spacing w:before="40" w:line="230" w:lineRule="exact"/>
              <w:ind w:right="69"/>
              <w:jc w:val="right"/>
              <w:rPr>
                <w:sz w:val="20"/>
              </w:rPr>
            </w:pPr>
            <w:r>
              <w:rPr>
                <w:sz w:val="20"/>
              </w:rPr>
              <w:t>(78)</w:t>
            </w:r>
          </w:p>
        </w:tc>
        <w:tc>
          <w:tcPr>
            <w:tcW w:w="1274" w:type="dxa"/>
            <w:tcBorders>
              <w:bottom w:val="single" w:sz="8" w:space="0" w:color="000000"/>
            </w:tcBorders>
          </w:tcPr>
          <w:p w14:paraId="7326CC2D" w14:textId="77777777" w:rsidR="00EF3DFB" w:rsidRDefault="00D27C17">
            <w:pPr>
              <w:pStyle w:val="TableParagraph"/>
              <w:spacing w:before="40" w:line="230" w:lineRule="exact"/>
              <w:ind w:right="133"/>
              <w:jc w:val="right"/>
              <w:rPr>
                <w:sz w:val="20"/>
              </w:rPr>
            </w:pPr>
            <w:r>
              <w:rPr>
                <w:sz w:val="20"/>
              </w:rPr>
              <w:t>397</w:t>
            </w:r>
          </w:p>
        </w:tc>
        <w:tc>
          <w:tcPr>
            <w:tcW w:w="1218" w:type="dxa"/>
            <w:tcBorders>
              <w:bottom w:val="single" w:sz="8" w:space="0" w:color="000000"/>
            </w:tcBorders>
          </w:tcPr>
          <w:p w14:paraId="7326CC2E" w14:textId="77777777" w:rsidR="00EF3DFB" w:rsidRDefault="00D27C17">
            <w:pPr>
              <w:pStyle w:val="TableParagraph"/>
              <w:spacing w:before="40" w:line="230" w:lineRule="exact"/>
              <w:ind w:right="76"/>
              <w:jc w:val="right"/>
              <w:rPr>
                <w:sz w:val="20"/>
              </w:rPr>
            </w:pPr>
            <w:r>
              <w:rPr>
                <w:sz w:val="20"/>
              </w:rPr>
              <w:t>107</w:t>
            </w:r>
          </w:p>
        </w:tc>
      </w:tr>
      <w:tr w:rsidR="00EF3DFB" w14:paraId="7326CC34" w14:textId="77777777">
        <w:trPr>
          <w:trHeight w:val="300"/>
        </w:trPr>
        <w:tc>
          <w:tcPr>
            <w:tcW w:w="3870" w:type="dxa"/>
            <w:shd w:val="clear" w:color="auto" w:fill="CCEDFF"/>
          </w:tcPr>
          <w:p w14:paraId="7326CC30" w14:textId="77777777" w:rsidR="00EF3DFB" w:rsidRDefault="00D27C17">
            <w:pPr>
              <w:pStyle w:val="TableParagraph"/>
              <w:spacing w:before="30"/>
              <w:ind w:left="52"/>
              <w:rPr>
                <w:sz w:val="20"/>
              </w:rPr>
            </w:pPr>
            <w:r>
              <w:rPr>
                <w:sz w:val="20"/>
              </w:rPr>
              <w:t>Total</w:t>
            </w:r>
          </w:p>
        </w:tc>
        <w:tc>
          <w:tcPr>
            <w:tcW w:w="4255" w:type="dxa"/>
            <w:tcBorders>
              <w:top w:val="single" w:sz="8" w:space="0" w:color="000000"/>
              <w:bottom w:val="single" w:sz="8" w:space="0" w:color="000000"/>
            </w:tcBorders>
            <w:shd w:val="clear" w:color="auto" w:fill="CCEDFF"/>
          </w:tcPr>
          <w:p w14:paraId="7326CC31" w14:textId="77777777" w:rsidR="00EF3DFB" w:rsidRDefault="00D27C17">
            <w:pPr>
              <w:pStyle w:val="TableParagraph"/>
              <w:tabs>
                <w:tab w:val="left" w:pos="549"/>
              </w:tabs>
              <w:spacing w:before="30"/>
              <w:ind w:right="69"/>
              <w:jc w:val="right"/>
              <w:rPr>
                <w:sz w:val="20"/>
              </w:rPr>
            </w:pPr>
            <w:r>
              <w:rPr>
                <w:sz w:val="20"/>
                <w:u w:val="single"/>
              </w:rPr>
              <w:t>$</w:t>
            </w:r>
            <w:r>
              <w:rPr>
                <w:sz w:val="20"/>
                <w:u w:val="single"/>
              </w:rPr>
              <w:tab/>
              <w:t>(1,006)</w:t>
            </w:r>
          </w:p>
        </w:tc>
        <w:tc>
          <w:tcPr>
            <w:tcW w:w="1274" w:type="dxa"/>
            <w:tcBorders>
              <w:top w:val="single" w:sz="8" w:space="0" w:color="000000"/>
              <w:bottom w:val="single" w:sz="8" w:space="0" w:color="000000"/>
            </w:tcBorders>
            <w:shd w:val="clear" w:color="auto" w:fill="CCEDFF"/>
          </w:tcPr>
          <w:p w14:paraId="7326CC32" w14:textId="77777777" w:rsidR="00EF3DFB" w:rsidRDefault="00D27C17">
            <w:pPr>
              <w:pStyle w:val="TableParagraph"/>
              <w:tabs>
                <w:tab w:val="left" w:pos="699"/>
              </w:tabs>
              <w:spacing w:before="30"/>
              <w:ind w:right="68"/>
              <w:jc w:val="right"/>
              <w:rPr>
                <w:sz w:val="20"/>
              </w:rPr>
            </w:pPr>
            <w:r>
              <w:rPr>
                <w:sz w:val="20"/>
                <w:u w:val="single"/>
              </w:rPr>
              <w:t>$</w:t>
            </w:r>
            <w:r>
              <w:rPr>
                <w:sz w:val="20"/>
                <w:u w:val="single"/>
              </w:rPr>
              <w:tab/>
              <w:t>(852)</w:t>
            </w:r>
          </w:p>
        </w:tc>
        <w:tc>
          <w:tcPr>
            <w:tcW w:w="1218" w:type="dxa"/>
            <w:tcBorders>
              <w:top w:val="single" w:sz="8" w:space="0" w:color="000000"/>
              <w:bottom w:val="single" w:sz="8" w:space="0" w:color="000000"/>
            </w:tcBorders>
            <w:shd w:val="clear" w:color="auto" w:fill="CCEDFF"/>
          </w:tcPr>
          <w:p w14:paraId="7326CC33" w14:textId="77777777" w:rsidR="00EF3DFB" w:rsidRDefault="00D27C17">
            <w:pPr>
              <w:pStyle w:val="TableParagraph"/>
              <w:tabs>
                <w:tab w:val="left" w:pos="549"/>
              </w:tabs>
              <w:spacing w:before="30"/>
              <w:ind w:right="11"/>
              <w:jc w:val="right"/>
              <w:rPr>
                <w:sz w:val="20"/>
              </w:rPr>
            </w:pPr>
            <w:r>
              <w:rPr>
                <w:sz w:val="20"/>
                <w:u w:val="single"/>
              </w:rPr>
              <w:t>$</w:t>
            </w:r>
            <w:r>
              <w:rPr>
                <w:sz w:val="20"/>
                <w:u w:val="single"/>
              </w:rPr>
              <w:tab/>
            </w:r>
            <w:r>
              <w:rPr>
                <w:spacing w:val="-1"/>
                <w:sz w:val="20"/>
                <w:u w:val="single"/>
              </w:rPr>
              <w:t>(7,992)</w:t>
            </w:r>
          </w:p>
        </w:tc>
      </w:tr>
    </w:tbl>
    <w:p w14:paraId="7326CC35" w14:textId="77777777" w:rsidR="00EF3DFB" w:rsidRDefault="00EF3DFB">
      <w:pPr>
        <w:pStyle w:val="BodyText"/>
        <w:spacing w:before="10"/>
        <w:rPr>
          <w:sz w:val="21"/>
        </w:rPr>
      </w:pPr>
    </w:p>
    <w:p w14:paraId="7326CC36" w14:textId="77777777" w:rsidR="00EF3DFB" w:rsidRDefault="00D27C17">
      <w:pPr>
        <w:pStyle w:val="BodyText"/>
        <w:ind w:left="190"/>
        <w:jc w:val="both"/>
      </w:pPr>
      <w:r>
        <w:t>The provision for income taxes consists of the following for the years ended December 31, (in millions):</w:t>
      </w:r>
    </w:p>
    <w:p w14:paraId="7326CC37" w14:textId="77777777" w:rsidR="00EF3DFB" w:rsidRDefault="00D27C17">
      <w:pPr>
        <w:tabs>
          <w:tab w:val="left" w:pos="1274"/>
          <w:tab w:val="left" w:pos="2549"/>
        </w:tabs>
        <w:spacing w:before="84" w:after="31"/>
        <w:ind w:right="609"/>
        <w:jc w:val="right"/>
        <w:rPr>
          <w:b/>
          <w:sz w:val="16"/>
        </w:rPr>
      </w:pPr>
      <w:r>
        <w:rPr>
          <w:b/>
          <w:sz w:val="16"/>
        </w:rPr>
        <w:t>2020</w:t>
      </w:r>
      <w:r>
        <w:rPr>
          <w:b/>
          <w:sz w:val="16"/>
        </w:rPr>
        <w:tab/>
        <w:t>2019</w:t>
      </w:r>
      <w:r>
        <w:rPr>
          <w:b/>
          <w:sz w:val="16"/>
        </w:rPr>
        <w:tab/>
        <w:t>2018</w:t>
      </w:r>
    </w:p>
    <w:tbl>
      <w:tblPr>
        <w:tblW w:w="0" w:type="auto"/>
        <w:tblInd w:w="180" w:type="dxa"/>
        <w:tblLayout w:type="fixed"/>
        <w:tblCellMar>
          <w:left w:w="0" w:type="dxa"/>
          <w:right w:w="0" w:type="dxa"/>
        </w:tblCellMar>
        <w:tblLook w:val="01E0" w:firstRow="1" w:lastRow="1" w:firstColumn="1" w:lastColumn="1" w:noHBand="0" w:noVBand="0"/>
      </w:tblPr>
      <w:tblGrid>
        <w:gridCol w:w="5602"/>
        <w:gridCol w:w="2524"/>
        <w:gridCol w:w="1275"/>
        <w:gridCol w:w="1219"/>
      </w:tblGrid>
      <w:tr w:rsidR="00EF3DFB" w14:paraId="7326CC39" w14:textId="77777777">
        <w:trPr>
          <w:trHeight w:val="318"/>
        </w:trPr>
        <w:tc>
          <w:tcPr>
            <w:tcW w:w="10620" w:type="dxa"/>
            <w:gridSpan w:val="4"/>
            <w:shd w:val="clear" w:color="auto" w:fill="CCEDFF"/>
          </w:tcPr>
          <w:p w14:paraId="7326CC38" w14:textId="77777777" w:rsidR="00EF3DFB" w:rsidRDefault="00D27C17">
            <w:pPr>
              <w:pStyle w:val="TableParagraph"/>
              <w:spacing w:before="25"/>
              <w:ind w:left="62"/>
              <w:rPr>
                <w:sz w:val="20"/>
              </w:rPr>
            </w:pPr>
            <w:r>
              <w:rPr>
                <w:sz w:val="20"/>
              </w:rPr>
              <w:t>Current:</w:t>
            </w:r>
          </w:p>
        </w:tc>
      </w:tr>
      <w:tr w:rsidR="00EF3DFB" w14:paraId="7326CC3E" w14:textId="77777777">
        <w:trPr>
          <w:trHeight w:val="251"/>
        </w:trPr>
        <w:tc>
          <w:tcPr>
            <w:tcW w:w="5602" w:type="dxa"/>
          </w:tcPr>
          <w:p w14:paraId="7326CC3A" w14:textId="77777777" w:rsidR="00EF3DFB" w:rsidRDefault="00D27C17">
            <w:pPr>
              <w:pStyle w:val="TableParagraph"/>
              <w:spacing w:line="221" w:lineRule="exact"/>
              <w:ind w:left="422"/>
              <w:rPr>
                <w:sz w:val="20"/>
              </w:rPr>
            </w:pPr>
            <w:r>
              <w:rPr>
                <w:sz w:val="20"/>
              </w:rPr>
              <w:t>Federal</w:t>
            </w:r>
          </w:p>
        </w:tc>
        <w:tc>
          <w:tcPr>
            <w:tcW w:w="2524" w:type="dxa"/>
          </w:tcPr>
          <w:p w14:paraId="7326CC3B" w14:textId="77777777" w:rsidR="00EF3DFB" w:rsidRDefault="00D27C17">
            <w:pPr>
              <w:pStyle w:val="TableParagraph"/>
              <w:tabs>
                <w:tab w:val="left" w:pos="799"/>
              </w:tabs>
              <w:spacing w:line="221" w:lineRule="exact"/>
              <w:ind w:right="60"/>
              <w:jc w:val="right"/>
              <w:rPr>
                <w:sz w:val="20"/>
              </w:rPr>
            </w:pPr>
            <w:r>
              <w:rPr>
                <w:sz w:val="20"/>
              </w:rPr>
              <w:t>$</w:t>
            </w:r>
            <w:r>
              <w:rPr>
                <w:sz w:val="20"/>
              </w:rPr>
              <w:tab/>
              <w:t>(50)</w:t>
            </w:r>
          </w:p>
        </w:tc>
        <w:tc>
          <w:tcPr>
            <w:tcW w:w="1275" w:type="dxa"/>
          </w:tcPr>
          <w:p w14:paraId="7326CC3C" w14:textId="77777777" w:rsidR="00EF3DFB" w:rsidRDefault="00D27C17">
            <w:pPr>
              <w:pStyle w:val="TableParagraph"/>
              <w:tabs>
                <w:tab w:val="left" w:pos="1047"/>
              </w:tabs>
              <w:spacing w:line="221" w:lineRule="exact"/>
              <w:ind w:left="81"/>
              <w:rPr>
                <w:sz w:val="20"/>
              </w:rPr>
            </w:pPr>
            <w:r>
              <w:rPr>
                <w:sz w:val="20"/>
              </w:rPr>
              <w:t>$</w:t>
            </w:r>
            <w:r>
              <w:rPr>
                <w:sz w:val="20"/>
              </w:rPr>
              <w:tab/>
              <w:t>8</w:t>
            </w:r>
          </w:p>
        </w:tc>
        <w:tc>
          <w:tcPr>
            <w:tcW w:w="1219" w:type="dxa"/>
          </w:tcPr>
          <w:p w14:paraId="7326CC3D" w14:textId="77777777" w:rsidR="00EF3DFB" w:rsidRDefault="00D27C17">
            <w:pPr>
              <w:pStyle w:val="TableParagraph"/>
              <w:tabs>
                <w:tab w:val="left" w:pos="847"/>
              </w:tabs>
              <w:spacing w:line="221" w:lineRule="exact"/>
              <w:ind w:left="81"/>
              <w:rPr>
                <w:sz w:val="20"/>
              </w:rPr>
            </w:pPr>
            <w:r>
              <w:rPr>
                <w:sz w:val="20"/>
              </w:rPr>
              <w:t>$</w:t>
            </w:r>
            <w:r>
              <w:rPr>
                <w:sz w:val="20"/>
              </w:rPr>
              <w:tab/>
              <w:t>121</w:t>
            </w:r>
          </w:p>
        </w:tc>
      </w:tr>
      <w:tr w:rsidR="00EF3DFB" w14:paraId="7326CC43" w14:textId="77777777">
        <w:trPr>
          <w:trHeight w:val="285"/>
        </w:trPr>
        <w:tc>
          <w:tcPr>
            <w:tcW w:w="5602" w:type="dxa"/>
            <w:shd w:val="clear" w:color="auto" w:fill="CCEDFF"/>
          </w:tcPr>
          <w:p w14:paraId="7326CC3F" w14:textId="77777777" w:rsidR="00EF3DFB" w:rsidRDefault="00D27C17">
            <w:pPr>
              <w:pStyle w:val="TableParagraph"/>
              <w:spacing w:before="25"/>
              <w:ind w:left="422"/>
              <w:rPr>
                <w:sz w:val="20"/>
              </w:rPr>
            </w:pPr>
            <w:r>
              <w:rPr>
                <w:sz w:val="20"/>
              </w:rPr>
              <w:t>State</w:t>
            </w:r>
          </w:p>
        </w:tc>
        <w:tc>
          <w:tcPr>
            <w:tcW w:w="2524" w:type="dxa"/>
            <w:shd w:val="clear" w:color="auto" w:fill="CCEDFF"/>
          </w:tcPr>
          <w:p w14:paraId="7326CC40" w14:textId="77777777" w:rsidR="00EF3DFB" w:rsidRDefault="00D27C17">
            <w:pPr>
              <w:pStyle w:val="TableParagraph"/>
              <w:spacing w:before="25"/>
              <w:ind w:right="125"/>
              <w:jc w:val="right"/>
              <w:rPr>
                <w:sz w:val="20"/>
              </w:rPr>
            </w:pPr>
            <w:r>
              <w:rPr>
                <w:sz w:val="20"/>
              </w:rPr>
              <w:t>1</w:t>
            </w:r>
          </w:p>
        </w:tc>
        <w:tc>
          <w:tcPr>
            <w:tcW w:w="1275" w:type="dxa"/>
            <w:shd w:val="clear" w:color="auto" w:fill="CCEDFF"/>
          </w:tcPr>
          <w:p w14:paraId="7326CC41" w14:textId="77777777" w:rsidR="00EF3DFB" w:rsidRDefault="00D27C17">
            <w:pPr>
              <w:pStyle w:val="TableParagraph"/>
              <w:spacing w:before="25"/>
              <w:ind w:right="125"/>
              <w:jc w:val="right"/>
              <w:rPr>
                <w:sz w:val="20"/>
              </w:rPr>
            </w:pPr>
            <w:r>
              <w:rPr>
                <w:sz w:val="20"/>
              </w:rPr>
              <w:t>11</w:t>
            </w:r>
          </w:p>
        </w:tc>
        <w:tc>
          <w:tcPr>
            <w:tcW w:w="1219" w:type="dxa"/>
            <w:shd w:val="clear" w:color="auto" w:fill="CCEDFF"/>
          </w:tcPr>
          <w:p w14:paraId="7326CC42" w14:textId="77777777" w:rsidR="00EF3DFB" w:rsidRDefault="00D27C17">
            <w:pPr>
              <w:pStyle w:val="TableParagraph"/>
              <w:spacing w:before="25"/>
              <w:ind w:right="69"/>
              <w:jc w:val="right"/>
              <w:rPr>
                <w:sz w:val="20"/>
              </w:rPr>
            </w:pPr>
            <w:r>
              <w:rPr>
                <w:sz w:val="20"/>
              </w:rPr>
              <w:t>31</w:t>
            </w:r>
          </w:p>
        </w:tc>
      </w:tr>
      <w:tr w:rsidR="00EF3DFB" w14:paraId="7326CC48" w14:textId="77777777">
        <w:trPr>
          <w:trHeight w:val="275"/>
        </w:trPr>
        <w:tc>
          <w:tcPr>
            <w:tcW w:w="5602" w:type="dxa"/>
          </w:tcPr>
          <w:p w14:paraId="7326CC44" w14:textId="77777777" w:rsidR="00EF3DFB" w:rsidRDefault="00D27C17">
            <w:pPr>
              <w:pStyle w:val="TableParagraph"/>
              <w:spacing w:before="25" w:line="230" w:lineRule="exact"/>
              <w:ind w:left="422"/>
              <w:rPr>
                <w:sz w:val="20"/>
              </w:rPr>
            </w:pPr>
            <w:r>
              <w:rPr>
                <w:sz w:val="20"/>
              </w:rPr>
              <w:t>Foreign</w:t>
            </w:r>
          </w:p>
        </w:tc>
        <w:tc>
          <w:tcPr>
            <w:tcW w:w="2524" w:type="dxa"/>
            <w:tcBorders>
              <w:bottom w:val="single" w:sz="8" w:space="0" w:color="000000"/>
            </w:tcBorders>
          </w:tcPr>
          <w:p w14:paraId="7326CC45" w14:textId="77777777" w:rsidR="00EF3DFB" w:rsidRDefault="00D27C17">
            <w:pPr>
              <w:pStyle w:val="TableParagraph"/>
              <w:spacing w:before="25" w:line="230" w:lineRule="exact"/>
              <w:ind w:right="125"/>
              <w:jc w:val="right"/>
              <w:rPr>
                <w:sz w:val="20"/>
              </w:rPr>
            </w:pPr>
            <w:r>
              <w:rPr>
                <w:sz w:val="20"/>
              </w:rPr>
              <w:t>74</w:t>
            </w:r>
          </w:p>
        </w:tc>
        <w:tc>
          <w:tcPr>
            <w:tcW w:w="1275" w:type="dxa"/>
            <w:tcBorders>
              <w:bottom w:val="single" w:sz="8" w:space="0" w:color="000000"/>
            </w:tcBorders>
          </w:tcPr>
          <w:p w14:paraId="7326CC46" w14:textId="77777777" w:rsidR="00EF3DFB" w:rsidRDefault="00D27C17">
            <w:pPr>
              <w:pStyle w:val="TableParagraph"/>
              <w:spacing w:before="25" w:line="230" w:lineRule="exact"/>
              <w:ind w:right="125"/>
              <w:jc w:val="right"/>
              <w:rPr>
                <w:sz w:val="20"/>
              </w:rPr>
            </w:pPr>
            <w:r>
              <w:rPr>
                <w:sz w:val="20"/>
              </w:rPr>
              <w:t>42</w:t>
            </w:r>
          </w:p>
        </w:tc>
        <w:tc>
          <w:tcPr>
            <w:tcW w:w="1219" w:type="dxa"/>
            <w:tcBorders>
              <w:bottom w:val="single" w:sz="8" w:space="0" w:color="000000"/>
            </w:tcBorders>
          </w:tcPr>
          <w:p w14:paraId="7326CC47" w14:textId="77777777" w:rsidR="00EF3DFB" w:rsidRDefault="00D27C17">
            <w:pPr>
              <w:pStyle w:val="TableParagraph"/>
              <w:spacing w:before="25" w:line="230" w:lineRule="exact"/>
              <w:ind w:right="69"/>
              <w:jc w:val="right"/>
              <w:rPr>
                <w:sz w:val="20"/>
              </w:rPr>
            </w:pPr>
            <w:r>
              <w:rPr>
                <w:sz w:val="20"/>
              </w:rPr>
              <w:t>204</w:t>
            </w:r>
          </w:p>
        </w:tc>
      </w:tr>
      <w:tr w:rsidR="00EF3DFB" w14:paraId="7326CC4D" w14:textId="77777777">
        <w:trPr>
          <w:trHeight w:val="275"/>
        </w:trPr>
        <w:tc>
          <w:tcPr>
            <w:tcW w:w="5602" w:type="dxa"/>
            <w:shd w:val="clear" w:color="auto" w:fill="CCEDFF"/>
          </w:tcPr>
          <w:p w14:paraId="7326CC49" w14:textId="77777777" w:rsidR="00EF3DFB" w:rsidRDefault="00D27C17">
            <w:pPr>
              <w:pStyle w:val="TableParagraph"/>
              <w:spacing w:before="15"/>
              <w:ind w:left="62"/>
              <w:rPr>
                <w:sz w:val="20"/>
              </w:rPr>
            </w:pPr>
            <w:r>
              <w:rPr>
                <w:sz w:val="20"/>
              </w:rPr>
              <w:t>Total current</w:t>
            </w:r>
          </w:p>
        </w:tc>
        <w:tc>
          <w:tcPr>
            <w:tcW w:w="2524" w:type="dxa"/>
            <w:tcBorders>
              <w:top w:val="single" w:sz="8" w:space="0" w:color="000000"/>
            </w:tcBorders>
            <w:shd w:val="clear" w:color="auto" w:fill="CCEDFF"/>
          </w:tcPr>
          <w:p w14:paraId="7326CC4A" w14:textId="77777777" w:rsidR="00EF3DFB" w:rsidRDefault="00D27C17">
            <w:pPr>
              <w:pStyle w:val="TableParagraph"/>
              <w:spacing w:before="15"/>
              <w:ind w:right="125"/>
              <w:jc w:val="right"/>
              <w:rPr>
                <w:sz w:val="20"/>
              </w:rPr>
            </w:pPr>
            <w:r>
              <w:rPr>
                <w:sz w:val="20"/>
              </w:rPr>
              <w:t>25</w:t>
            </w:r>
          </w:p>
        </w:tc>
        <w:tc>
          <w:tcPr>
            <w:tcW w:w="1275" w:type="dxa"/>
            <w:tcBorders>
              <w:top w:val="single" w:sz="8" w:space="0" w:color="000000"/>
            </w:tcBorders>
            <w:shd w:val="clear" w:color="auto" w:fill="CCEDFF"/>
          </w:tcPr>
          <w:p w14:paraId="7326CC4B" w14:textId="77777777" w:rsidR="00EF3DFB" w:rsidRDefault="00D27C17">
            <w:pPr>
              <w:pStyle w:val="TableParagraph"/>
              <w:spacing w:before="15"/>
              <w:ind w:right="125"/>
              <w:jc w:val="right"/>
              <w:rPr>
                <w:sz w:val="20"/>
              </w:rPr>
            </w:pPr>
            <w:r>
              <w:rPr>
                <w:sz w:val="20"/>
              </w:rPr>
              <w:t>61</w:t>
            </w:r>
          </w:p>
        </w:tc>
        <w:tc>
          <w:tcPr>
            <w:tcW w:w="1219" w:type="dxa"/>
            <w:tcBorders>
              <w:top w:val="single" w:sz="8" w:space="0" w:color="000000"/>
            </w:tcBorders>
            <w:shd w:val="clear" w:color="auto" w:fill="CCEDFF"/>
          </w:tcPr>
          <w:p w14:paraId="7326CC4C" w14:textId="77777777" w:rsidR="00EF3DFB" w:rsidRDefault="00D27C17">
            <w:pPr>
              <w:pStyle w:val="TableParagraph"/>
              <w:spacing w:before="15"/>
              <w:ind w:right="69"/>
              <w:jc w:val="right"/>
              <w:rPr>
                <w:sz w:val="20"/>
              </w:rPr>
            </w:pPr>
            <w:r>
              <w:rPr>
                <w:sz w:val="20"/>
              </w:rPr>
              <w:t>356</w:t>
            </w:r>
          </w:p>
        </w:tc>
      </w:tr>
      <w:tr w:rsidR="00EF3DFB" w14:paraId="7326CC52" w14:textId="77777777">
        <w:trPr>
          <w:trHeight w:val="285"/>
        </w:trPr>
        <w:tc>
          <w:tcPr>
            <w:tcW w:w="5602" w:type="dxa"/>
          </w:tcPr>
          <w:p w14:paraId="7326CC4E" w14:textId="77777777" w:rsidR="00EF3DFB" w:rsidRDefault="00D27C17">
            <w:pPr>
              <w:pStyle w:val="TableParagraph"/>
              <w:spacing w:before="25"/>
              <w:ind w:left="62"/>
              <w:rPr>
                <w:sz w:val="20"/>
              </w:rPr>
            </w:pPr>
            <w:r>
              <w:rPr>
                <w:sz w:val="20"/>
              </w:rPr>
              <w:t>Deferred:</w:t>
            </w:r>
          </w:p>
        </w:tc>
        <w:tc>
          <w:tcPr>
            <w:tcW w:w="2524" w:type="dxa"/>
          </w:tcPr>
          <w:p w14:paraId="7326CC4F" w14:textId="77777777" w:rsidR="00EF3DFB" w:rsidRDefault="00EF3DFB">
            <w:pPr>
              <w:pStyle w:val="TableParagraph"/>
              <w:rPr>
                <w:sz w:val="18"/>
              </w:rPr>
            </w:pPr>
          </w:p>
        </w:tc>
        <w:tc>
          <w:tcPr>
            <w:tcW w:w="1275" w:type="dxa"/>
          </w:tcPr>
          <w:p w14:paraId="7326CC50" w14:textId="77777777" w:rsidR="00EF3DFB" w:rsidRDefault="00EF3DFB">
            <w:pPr>
              <w:pStyle w:val="TableParagraph"/>
              <w:rPr>
                <w:sz w:val="18"/>
              </w:rPr>
            </w:pPr>
          </w:p>
        </w:tc>
        <w:tc>
          <w:tcPr>
            <w:tcW w:w="1219" w:type="dxa"/>
          </w:tcPr>
          <w:p w14:paraId="7326CC51" w14:textId="77777777" w:rsidR="00EF3DFB" w:rsidRDefault="00EF3DFB">
            <w:pPr>
              <w:pStyle w:val="TableParagraph"/>
              <w:rPr>
                <w:sz w:val="18"/>
              </w:rPr>
            </w:pPr>
          </w:p>
        </w:tc>
      </w:tr>
      <w:tr w:rsidR="00EF3DFB" w14:paraId="7326CC57" w14:textId="77777777">
        <w:trPr>
          <w:trHeight w:val="285"/>
        </w:trPr>
        <w:tc>
          <w:tcPr>
            <w:tcW w:w="5602" w:type="dxa"/>
            <w:shd w:val="clear" w:color="auto" w:fill="CCEDFF"/>
          </w:tcPr>
          <w:p w14:paraId="7326CC53" w14:textId="77777777" w:rsidR="00EF3DFB" w:rsidRDefault="00D27C17">
            <w:pPr>
              <w:pStyle w:val="TableParagraph"/>
              <w:spacing w:before="25"/>
              <w:ind w:left="422"/>
              <w:rPr>
                <w:sz w:val="20"/>
              </w:rPr>
            </w:pPr>
            <w:r>
              <w:rPr>
                <w:sz w:val="20"/>
              </w:rPr>
              <w:t>Federal</w:t>
            </w:r>
          </w:p>
        </w:tc>
        <w:tc>
          <w:tcPr>
            <w:tcW w:w="2524" w:type="dxa"/>
            <w:shd w:val="clear" w:color="auto" w:fill="CCEDFF"/>
          </w:tcPr>
          <w:p w14:paraId="7326CC54" w14:textId="77777777" w:rsidR="00EF3DFB" w:rsidRDefault="00D27C17">
            <w:pPr>
              <w:pStyle w:val="TableParagraph"/>
              <w:spacing w:before="25"/>
              <w:ind w:right="60"/>
              <w:jc w:val="right"/>
              <w:rPr>
                <w:sz w:val="20"/>
              </w:rPr>
            </w:pPr>
            <w:r>
              <w:rPr>
                <w:sz w:val="20"/>
              </w:rPr>
              <w:t>(136)</w:t>
            </w:r>
          </w:p>
        </w:tc>
        <w:tc>
          <w:tcPr>
            <w:tcW w:w="1275" w:type="dxa"/>
            <w:shd w:val="clear" w:color="auto" w:fill="CCEDFF"/>
          </w:tcPr>
          <w:p w14:paraId="7326CC55" w14:textId="77777777" w:rsidR="00EF3DFB" w:rsidRDefault="00D27C17">
            <w:pPr>
              <w:pStyle w:val="TableParagraph"/>
              <w:spacing w:before="25"/>
              <w:ind w:right="60"/>
              <w:jc w:val="right"/>
              <w:rPr>
                <w:sz w:val="20"/>
              </w:rPr>
            </w:pPr>
            <w:r>
              <w:rPr>
                <w:sz w:val="20"/>
              </w:rPr>
              <w:t>(355)</w:t>
            </w:r>
          </w:p>
        </w:tc>
        <w:tc>
          <w:tcPr>
            <w:tcW w:w="1219" w:type="dxa"/>
            <w:shd w:val="clear" w:color="auto" w:fill="CCEDFF"/>
          </w:tcPr>
          <w:p w14:paraId="7326CC56" w14:textId="77777777" w:rsidR="00EF3DFB" w:rsidRDefault="00D27C17">
            <w:pPr>
              <w:pStyle w:val="TableParagraph"/>
              <w:spacing w:before="25"/>
              <w:ind w:right="4"/>
              <w:jc w:val="right"/>
              <w:rPr>
                <w:sz w:val="20"/>
              </w:rPr>
            </w:pPr>
            <w:r>
              <w:rPr>
                <w:sz w:val="20"/>
              </w:rPr>
              <w:t>(1,036)</w:t>
            </w:r>
          </w:p>
        </w:tc>
      </w:tr>
      <w:tr w:rsidR="00EF3DFB" w14:paraId="7326CC5C" w14:textId="77777777">
        <w:trPr>
          <w:trHeight w:val="285"/>
        </w:trPr>
        <w:tc>
          <w:tcPr>
            <w:tcW w:w="5602" w:type="dxa"/>
          </w:tcPr>
          <w:p w14:paraId="7326CC58" w14:textId="77777777" w:rsidR="00EF3DFB" w:rsidRDefault="00D27C17">
            <w:pPr>
              <w:pStyle w:val="TableParagraph"/>
              <w:spacing w:before="25"/>
              <w:ind w:left="422"/>
              <w:rPr>
                <w:sz w:val="20"/>
              </w:rPr>
            </w:pPr>
            <w:r>
              <w:rPr>
                <w:sz w:val="20"/>
              </w:rPr>
              <w:t>State</w:t>
            </w:r>
          </w:p>
        </w:tc>
        <w:tc>
          <w:tcPr>
            <w:tcW w:w="2524" w:type="dxa"/>
          </w:tcPr>
          <w:p w14:paraId="7326CC59" w14:textId="77777777" w:rsidR="00EF3DFB" w:rsidRDefault="00D27C17">
            <w:pPr>
              <w:pStyle w:val="TableParagraph"/>
              <w:spacing w:before="25"/>
              <w:ind w:right="60"/>
              <w:jc w:val="right"/>
              <w:rPr>
                <w:sz w:val="20"/>
              </w:rPr>
            </w:pPr>
            <w:r>
              <w:rPr>
                <w:sz w:val="20"/>
              </w:rPr>
              <w:t>(33)</w:t>
            </w:r>
          </w:p>
        </w:tc>
        <w:tc>
          <w:tcPr>
            <w:tcW w:w="1275" w:type="dxa"/>
          </w:tcPr>
          <w:p w14:paraId="7326CC5A" w14:textId="77777777" w:rsidR="00EF3DFB" w:rsidRDefault="00D27C17">
            <w:pPr>
              <w:pStyle w:val="TableParagraph"/>
              <w:spacing w:before="25"/>
              <w:ind w:right="60"/>
              <w:jc w:val="right"/>
              <w:rPr>
                <w:sz w:val="20"/>
              </w:rPr>
            </w:pPr>
            <w:r>
              <w:rPr>
                <w:sz w:val="20"/>
              </w:rPr>
              <w:t>(63)</w:t>
            </w:r>
          </w:p>
        </w:tc>
        <w:tc>
          <w:tcPr>
            <w:tcW w:w="1219" w:type="dxa"/>
          </w:tcPr>
          <w:p w14:paraId="7326CC5B" w14:textId="77777777" w:rsidR="00EF3DFB" w:rsidRDefault="00D27C17">
            <w:pPr>
              <w:pStyle w:val="TableParagraph"/>
              <w:spacing w:before="25"/>
              <w:ind w:right="4"/>
              <w:jc w:val="right"/>
              <w:rPr>
                <w:sz w:val="20"/>
              </w:rPr>
            </w:pPr>
            <w:r>
              <w:rPr>
                <w:sz w:val="20"/>
              </w:rPr>
              <w:t>(283)</w:t>
            </w:r>
          </w:p>
        </w:tc>
      </w:tr>
      <w:tr w:rsidR="00EF3DFB" w14:paraId="7326CC61" w14:textId="77777777">
        <w:trPr>
          <w:trHeight w:val="275"/>
        </w:trPr>
        <w:tc>
          <w:tcPr>
            <w:tcW w:w="5602" w:type="dxa"/>
            <w:shd w:val="clear" w:color="auto" w:fill="CCEDFF"/>
          </w:tcPr>
          <w:p w14:paraId="7326CC5D" w14:textId="77777777" w:rsidR="00EF3DFB" w:rsidRDefault="00D27C17">
            <w:pPr>
              <w:pStyle w:val="TableParagraph"/>
              <w:spacing w:before="25" w:line="230" w:lineRule="exact"/>
              <w:ind w:left="422"/>
              <w:rPr>
                <w:sz w:val="20"/>
              </w:rPr>
            </w:pPr>
            <w:r>
              <w:rPr>
                <w:sz w:val="20"/>
              </w:rPr>
              <w:t>Foreign</w:t>
            </w:r>
          </w:p>
        </w:tc>
        <w:tc>
          <w:tcPr>
            <w:tcW w:w="2524" w:type="dxa"/>
            <w:tcBorders>
              <w:bottom w:val="single" w:sz="8" w:space="0" w:color="000000"/>
            </w:tcBorders>
            <w:shd w:val="clear" w:color="auto" w:fill="CCEDFF"/>
          </w:tcPr>
          <w:p w14:paraId="7326CC5E" w14:textId="77777777" w:rsidR="00EF3DFB" w:rsidRDefault="00D27C17">
            <w:pPr>
              <w:pStyle w:val="TableParagraph"/>
              <w:spacing w:before="25" w:line="230" w:lineRule="exact"/>
              <w:ind w:right="60"/>
              <w:jc w:val="right"/>
              <w:rPr>
                <w:sz w:val="20"/>
              </w:rPr>
            </w:pPr>
            <w:r>
              <w:rPr>
                <w:sz w:val="20"/>
              </w:rPr>
              <w:t>(92)</w:t>
            </w:r>
          </w:p>
        </w:tc>
        <w:tc>
          <w:tcPr>
            <w:tcW w:w="1275" w:type="dxa"/>
            <w:tcBorders>
              <w:bottom w:val="single" w:sz="8" w:space="0" w:color="000000"/>
            </w:tcBorders>
            <w:shd w:val="clear" w:color="auto" w:fill="CCEDFF"/>
          </w:tcPr>
          <w:p w14:paraId="7326CC5F" w14:textId="77777777" w:rsidR="00EF3DFB" w:rsidRDefault="00D27C17">
            <w:pPr>
              <w:pStyle w:val="TableParagraph"/>
              <w:spacing w:before="25" w:line="230" w:lineRule="exact"/>
              <w:ind w:right="60"/>
              <w:jc w:val="right"/>
              <w:rPr>
                <w:sz w:val="20"/>
              </w:rPr>
            </w:pPr>
            <w:r>
              <w:rPr>
                <w:sz w:val="20"/>
              </w:rPr>
              <w:t>(650)</w:t>
            </w:r>
          </w:p>
        </w:tc>
        <w:tc>
          <w:tcPr>
            <w:tcW w:w="1219" w:type="dxa"/>
            <w:tcBorders>
              <w:bottom w:val="single" w:sz="8" w:space="0" w:color="000000"/>
            </w:tcBorders>
            <w:shd w:val="clear" w:color="auto" w:fill="CCEDFF"/>
          </w:tcPr>
          <w:p w14:paraId="7326CC60" w14:textId="77777777" w:rsidR="00EF3DFB" w:rsidRDefault="00D27C17">
            <w:pPr>
              <w:pStyle w:val="TableParagraph"/>
              <w:spacing w:before="25" w:line="230" w:lineRule="exact"/>
              <w:ind w:right="4"/>
              <w:jc w:val="right"/>
              <w:rPr>
                <w:sz w:val="20"/>
              </w:rPr>
            </w:pPr>
            <w:r>
              <w:rPr>
                <w:sz w:val="20"/>
              </w:rPr>
              <w:t>(267)</w:t>
            </w:r>
          </w:p>
        </w:tc>
      </w:tr>
      <w:tr w:rsidR="00EF3DFB" w14:paraId="7326CC66" w14:textId="77777777">
        <w:trPr>
          <w:trHeight w:val="265"/>
        </w:trPr>
        <w:tc>
          <w:tcPr>
            <w:tcW w:w="5602" w:type="dxa"/>
          </w:tcPr>
          <w:p w14:paraId="7326CC62" w14:textId="77777777" w:rsidR="00EF3DFB" w:rsidRDefault="00D27C17">
            <w:pPr>
              <w:pStyle w:val="TableParagraph"/>
              <w:spacing w:before="15" w:line="230" w:lineRule="exact"/>
              <w:ind w:left="62"/>
              <w:rPr>
                <w:sz w:val="20"/>
              </w:rPr>
            </w:pPr>
            <w:r>
              <w:rPr>
                <w:sz w:val="20"/>
              </w:rPr>
              <w:t>Total deferred</w:t>
            </w:r>
          </w:p>
        </w:tc>
        <w:tc>
          <w:tcPr>
            <w:tcW w:w="2524" w:type="dxa"/>
            <w:tcBorders>
              <w:top w:val="single" w:sz="8" w:space="0" w:color="000000"/>
              <w:bottom w:val="single" w:sz="8" w:space="0" w:color="000000"/>
            </w:tcBorders>
          </w:tcPr>
          <w:p w14:paraId="7326CC63" w14:textId="77777777" w:rsidR="00EF3DFB" w:rsidRDefault="00D27C17">
            <w:pPr>
              <w:pStyle w:val="TableParagraph"/>
              <w:spacing w:before="15" w:line="230" w:lineRule="exact"/>
              <w:ind w:right="60"/>
              <w:jc w:val="right"/>
              <w:rPr>
                <w:sz w:val="20"/>
              </w:rPr>
            </w:pPr>
            <w:r>
              <w:rPr>
                <w:sz w:val="20"/>
              </w:rPr>
              <w:t>(261)</w:t>
            </w:r>
          </w:p>
        </w:tc>
        <w:tc>
          <w:tcPr>
            <w:tcW w:w="1275" w:type="dxa"/>
            <w:tcBorders>
              <w:top w:val="single" w:sz="8" w:space="0" w:color="000000"/>
              <w:bottom w:val="single" w:sz="8" w:space="0" w:color="000000"/>
            </w:tcBorders>
          </w:tcPr>
          <w:p w14:paraId="7326CC64" w14:textId="77777777" w:rsidR="00EF3DFB" w:rsidRDefault="00D27C17">
            <w:pPr>
              <w:pStyle w:val="TableParagraph"/>
              <w:spacing w:before="15" w:line="230" w:lineRule="exact"/>
              <w:ind w:right="60"/>
              <w:jc w:val="right"/>
              <w:rPr>
                <w:sz w:val="20"/>
              </w:rPr>
            </w:pPr>
            <w:r>
              <w:rPr>
                <w:sz w:val="20"/>
              </w:rPr>
              <w:t>(1,068)</w:t>
            </w:r>
          </w:p>
        </w:tc>
        <w:tc>
          <w:tcPr>
            <w:tcW w:w="1219" w:type="dxa"/>
            <w:tcBorders>
              <w:top w:val="single" w:sz="8" w:space="0" w:color="000000"/>
              <w:bottom w:val="single" w:sz="8" w:space="0" w:color="000000"/>
            </w:tcBorders>
          </w:tcPr>
          <w:p w14:paraId="7326CC65" w14:textId="77777777" w:rsidR="00EF3DFB" w:rsidRDefault="00D27C17">
            <w:pPr>
              <w:pStyle w:val="TableParagraph"/>
              <w:spacing w:before="15" w:line="230" w:lineRule="exact"/>
              <w:ind w:right="4"/>
              <w:jc w:val="right"/>
              <w:rPr>
                <w:sz w:val="20"/>
              </w:rPr>
            </w:pPr>
            <w:r>
              <w:rPr>
                <w:sz w:val="20"/>
              </w:rPr>
              <w:t>(1,586)</w:t>
            </w:r>
          </w:p>
        </w:tc>
      </w:tr>
      <w:tr w:rsidR="00EF3DFB" w14:paraId="7326CC6B" w14:textId="77777777">
        <w:trPr>
          <w:trHeight w:val="275"/>
        </w:trPr>
        <w:tc>
          <w:tcPr>
            <w:tcW w:w="5602" w:type="dxa"/>
            <w:shd w:val="clear" w:color="auto" w:fill="CCEDFF"/>
          </w:tcPr>
          <w:p w14:paraId="7326CC67" w14:textId="77777777" w:rsidR="00EF3DFB" w:rsidRDefault="00D27C17">
            <w:pPr>
              <w:pStyle w:val="TableParagraph"/>
              <w:spacing w:before="15"/>
              <w:ind w:left="62"/>
              <w:rPr>
                <w:sz w:val="20"/>
              </w:rPr>
            </w:pPr>
            <w:r>
              <w:rPr>
                <w:sz w:val="20"/>
              </w:rPr>
              <w:t>Total income tax benefit</w:t>
            </w:r>
          </w:p>
        </w:tc>
        <w:tc>
          <w:tcPr>
            <w:tcW w:w="2524" w:type="dxa"/>
            <w:tcBorders>
              <w:top w:val="single" w:sz="8" w:space="0" w:color="000000"/>
            </w:tcBorders>
            <w:shd w:val="clear" w:color="auto" w:fill="CCEDFF"/>
          </w:tcPr>
          <w:p w14:paraId="7326CC68" w14:textId="77777777" w:rsidR="00EF3DFB" w:rsidRDefault="00D27C17">
            <w:pPr>
              <w:pStyle w:val="TableParagraph"/>
              <w:spacing w:before="15"/>
              <w:ind w:right="60"/>
              <w:jc w:val="right"/>
              <w:rPr>
                <w:sz w:val="20"/>
              </w:rPr>
            </w:pPr>
            <w:r>
              <w:rPr>
                <w:sz w:val="20"/>
              </w:rPr>
              <w:t>(236)</w:t>
            </w:r>
          </w:p>
        </w:tc>
        <w:tc>
          <w:tcPr>
            <w:tcW w:w="1275" w:type="dxa"/>
            <w:tcBorders>
              <w:top w:val="single" w:sz="8" w:space="0" w:color="000000"/>
            </w:tcBorders>
            <w:shd w:val="clear" w:color="auto" w:fill="CCEDFF"/>
          </w:tcPr>
          <w:p w14:paraId="7326CC69" w14:textId="77777777" w:rsidR="00EF3DFB" w:rsidRDefault="00D27C17">
            <w:pPr>
              <w:pStyle w:val="TableParagraph"/>
              <w:spacing w:before="15"/>
              <w:ind w:right="60"/>
              <w:jc w:val="right"/>
              <w:rPr>
                <w:sz w:val="20"/>
              </w:rPr>
            </w:pPr>
            <w:r>
              <w:rPr>
                <w:sz w:val="20"/>
              </w:rPr>
              <w:t>(1,007)</w:t>
            </w:r>
          </w:p>
        </w:tc>
        <w:tc>
          <w:tcPr>
            <w:tcW w:w="1219" w:type="dxa"/>
            <w:tcBorders>
              <w:top w:val="single" w:sz="8" w:space="0" w:color="000000"/>
            </w:tcBorders>
            <w:shd w:val="clear" w:color="auto" w:fill="CCEDFF"/>
          </w:tcPr>
          <w:p w14:paraId="7326CC6A" w14:textId="77777777" w:rsidR="00EF3DFB" w:rsidRDefault="00D27C17">
            <w:pPr>
              <w:pStyle w:val="TableParagraph"/>
              <w:spacing w:before="15"/>
              <w:ind w:right="4"/>
              <w:jc w:val="right"/>
              <w:rPr>
                <w:sz w:val="20"/>
              </w:rPr>
            </w:pPr>
            <w:r>
              <w:rPr>
                <w:sz w:val="20"/>
              </w:rPr>
              <w:t>(1,230)</w:t>
            </w:r>
          </w:p>
        </w:tc>
      </w:tr>
      <w:tr w:rsidR="00EF3DFB" w14:paraId="7326CC70" w14:textId="77777777">
        <w:trPr>
          <w:trHeight w:val="275"/>
        </w:trPr>
        <w:tc>
          <w:tcPr>
            <w:tcW w:w="5602" w:type="dxa"/>
          </w:tcPr>
          <w:p w14:paraId="7326CC6C" w14:textId="77777777" w:rsidR="00EF3DFB" w:rsidRDefault="00D27C17">
            <w:pPr>
              <w:pStyle w:val="TableParagraph"/>
              <w:spacing w:before="25" w:line="230" w:lineRule="exact"/>
              <w:ind w:left="62"/>
              <w:rPr>
                <w:sz w:val="20"/>
              </w:rPr>
            </w:pPr>
            <w:r>
              <w:rPr>
                <w:sz w:val="20"/>
              </w:rPr>
              <w:t>Total income tax provision - discontinued operations</w:t>
            </w:r>
          </w:p>
        </w:tc>
        <w:tc>
          <w:tcPr>
            <w:tcW w:w="2524" w:type="dxa"/>
            <w:tcBorders>
              <w:bottom w:val="single" w:sz="8" w:space="0" w:color="000000"/>
            </w:tcBorders>
          </w:tcPr>
          <w:p w14:paraId="7326CC6D" w14:textId="77777777" w:rsidR="00EF3DFB" w:rsidRDefault="00D27C17">
            <w:pPr>
              <w:pStyle w:val="TableParagraph"/>
              <w:spacing w:before="25" w:line="230" w:lineRule="exact"/>
              <w:ind w:right="125"/>
              <w:jc w:val="right"/>
              <w:rPr>
                <w:sz w:val="20"/>
              </w:rPr>
            </w:pPr>
            <w:r>
              <w:rPr>
                <w:sz w:val="20"/>
              </w:rPr>
              <w:t>—</w:t>
            </w:r>
          </w:p>
        </w:tc>
        <w:tc>
          <w:tcPr>
            <w:tcW w:w="1275" w:type="dxa"/>
            <w:tcBorders>
              <w:bottom w:val="single" w:sz="8" w:space="0" w:color="000000"/>
            </w:tcBorders>
          </w:tcPr>
          <w:p w14:paraId="7326CC6E" w14:textId="77777777" w:rsidR="00EF3DFB" w:rsidRDefault="00D27C17">
            <w:pPr>
              <w:pStyle w:val="TableParagraph"/>
              <w:spacing w:before="25" w:line="230" w:lineRule="exact"/>
              <w:ind w:right="125"/>
              <w:jc w:val="right"/>
              <w:rPr>
                <w:sz w:val="20"/>
              </w:rPr>
            </w:pPr>
            <w:r>
              <w:rPr>
                <w:sz w:val="20"/>
              </w:rPr>
              <w:t>31</w:t>
            </w:r>
          </w:p>
        </w:tc>
        <w:tc>
          <w:tcPr>
            <w:tcW w:w="1219" w:type="dxa"/>
            <w:tcBorders>
              <w:bottom w:val="single" w:sz="8" w:space="0" w:color="000000"/>
            </w:tcBorders>
          </w:tcPr>
          <w:p w14:paraId="7326CC6F" w14:textId="77777777" w:rsidR="00EF3DFB" w:rsidRDefault="00D27C17">
            <w:pPr>
              <w:pStyle w:val="TableParagraph"/>
              <w:spacing w:before="25" w:line="230" w:lineRule="exact"/>
              <w:ind w:right="69"/>
              <w:jc w:val="right"/>
              <w:rPr>
                <w:sz w:val="20"/>
              </w:rPr>
            </w:pPr>
            <w:r>
              <w:rPr>
                <w:sz w:val="20"/>
              </w:rPr>
              <w:t>129</w:t>
            </w:r>
          </w:p>
        </w:tc>
      </w:tr>
      <w:tr w:rsidR="00EF3DFB" w14:paraId="7326CC75" w14:textId="77777777">
        <w:trPr>
          <w:trHeight w:val="285"/>
        </w:trPr>
        <w:tc>
          <w:tcPr>
            <w:tcW w:w="5602" w:type="dxa"/>
            <w:shd w:val="clear" w:color="auto" w:fill="CCEDFF"/>
          </w:tcPr>
          <w:p w14:paraId="7326CC71" w14:textId="77777777" w:rsidR="00EF3DFB" w:rsidRDefault="00D27C17">
            <w:pPr>
              <w:pStyle w:val="TableParagraph"/>
              <w:spacing w:before="15"/>
              <w:ind w:left="62"/>
              <w:rPr>
                <w:sz w:val="20"/>
              </w:rPr>
            </w:pPr>
            <w:r>
              <w:rPr>
                <w:sz w:val="20"/>
              </w:rPr>
              <w:t>Total income tax benefit - continuing operations</w:t>
            </w:r>
          </w:p>
        </w:tc>
        <w:tc>
          <w:tcPr>
            <w:tcW w:w="2524" w:type="dxa"/>
            <w:tcBorders>
              <w:top w:val="single" w:sz="8" w:space="0" w:color="000000"/>
              <w:bottom w:val="single" w:sz="8" w:space="0" w:color="000000"/>
            </w:tcBorders>
            <w:shd w:val="clear" w:color="auto" w:fill="CCEDFF"/>
          </w:tcPr>
          <w:p w14:paraId="7326CC72" w14:textId="77777777" w:rsidR="00EF3DFB" w:rsidRDefault="00D27C17">
            <w:pPr>
              <w:pStyle w:val="TableParagraph"/>
              <w:tabs>
                <w:tab w:val="left" w:pos="699"/>
              </w:tabs>
              <w:spacing w:before="15"/>
              <w:ind w:right="60"/>
              <w:jc w:val="right"/>
              <w:rPr>
                <w:sz w:val="20"/>
              </w:rPr>
            </w:pPr>
            <w:r>
              <w:rPr>
                <w:sz w:val="20"/>
                <w:u w:val="single"/>
              </w:rPr>
              <w:t>$</w:t>
            </w:r>
            <w:r>
              <w:rPr>
                <w:sz w:val="20"/>
                <w:u w:val="single"/>
              </w:rPr>
              <w:tab/>
              <w:t>(236)</w:t>
            </w:r>
          </w:p>
        </w:tc>
        <w:tc>
          <w:tcPr>
            <w:tcW w:w="1275" w:type="dxa"/>
            <w:tcBorders>
              <w:top w:val="single" w:sz="8" w:space="0" w:color="000000"/>
              <w:bottom w:val="single" w:sz="8" w:space="0" w:color="000000"/>
            </w:tcBorders>
            <w:shd w:val="clear" w:color="auto" w:fill="CCEDFF"/>
          </w:tcPr>
          <w:p w14:paraId="7326CC73" w14:textId="77777777" w:rsidR="00EF3DFB" w:rsidRDefault="00D27C17">
            <w:pPr>
              <w:pStyle w:val="TableParagraph"/>
              <w:tabs>
                <w:tab w:val="left" w:pos="630"/>
              </w:tabs>
              <w:spacing w:before="15"/>
              <w:ind w:left="81"/>
              <w:rPr>
                <w:sz w:val="20"/>
              </w:rPr>
            </w:pPr>
            <w:r>
              <w:rPr>
                <w:sz w:val="20"/>
                <w:u w:val="single"/>
              </w:rPr>
              <w:t>$</w:t>
            </w:r>
            <w:r>
              <w:rPr>
                <w:sz w:val="20"/>
                <w:u w:val="single"/>
              </w:rPr>
              <w:tab/>
              <w:t>(1,038)</w:t>
            </w:r>
          </w:p>
        </w:tc>
        <w:tc>
          <w:tcPr>
            <w:tcW w:w="1219" w:type="dxa"/>
            <w:tcBorders>
              <w:top w:val="single" w:sz="8" w:space="0" w:color="000000"/>
              <w:bottom w:val="single" w:sz="8" w:space="0" w:color="000000"/>
            </w:tcBorders>
            <w:shd w:val="clear" w:color="auto" w:fill="CCEDFF"/>
          </w:tcPr>
          <w:p w14:paraId="7326CC74" w14:textId="77777777" w:rsidR="00EF3DFB" w:rsidRDefault="00D27C17">
            <w:pPr>
              <w:pStyle w:val="TableParagraph"/>
              <w:tabs>
                <w:tab w:val="left" w:pos="549"/>
              </w:tabs>
              <w:spacing w:before="15"/>
              <w:ind w:right="4"/>
              <w:jc w:val="right"/>
              <w:rPr>
                <w:sz w:val="20"/>
              </w:rPr>
            </w:pPr>
            <w:r>
              <w:rPr>
                <w:sz w:val="20"/>
                <w:u w:val="single"/>
              </w:rPr>
              <w:t>$</w:t>
            </w:r>
            <w:r>
              <w:rPr>
                <w:sz w:val="20"/>
                <w:u w:val="single"/>
              </w:rPr>
              <w:tab/>
            </w:r>
            <w:r>
              <w:rPr>
                <w:spacing w:val="-1"/>
                <w:sz w:val="20"/>
                <w:u w:val="single"/>
              </w:rPr>
              <w:t>(1,359)</w:t>
            </w:r>
          </w:p>
        </w:tc>
      </w:tr>
    </w:tbl>
    <w:p w14:paraId="7326CC76" w14:textId="77777777" w:rsidR="00EF3DFB" w:rsidRDefault="00EF3DFB">
      <w:pPr>
        <w:pStyle w:val="BodyText"/>
        <w:spacing w:before="10"/>
        <w:rPr>
          <w:b/>
          <w:sz w:val="21"/>
        </w:rPr>
      </w:pPr>
    </w:p>
    <w:p w14:paraId="7326CC77" w14:textId="77777777" w:rsidR="00EF3DFB" w:rsidRDefault="00D27C17">
      <w:pPr>
        <w:pStyle w:val="BodyText"/>
        <w:spacing w:line="249" w:lineRule="auto"/>
        <w:ind w:left="190"/>
      </w:pPr>
      <w:r>
        <w:t>A reconciliation of the U.S. statutory rate to the effective income tax rate on a continuing basis is as follows for the years ended December 31:</w:t>
      </w:r>
    </w:p>
    <w:p w14:paraId="7326CC78" w14:textId="77777777" w:rsidR="00EF3DFB" w:rsidRDefault="00EF3DFB">
      <w:pPr>
        <w:pStyle w:val="BodyText"/>
        <w:spacing w:before="10"/>
        <w:rPr>
          <w:sz w:val="15"/>
        </w:rPr>
      </w:pPr>
    </w:p>
    <w:tbl>
      <w:tblPr>
        <w:tblW w:w="0" w:type="auto"/>
        <w:tblInd w:w="190" w:type="dxa"/>
        <w:tblLayout w:type="fixed"/>
        <w:tblCellMar>
          <w:left w:w="0" w:type="dxa"/>
          <w:right w:w="0" w:type="dxa"/>
        </w:tblCellMar>
        <w:tblLook w:val="01E0" w:firstRow="1" w:lastRow="1" w:firstColumn="1" w:lastColumn="1" w:noHBand="0" w:noVBand="0"/>
      </w:tblPr>
      <w:tblGrid>
        <w:gridCol w:w="5731"/>
        <w:gridCol w:w="2589"/>
        <w:gridCol w:w="1275"/>
        <w:gridCol w:w="1025"/>
      </w:tblGrid>
      <w:tr w:rsidR="00EF3DFB" w14:paraId="7326CC7D" w14:textId="77777777">
        <w:trPr>
          <w:trHeight w:val="196"/>
        </w:trPr>
        <w:tc>
          <w:tcPr>
            <w:tcW w:w="5731" w:type="dxa"/>
          </w:tcPr>
          <w:p w14:paraId="7326CC79" w14:textId="77777777" w:rsidR="00EF3DFB" w:rsidRDefault="00EF3DFB">
            <w:pPr>
              <w:pStyle w:val="TableParagraph"/>
              <w:rPr>
                <w:sz w:val="12"/>
              </w:rPr>
            </w:pPr>
          </w:p>
        </w:tc>
        <w:tc>
          <w:tcPr>
            <w:tcW w:w="2589" w:type="dxa"/>
            <w:tcBorders>
              <w:bottom w:val="single" w:sz="8" w:space="0" w:color="000000"/>
            </w:tcBorders>
          </w:tcPr>
          <w:p w14:paraId="7326CC7A" w14:textId="77777777" w:rsidR="00EF3DFB" w:rsidRDefault="00D27C17">
            <w:pPr>
              <w:pStyle w:val="TableParagraph"/>
              <w:spacing w:line="177" w:lineRule="exact"/>
              <w:ind w:left="1578"/>
              <w:rPr>
                <w:b/>
                <w:sz w:val="16"/>
              </w:rPr>
            </w:pPr>
            <w:r>
              <w:rPr>
                <w:b/>
                <w:sz w:val="16"/>
              </w:rPr>
              <w:t>2020</w:t>
            </w:r>
          </w:p>
        </w:tc>
        <w:tc>
          <w:tcPr>
            <w:tcW w:w="1275" w:type="dxa"/>
            <w:tcBorders>
              <w:bottom w:val="single" w:sz="8" w:space="0" w:color="000000"/>
            </w:tcBorders>
          </w:tcPr>
          <w:p w14:paraId="7326CC7B" w14:textId="77777777" w:rsidR="00EF3DFB" w:rsidRDefault="00D27C17">
            <w:pPr>
              <w:pStyle w:val="TableParagraph"/>
              <w:spacing w:line="177" w:lineRule="exact"/>
              <w:ind w:left="265"/>
              <w:rPr>
                <w:b/>
                <w:sz w:val="16"/>
              </w:rPr>
            </w:pPr>
            <w:r>
              <w:rPr>
                <w:b/>
                <w:sz w:val="16"/>
              </w:rPr>
              <w:t>2019</w:t>
            </w:r>
          </w:p>
        </w:tc>
        <w:tc>
          <w:tcPr>
            <w:tcW w:w="1025" w:type="dxa"/>
            <w:tcBorders>
              <w:bottom w:val="single" w:sz="8" w:space="0" w:color="000000"/>
            </w:tcBorders>
          </w:tcPr>
          <w:p w14:paraId="7326CC7C" w14:textId="77777777" w:rsidR="00EF3DFB" w:rsidRDefault="00D27C17">
            <w:pPr>
              <w:pStyle w:val="TableParagraph"/>
              <w:spacing w:line="177" w:lineRule="exact"/>
              <w:ind w:left="265"/>
              <w:rPr>
                <w:b/>
                <w:sz w:val="16"/>
              </w:rPr>
            </w:pPr>
            <w:r>
              <w:rPr>
                <w:b/>
                <w:sz w:val="16"/>
              </w:rPr>
              <w:t>2018</w:t>
            </w:r>
          </w:p>
        </w:tc>
      </w:tr>
      <w:tr w:rsidR="00EF3DFB" w14:paraId="7326CC82" w14:textId="77777777">
        <w:trPr>
          <w:trHeight w:val="275"/>
        </w:trPr>
        <w:tc>
          <w:tcPr>
            <w:tcW w:w="5731" w:type="dxa"/>
            <w:shd w:val="clear" w:color="auto" w:fill="CCEDFF"/>
          </w:tcPr>
          <w:p w14:paraId="7326CC7E" w14:textId="77777777" w:rsidR="00EF3DFB" w:rsidRDefault="00D27C17">
            <w:pPr>
              <w:pStyle w:val="TableParagraph"/>
              <w:spacing w:before="15"/>
              <w:ind w:left="52"/>
              <w:rPr>
                <w:sz w:val="20"/>
              </w:rPr>
            </w:pPr>
            <w:r>
              <w:rPr>
                <w:sz w:val="20"/>
              </w:rPr>
              <w:t>Statutory rate</w:t>
            </w:r>
          </w:p>
        </w:tc>
        <w:tc>
          <w:tcPr>
            <w:tcW w:w="2589" w:type="dxa"/>
            <w:tcBorders>
              <w:top w:val="single" w:sz="8" w:space="0" w:color="000000"/>
            </w:tcBorders>
            <w:shd w:val="clear" w:color="auto" w:fill="CCEDFF"/>
          </w:tcPr>
          <w:p w14:paraId="7326CC7F" w14:textId="77777777" w:rsidR="00EF3DFB" w:rsidRDefault="00D27C17">
            <w:pPr>
              <w:pStyle w:val="TableParagraph"/>
              <w:spacing w:before="15"/>
              <w:ind w:right="264"/>
              <w:jc w:val="right"/>
              <w:rPr>
                <w:sz w:val="20"/>
              </w:rPr>
            </w:pPr>
            <w:r>
              <w:rPr>
                <w:sz w:val="20"/>
              </w:rPr>
              <w:t>21.0 %</w:t>
            </w:r>
          </w:p>
        </w:tc>
        <w:tc>
          <w:tcPr>
            <w:tcW w:w="1275" w:type="dxa"/>
            <w:tcBorders>
              <w:top w:val="single" w:sz="8" w:space="0" w:color="000000"/>
            </w:tcBorders>
            <w:shd w:val="clear" w:color="auto" w:fill="CCEDFF"/>
          </w:tcPr>
          <w:p w14:paraId="7326CC80" w14:textId="77777777" w:rsidR="00EF3DFB" w:rsidRDefault="00D27C17">
            <w:pPr>
              <w:pStyle w:val="TableParagraph"/>
              <w:spacing w:before="15"/>
              <w:ind w:left="426"/>
              <w:rPr>
                <w:sz w:val="20"/>
              </w:rPr>
            </w:pPr>
            <w:r>
              <w:rPr>
                <w:sz w:val="20"/>
              </w:rPr>
              <w:t>21.0 %</w:t>
            </w:r>
          </w:p>
        </w:tc>
        <w:tc>
          <w:tcPr>
            <w:tcW w:w="1025" w:type="dxa"/>
            <w:tcBorders>
              <w:top w:val="single" w:sz="8" w:space="0" w:color="000000"/>
            </w:tcBorders>
            <w:shd w:val="clear" w:color="auto" w:fill="CCEDFF"/>
          </w:tcPr>
          <w:p w14:paraId="7326CC81" w14:textId="77777777" w:rsidR="00EF3DFB" w:rsidRDefault="00D27C17">
            <w:pPr>
              <w:pStyle w:val="TableParagraph"/>
              <w:spacing w:before="15"/>
              <w:ind w:left="426"/>
              <w:rPr>
                <w:sz w:val="20"/>
              </w:rPr>
            </w:pPr>
            <w:r>
              <w:rPr>
                <w:sz w:val="20"/>
              </w:rPr>
              <w:t>21.0 %</w:t>
            </w:r>
          </w:p>
        </w:tc>
      </w:tr>
      <w:tr w:rsidR="00EF3DFB" w14:paraId="7326CC87" w14:textId="77777777">
        <w:trPr>
          <w:trHeight w:val="285"/>
        </w:trPr>
        <w:tc>
          <w:tcPr>
            <w:tcW w:w="5731" w:type="dxa"/>
          </w:tcPr>
          <w:p w14:paraId="7326CC83" w14:textId="77777777" w:rsidR="00EF3DFB" w:rsidRDefault="00D27C17">
            <w:pPr>
              <w:pStyle w:val="TableParagraph"/>
              <w:spacing w:before="25"/>
              <w:ind w:left="52"/>
              <w:rPr>
                <w:sz w:val="20"/>
              </w:rPr>
            </w:pPr>
            <w:r>
              <w:rPr>
                <w:sz w:val="20"/>
              </w:rPr>
              <w:t>Add (deduct) effect of:</w:t>
            </w:r>
          </w:p>
        </w:tc>
        <w:tc>
          <w:tcPr>
            <w:tcW w:w="2589" w:type="dxa"/>
          </w:tcPr>
          <w:p w14:paraId="7326CC84" w14:textId="77777777" w:rsidR="00EF3DFB" w:rsidRDefault="00EF3DFB">
            <w:pPr>
              <w:pStyle w:val="TableParagraph"/>
              <w:rPr>
                <w:sz w:val="18"/>
              </w:rPr>
            </w:pPr>
          </w:p>
        </w:tc>
        <w:tc>
          <w:tcPr>
            <w:tcW w:w="1275" w:type="dxa"/>
          </w:tcPr>
          <w:p w14:paraId="7326CC85" w14:textId="77777777" w:rsidR="00EF3DFB" w:rsidRDefault="00EF3DFB">
            <w:pPr>
              <w:pStyle w:val="TableParagraph"/>
              <w:rPr>
                <w:sz w:val="18"/>
              </w:rPr>
            </w:pPr>
          </w:p>
        </w:tc>
        <w:tc>
          <w:tcPr>
            <w:tcW w:w="1025" w:type="dxa"/>
          </w:tcPr>
          <w:p w14:paraId="7326CC86" w14:textId="77777777" w:rsidR="00EF3DFB" w:rsidRDefault="00EF3DFB">
            <w:pPr>
              <w:pStyle w:val="TableParagraph"/>
              <w:rPr>
                <w:sz w:val="18"/>
              </w:rPr>
            </w:pPr>
          </w:p>
        </w:tc>
      </w:tr>
      <w:tr w:rsidR="00EF3DFB" w14:paraId="7326CC8C" w14:textId="77777777">
        <w:trPr>
          <w:trHeight w:val="285"/>
        </w:trPr>
        <w:tc>
          <w:tcPr>
            <w:tcW w:w="5731" w:type="dxa"/>
            <w:shd w:val="clear" w:color="auto" w:fill="CCEDFF"/>
          </w:tcPr>
          <w:p w14:paraId="7326CC88" w14:textId="77777777" w:rsidR="00EF3DFB" w:rsidRDefault="00D27C17">
            <w:pPr>
              <w:pStyle w:val="TableParagraph"/>
              <w:spacing w:before="25"/>
              <w:ind w:left="52"/>
              <w:rPr>
                <w:sz w:val="20"/>
              </w:rPr>
            </w:pPr>
            <w:r>
              <w:rPr>
                <w:sz w:val="20"/>
              </w:rPr>
              <w:t>State income taxes, net of federal income tax effect</w:t>
            </w:r>
          </w:p>
        </w:tc>
        <w:tc>
          <w:tcPr>
            <w:tcW w:w="2589" w:type="dxa"/>
            <w:shd w:val="clear" w:color="auto" w:fill="CCEDFF"/>
          </w:tcPr>
          <w:p w14:paraId="7326CC89" w14:textId="77777777" w:rsidR="00EF3DFB" w:rsidRDefault="00D27C17">
            <w:pPr>
              <w:pStyle w:val="TableParagraph"/>
              <w:spacing w:before="25"/>
              <w:ind w:right="496"/>
              <w:jc w:val="right"/>
              <w:rPr>
                <w:sz w:val="20"/>
              </w:rPr>
            </w:pPr>
            <w:r>
              <w:rPr>
                <w:sz w:val="20"/>
              </w:rPr>
              <w:t>2.4</w:t>
            </w:r>
          </w:p>
        </w:tc>
        <w:tc>
          <w:tcPr>
            <w:tcW w:w="1275" w:type="dxa"/>
            <w:shd w:val="clear" w:color="auto" w:fill="CCEDFF"/>
          </w:tcPr>
          <w:p w14:paraId="7326CC8A" w14:textId="77777777" w:rsidR="00EF3DFB" w:rsidRDefault="00D27C17">
            <w:pPr>
              <w:pStyle w:val="TableParagraph"/>
              <w:spacing w:before="25"/>
              <w:ind w:left="408" w:right="380"/>
              <w:jc w:val="center"/>
              <w:rPr>
                <w:sz w:val="20"/>
              </w:rPr>
            </w:pPr>
            <w:r>
              <w:rPr>
                <w:sz w:val="20"/>
              </w:rPr>
              <w:t>3.8</w:t>
            </w:r>
          </w:p>
        </w:tc>
        <w:tc>
          <w:tcPr>
            <w:tcW w:w="1025" w:type="dxa"/>
            <w:shd w:val="clear" w:color="auto" w:fill="CCEDFF"/>
          </w:tcPr>
          <w:p w14:paraId="7326CC8B" w14:textId="77777777" w:rsidR="00EF3DFB" w:rsidRDefault="00D27C17">
            <w:pPr>
              <w:pStyle w:val="TableParagraph"/>
              <w:spacing w:before="25"/>
              <w:ind w:left="526"/>
              <w:rPr>
                <w:sz w:val="20"/>
              </w:rPr>
            </w:pPr>
            <w:r>
              <w:rPr>
                <w:sz w:val="20"/>
              </w:rPr>
              <w:t>2.4</w:t>
            </w:r>
          </w:p>
        </w:tc>
      </w:tr>
      <w:tr w:rsidR="00EF3DFB" w14:paraId="7326CC91" w14:textId="77777777">
        <w:trPr>
          <w:trHeight w:val="285"/>
        </w:trPr>
        <w:tc>
          <w:tcPr>
            <w:tcW w:w="5731" w:type="dxa"/>
          </w:tcPr>
          <w:p w14:paraId="7326CC8D" w14:textId="77777777" w:rsidR="00EF3DFB" w:rsidRDefault="00D27C17">
            <w:pPr>
              <w:pStyle w:val="TableParagraph"/>
              <w:spacing w:before="25"/>
              <w:ind w:left="52"/>
              <w:rPr>
                <w:sz w:val="20"/>
              </w:rPr>
            </w:pPr>
            <w:r>
              <w:rPr>
                <w:sz w:val="20"/>
              </w:rPr>
              <w:t>U.S. foreign inclusions and foreign tax credit (1)</w:t>
            </w:r>
          </w:p>
        </w:tc>
        <w:tc>
          <w:tcPr>
            <w:tcW w:w="2589" w:type="dxa"/>
          </w:tcPr>
          <w:p w14:paraId="7326CC8E" w14:textId="77777777" w:rsidR="00EF3DFB" w:rsidRDefault="00D27C17">
            <w:pPr>
              <w:pStyle w:val="TableParagraph"/>
              <w:spacing w:before="25"/>
              <w:ind w:right="496"/>
              <w:jc w:val="right"/>
              <w:rPr>
                <w:sz w:val="20"/>
              </w:rPr>
            </w:pPr>
            <w:r>
              <w:rPr>
                <w:sz w:val="20"/>
              </w:rPr>
              <w:t>3.6</w:t>
            </w:r>
          </w:p>
        </w:tc>
        <w:tc>
          <w:tcPr>
            <w:tcW w:w="1275" w:type="dxa"/>
          </w:tcPr>
          <w:p w14:paraId="7326CC8F" w14:textId="77777777" w:rsidR="00EF3DFB" w:rsidRDefault="00D27C17">
            <w:pPr>
              <w:pStyle w:val="TableParagraph"/>
              <w:spacing w:before="25"/>
              <w:ind w:left="408" w:right="380"/>
              <w:jc w:val="center"/>
              <w:rPr>
                <w:sz w:val="20"/>
              </w:rPr>
            </w:pPr>
            <w:r>
              <w:rPr>
                <w:sz w:val="20"/>
              </w:rPr>
              <w:t>(1.6)</w:t>
            </w:r>
          </w:p>
        </w:tc>
        <w:tc>
          <w:tcPr>
            <w:tcW w:w="1025" w:type="dxa"/>
          </w:tcPr>
          <w:p w14:paraId="7326CC90" w14:textId="77777777" w:rsidR="00EF3DFB" w:rsidRDefault="00D27C17">
            <w:pPr>
              <w:pStyle w:val="TableParagraph"/>
              <w:spacing w:before="25"/>
              <w:ind w:left="526"/>
              <w:rPr>
                <w:sz w:val="20"/>
              </w:rPr>
            </w:pPr>
            <w:r>
              <w:rPr>
                <w:sz w:val="20"/>
              </w:rPr>
              <w:t>2.1</w:t>
            </w:r>
          </w:p>
        </w:tc>
      </w:tr>
      <w:tr w:rsidR="00EF3DFB" w14:paraId="7326CC96" w14:textId="77777777">
        <w:trPr>
          <w:trHeight w:val="285"/>
        </w:trPr>
        <w:tc>
          <w:tcPr>
            <w:tcW w:w="5731" w:type="dxa"/>
            <w:shd w:val="clear" w:color="auto" w:fill="CCEDFF"/>
          </w:tcPr>
          <w:p w14:paraId="7326CC92" w14:textId="77777777" w:rsidR="00EF3DFB" w:rsidRDefault="00D27C17">
            <w:pPr>
              <w:pStyle w:val="TableParagraph"/>
              <w:spacing w:before="25"/>
              <w:ind w:left="52"/>
              <w:rPr>
                <w:sz w:val="20"/>
              </w:rPr>
            </w:pPr>
            <w:r>
              <w:rPr>
                <w:sz w:val="20"/>
              </w:rPr>
              <w:t>Foreign rate differential</w:t>
            </w:r>
          </w:p>
        </w:tc>
        <w:tc>
          <w:tcPr>
            <w:tcW w:w="2589" w:type="dxa"/>
            <w:shd w:val="clear" w:color="auto" w:fill="CCEDFF"/>
          </w:tcPr>
          <w:p w14:paraId="7326CC93" w14:textId="77777777" w:rsidR="00EF3DFB" w:rsidRDefault="00D27C17">
            <w:pPr>
              <w:pStyle w:val="TableParagraph"/>
              <w:spacing w:before="25"/>
              <w:ind w:right="496"/>
              <w:jc w:val="right"/>
              <w:rPr>
                <w:sz w:val="20"/>
              </w:rPr>
            </w:pPr>
            <w:r>
              <w:rPr>
                <w:sz w:val="20"/>
              </w:rPr>
              <w:t>2.7</w:t>
            </w:r>
          </w:p>
        </w:tc>
        <w:tc>
          <w:tcPr>
            <w:tcW w:w="1275" w:type="dxa"/>
            <w:shd w:val="clear" w:color="auto" w:fill="CCEDFF"/>
          </w:tcPr>
          <w:p w14:paraId="7326CC94" w14:textId="77777777" w:rsidR="00EF3DFB" w:rsidRDefault="00D27C17">
            <w:pPr>
              <w:pStyle w:val="TableParagraph"/>
              <w:spacing w:before="25"/>
              <w:ind w:left="408" w:right="380"/>
              <w:jc w:val="center"/>
              <w:rPr>
                <w:sz w:val="20"/>
              </w:rPr>
            </w:pPr>
            <w:r>
              <w:rPr>
                <w:sz w:val="20"/>
              </w:rPr>
              <w:t>4.9</w:t>
            </w:r>
          </w:p>
        </w:tc>
        <w:tc>
          <w:tcPr>
            <w:tcW w:w="1025" w:type="dxa"/>
            <w:shd w:val="clear" w:color="auto" w:fill="CCEDFF"/>
          </w:tcPr>
          <w:p w14:paraId="7326CC95" w14:textId="77777777" w:rsidR="00EF3DFB" w:rsidRDefault="00D27C17">
            <w:pPr>
              <w:pStyle w:val="TableParagraph"/>
              <w:spacing w:before="25"/>
              <w:ind w:left="526"/>
              <w:rPr>
                <w:sz w:val="20"/>
              </w:rPr>
            </w:pPr>
            <w:r>
              <w:rPr>
                <w:sz w:val="20"/>
              </w:rPr>
              <w:t>0.4</w:t>
            </w:r>
          </w:p>
        </w:tc>
      </w:tr>
      <w:tr w:rsidR="00EF3DFB" w14:paraId="7326CC9B" w14:textId="77777777">
        <w:trPr>
          <w:trHeight w:val="285"/>
        </w:trPr>
        <w:tc>
          <w:tcPr>
            <w:tcW w:w="5731" w:type="dxa"/>
          </w:tcPr>
          <w:p w14:paraId="7326CC97" w14:textId="77777777" w:rsidR="00EF3DFB" w:rsidRDefault="00D27C17">
            <w:pPr>
              <w:pStyle w:val="TableParagraph"/>
              <w:spacing w:before="25"/>
              <w:ind w:left="52"/>
              <w:rPr>
                <w:sz w:val="20"/>
              </w:rPr>
            </w:pPr>
            <w:r>
              <w:rPr>
                <w:sz w:val="20"/>
              </w:rPr>
              <w:t>Change in uncertain tax positions</w:t>
            </w:r>
          </w:p>
        </w:tc>
        <w:tc>
          <w:tcPr>
            <w:tcW w:w="2589" w:type="dxa"/>
          </w:tcPr>
          <w:p w14:paraId="7326CC98" w14:textId="77777777" w:rsidR="00EF3DFB" w:rsidRDefault="00D27C17">
            <w:pPr>
              <w:pStyle w:val="TableParagraph"/>
              <w:spacing w:before="25"/>
              <w:ind w:right="496"/>
              <w:jc w:val="right"/>
              <w:rPr>
                <w:sz w:val="20"/>
              </w:rPr>
            </w:pPr>
            <w:r>
              <w:rPr>
                <w:sz w:val="20"/>
              </w:rPr>
              <w:t>4.5</w:t>
            </w:r>
          </w:p>
        </w:tc>
        <w:tc>
          <w:tcPr>
            <w:tcW w:w="1275" w:type="dxa"/>
          </w:tcPr>
          <w:p w14:paraId="7326CC99" w14:textId="77777777" w:rsidR="00EF3DFB" w:rsidRDefault="00D27C17">
            <w:pPr>
              <w:pStyle w:val="TableParagraph"/>
              <w:spacing w:before="25"/>
              <w:ind w:left="408" w:right="380"/>
              <w:jc w:val="center"/>
              <w:rPr>
                <w:sz w:val="20"/>
              </w:rPr>
            </w:pPr>
            <w:r>
              <w:rPr>
                <w:sz w:val="20"/>
              </w:rPr>
              <w:t>5.9</w:t>
            </w:r>
          </w:p>
        </w:tc>
        <w:tc>
          <w:tcPr>
            <w:tcW w:w="1025" w:type="dxa"/>
          </w:tcPr>
          <w:p w14:paraId="7326CC9A" w14:textId="77777777" w:rsidR="00EF3DFB" w:rsidRDefault="00D27C17">
            <w:pPr>
              <w:pStyle w:val="TableParagraph"/>
              <w:spacing w:before="25"/>
              <w:ind w:left="526"/>
              <w:rPr>
                <w:sz w:val="20"/>
              </w:rPr>
            </w:pPr>
            <w:r>
              <w:rPr>
                <w:sz w:val="20"/>
              </w:rPr>
              <w:t>0.2</w:t>
            </w:r>
          </w:p>
        </w:tc>
      </w:tr>
      <w:tr w:rsidR="00EF3DFB" w14:paraId="7326CCA0" w14:textId="77777777">
        <w:trPr>
          <w:trHeight w:val="285"/>
        </w:trPr>
        <w:tc>
          <w:tcPr>
            <w:tcW w:w="5731" w:type="dxa"/>
            <w:shd w:val="clear" w:color="auto" w:fill="CCEDFF"/>
          </w:tcPr>
          <w:p w14:paraId="7326CC9C" w14:textId="77777777" w:rsidR="00EF3DFB" w:rsidRDefault="00D27C17">
            <w:pPr>
              <w:pStyle w:val="TableParagraph"/>
              <w:spacing w:before="25"/>
              <w:ind w:left="52"/>
              <w:rPr>
                <w:sz w:val="20"/>
              </w:rPr>
            </w:pPr>
            <w:r>
              <w:rPr>
                <w:sz w:val="20"/>
              </w:rPr>
              <w:t>Change in valuation allowance reserve</w:t>
            </w:r>
          </w:p>
        </w:tc>
        <w:tc>
          <w:tcPr>
            <w:tcW w:w="2589" w:type="dxa"/>
            <w:shd w:val="clear" w:color="auto" w:fill="CCEDFF"/>
          </w:tcPr>
          <w:p w14:paraId="7326CC9D" w14:textId="77777777" w:rsidR="00EF3DFB" w:rsidRDefault="00D27C17">
            <w:pPr>
              <w:pStyle w:val="TableParagraph"/>
              <w:spacing w:before="25"/>
              <w:ind w:right="496"/>
              <w:jc w:val="right"/>
              <w:rPr>
                <w:sz w:val="20"/>
              </w:rPr>
            </w:pPr>
            <w:r>
              <w:rPr>
                <w:sz w:val="20"/>
              </w:rPr>
              <w:t>3.0</w:t>
            </w:r>
          </w:p>
        </w:tc>
        <w:tc>
          <w:tcPr>
            <w:tcW w:w="1275" w:type="dxa"/>
            <w:shd w:val="clear" w:color="auto" w:fill="CCEDFF"/>
          </w:tcPr>
          <w:p w14:paraId="7326CC9E" w14:textId="77777777" w:rsidR="00EF3DFB" w:rsidRDefault="00D27C17">
            <w:pPr>
              <w:pStyle w:val="TableParagraph"/>
              <w:spacing w:before="25"/>
              <w:ind w:left="408" w:right="380"/>
              <w:jc w:val="center"/>
              <w:rPr>
                <w:sz w:val="20"/>
              </w:rPr>
            </w:pPr>
            <w:r>
              <w:rPr>
                <w:sz w:val="20"/>
              </w:rPr>
              <w:t>(5.9)</w:t>
            </w:r>
          </w:p>
        </w:tc>
        <w:tc>
          <w:tcPr>
            <w:tcW w:w="1025" w:type="dxa"/>
            <w:shd w:val="clear" w:color="auto" w:fill="CCEDFF"/>
          </w:tcPr>
          <w:p w14:paraId="7326CC9F" w14:textId="77777777" w:rsidR="00EF3DFB" w:rsidRDefault="00D27C17">
            <w:pPr>
              <w:pStyle w:val="TableParagraph"/>
              <w:spacing w:before="25"/>
              <w:ind w:left="526"/>
              <w:rPr>
                <w:sz w:val="20"/>
              </w:rPr>
            </w:pPr>
            <w:r>
              <w:rPr>
                <w:sz w:val="20"/>
              </w:rPr>
              <w:t>0.8</w:t>
            </w:r>
          </w:p>
        </w:tc>
      </w:tr>
      <w:tr w:rsidR="00EF3DFB" w14:paraId="7326CCA5" w14:textId="77777777">
        <w:trPr>
          <w:trHeight w:val="285"/>
        </w:trPr>
        <w:tc>
          <w:tcPr>
            <w:tcW w:w="5731" w:type="dxa"/>
          </w:tcPr>
          <w:p w14:paraId="7326CCA1" w14:textId="77777777" w:rsidR="00EF3DFB" w:rsidRDefault="00D27C17">
            <w:pPr>
              <w:pStyle w:val="TableParagraph"/>
              <w:spacing w:before="25"/>
              <w:ind w:left="52"/>
              <w:rPr>
                <w:sz w:val="20"/>
              </w:rPr>
            </w:pPr>
            <w:r>
              <w:rPr>
                <w:sz w:val="20"/>
              </w:rPr>
              <w:t>Impairments</w:t>
            </w:r>
          </w:p>
        </w:tc>
        <w:tc>
          <w:tcPr>
            <w:tcW w:w="2589" w:type="dxa"/>
          </w:tcPr>
          <w:p w14:paraId="7326CCA2" w14:textId="77777777" w:rsidR="00EF3DFB" w:rsidRDefault="00D27C17">
            <w:pPr>
              <w:pStyle w:val="TableParagraph"/>
              <w:spacing w:before="25"/>
              <w:ind w:right="429"/>
              <w:jc w:val="right"/>
              <w:rPr>
                <w:sz w:val="20"/>
              </w:rPr>
            </w:pPr>
            <w:r>
              <w:rPr>
                <w:sz w:val="20"/>
              </w:rPr>
              <w:t>(4.4)</w:t>
            </w:r>
          </w:p>
        </w:tc>
        <w:tc>
          <w:tcPr>
            <w:tcW w:w="1275" w:type="dxa"/>
          </w:tcPr>
          <w:p w14:paraId="7326CCA3" w14:textId="77777777" w:rsidR="00EF3DFB" w:rsidRDefault="00D27C17">
            <w:pPr>
              <w:pStyle w:val="TableParagraph"/>
              <w:spacing w:before="25"/>
              <w:ind w:left="408" w:right="380"/>
              <w:jc w:val="center"/>
              <w:rPr>
                <w:sz w:val="20"/>
              </w:rPr>
            </w:pPr>
            <w:r>
              <w:rPr>
                <w:sz w:val="20"/>
              </w:rPr>
              <w:t>(3.3)</w:t>
            </w:r>
          </w:p>
        </w:tc>
        <w:tc>
          <w:tcPr>
            <w:tcW w:w="1025" w:type="dxa"/>
          </w:tcPr>
          <w:p w14:paraId="7326CCA4" w14:textId="77777777" w:rsidR="00EF3DFB" w:rsidRDefault="00D27C17">
            <w:pPr>
              <w:pStyle w:val="TableParagraph"/>
              <w:spacing w:before="25"/>
              <w:ind w:left="460"/>
              <w:rPr>
                <w:sz w:val="20"/>
              </w:rPr>
            </w:pPr>
            <w:r>
              <w:rPr>
                <w:sz w:val="20"/>
              </w:rPr>
              <w:t>(9.7)</w:t>
            </w:r>
          </w:p>
        </w:tc>
      </w:tr>
      <w:tr w:rsidR="00EF3DFB" w14:paraId="7326CCAA" w14:textId="77777777">
        <w:trPr>
          <w:trHeight w:val="285"/>
        </w:trPr>
        <w:tc>
          <w:tcPr>
            <w:tcW w:w="5731" w:type="dxa"/>
            <w:shd w:val="clear" w:color="auto" w:fill="CCEDFF"/>
          </w:tcPr>
          <w:p w14:paraId="7326CCA6" w14:textId="77777777" w:rsidR="00EF3DFB" w:rsidRDefault="00D27C17">
            <w:pPr>
              <w:pStyle w:val="TableParagraph"/>
              <w:spacing w:before="25"/>
              <w:ind w:left="52"/>
              <w:rPr>
                <w:sz w:val="20"/>
              </w:rPr>
            </w:pPr>
            <w:r>
              <w:rPr>
                <w:sz w:val="20"/>
              </w:rPr>
              <w:t>Capital loss</w:t>
            </w:r>
          </w:p>
        </w:tc>
        <w:tc>
          <w:tcPr>
            <w:tcW w:w="2589" w:type="dxa"/>
            <w:shd w:val="clear" w:color="auto" w:fill="CCEDFF"/>
          </w:tcPr>
          <w:p w14:paraId="7326CCA7" w14:textId="77777777" w:rsidR="00EF3DFB" w:rsidRDefault="00D27C17">
            <w:pPr>
              <w:pStyle w:val="TableParagraph"/>
              <w:spacing w:before="25"/>
              <w:ind w:right="496"/>
              <w:jc w:val="right"/>
              <w:rPr>
                <w:sz w:val="20"/>
              </w:rPr>
            </w:pPr>
            <w:r>
              <w:rPr>
                <w:sz w:val="20"/>
              </w:rPr>
              <w:t>3.0</w:t>
            </w:r>
          </w:p>
        </w:tc>
        <w:tc>
          <w:tcPr>
            <w:tcW w:w="1275" w:type="dxa"/>
            <w:shd w:val="clear" w:color="auto" w:fill="CCEDFF"/>
          </w:tcPr>
          <w:p w14:paraId="7326CCA8" w14:textId="77777777" w:rsidR="00EF3DFB" w:rsidRDefault="00D27C17">
            <w:pPr>
              <w:pStyle w:val="TableParagraph"/>
              <w:spacing w:before="25"/>
              <w:ind w:left="342" w:right="411"/>
              <w:jc w:val="center"/>
              <w:rPr>
                <w:sz w:val="20"/>
              </w:rPr>
            </w:pPr>
            <w:r>
              <w:rPr>
                <w:sz w:val="20"/>
              </w:rPr>
              <w:t>25.4</w:t>
            </w:r>
          </w:p>
        </w:tc>
        <w:tc>
          <w:tcPr>
            <w:tcW w:w="1025" w:type="dxa"/>
            <w:shd w:val="clear" w:color="auto" w:fill="CCEDFF"/>
          </w:tcPr>
          <w:p w14:paraId="7326CCA9" w14:textId="77777777" w:rsidR="00EF3DFB" w:rsidRDefault="00D27C17">
            <w:pPr>
              <w:pStyle w:val="TableParagraph"/>
              <w:spacing w:before="25"/>
              <w:ind w:left="576"/>
              <w:rPr>
                <w:sz w:val="20"/>
              </w:rPr>
            </w:pPr>
            <w:r>
              <w:rPr>
                <w:sz w:val="20"/>
              </w:rPr>
              <w:t>—</w:t>
            </w:r>
          </w:p>
        </w:tc>
      </w:tr>
      <w:tr w:rsidR="00EF3DFB" w14:paraId="7326CCAF" w14:textId="77777777">
        <w:trPr>
          <w:trHeight w:val="285"/>
        </w:trPr>
        <w:tc>
          <w:tcPr>
            <w:tcW w:w="5731" w:type="dxa"/>
          </w:tcPr>
          <w:p w14:paraId="7326CCAB" w14:textId="77777777" w:rsidR="00EF3DFB" w:rsidRDefault="00D27C17">
            <w:pPr>
              <w:pStyle w:val="TableParagraph"/>
              <w:spacing w:before="25"/>
              <w:ind w:left="52"/>
              <w:rPr>
                <w:sz w:val="20"/>
              </w:rPr>
            </w:pPr>
            <w:r>
              <w:rPr>
                <w:sz w:val="20"/>
              </w:rPr>
              <w:t>Reversal of outside basis difference</w:t>
            </w:r>
          </w:p>
        </w:tc>
        <w:tc>
          <w:tcPr>
            <w:tcW w:w="2589" w:type="dxa"/>
          </w:tcPr>
          <w:p w14:paraId="7326CCAC" w14:textId="77777777" w:rsidR="00EF3DFB" w:rsidRDefault="00D27C17">
            <w:pPr>
              <w:pStyle w:val="TableParagraph"/>
              <w:spacing w:before="25"/>
              <w:ind w:right="429"/>
              <w:jc w:val="right"/>
              <w:rPr>
                <w:sz w:val="20"/>
              </w:rPr>
            </w:pPr>
            <w:r>
              <w:rPr>
                <w:sz w:val="20"/>
              </w:rPr>
              <w:t>(5.2)</w:t>
            </w:r>
          </w:p>
        </w:tc>
        <w:tc>
          <w:tcPr>
            <w:tcW w:w="1275" w:type="dxa"/>
          </w:tcPr>
          <w:p w14:paraId="7326CCAD" w14:textId="77777777" w:rsidR="00EF3DFB" w:rsidRDefault="00D27C17">
            <w:pPr>
              <w:pStyle w:val="TableParagraph"/>
              <w:spacing w:before="25"/>
              <w:ind w:left="408" w:right="380"/>
              <w:jc w:val="center"/>
              <w:rPr>
                <w:sz w:val="20"/>
              </w:rPr>
            </w:pPr>
            <w:r>
              <w:rPr>
                <w:sz w:val="20"/>
              </w:rPr>
              <w:t>0.4</w:t>
            </w:r>
          </w:p>
        </w:tc>
        <w:tc>
          <w:tcPr>
            <w:tcW w:w="1025" w:type="dxa"/>
          </w:tcPr>
          <w:p w14:paraId="7326CCAE" w14:textId="77777777" w:rsidR="00EF3DFB" w:rsidRDefault="00D27C17">
            <w:pPr>
              <w:pStyle w:val="TableParagraph"/>
              <w:spacing w:before="25"/>
              <w:ind w:left="576"/>
              <w:rPr>
                <w:sz w:val="20"/>
              </w:rPr>
            </w:pPr>
            <w:r>
              <w:rPr>
                <w:sz w:val="20"/>
              </w:rPr>
              <w:t>—</w:t>
            </w:r>
          </w:p>
        </w:tc>
      </w:tr>
      <w:tr w:rsidR="00EF3DFB" w14:paraId="7326CCB4" w14:textId="77777777">
        <w:trPr>
          <w:trHeight w:val="285"/>
        </w:trPr>
        <w:tc>
          <w:tcPr>
            <w:tcW w:w="5731" w:type="dxa"/>
            <w:shd w:val="clear" w:color="auto" w:fill="CCEDFF"/>
          </w:tcPr>
          <w:p w14:paraId="7326CCB0" w14:textId="77777777" w:rsidR="00EF3DFB" w:rsidRDefault="00D27C17">
            <w:pPr>
              <w:pStyle w:val="TableParagraph"/>
              <w:spacing w:before="25"/>
              <w:ind w:left="52"/>
              <w:rPr>
                <w:sz w:val="20"/>
              </w:rPr>
            </w:pPr>
            <w:r>
              <w:rPr>
                <w:sz w:val="20"/>
              </w:rPr>
              <w:t>Non-deductible compensation</w:t>
            </w:r>
          </w:p>
        </w:tc>
        <w:tc>
          <w:tcPr>
            <w:tcW w:w="2589" w:type="dxa"/>
            <w:shd w:val="clear" w:color="auto" w:fill="CCEDFF"/>
          </w:tcPr>
          <w:p w14:paraId="7326CCB1" w14:textId="77777777" w:rsidR="00EF3DFB" w:rsidRDefault="00D27C17">
            <w:pPr>
              <w:pStyle w:val="TableParagraph"/>
              <w:spacing w:before="25"/>
              <w:ind w:right="429"/>
              <w:jc w:val="right"/>
              <w:rPr>
                <w:sz w:val="20"/>
              </w:rPr>
            </w:pPr>
            <w:r>
              <w:rPr>
                <w:sz w:val="20"/>
              </w:rPr>
              <w:t>(1.2)</w:t>
            </w:r>
          </w:p>
        </w:tc>
        <w:tc>
          <w:tcPr>
            <w:tcW w:w="1275" w:type="dxa"/>
            <w:shd w:val="clear" w:color="auto" w:fill="CCEDFF"/>
          </w:tcPr>
          <w:p w14:paraId="7326CCB2" w14:textId="77777777" w:rsidR="00EF3DFB" w:rsidRDefault="00D27C17">
            <w:pPr>
              <w:pStyle w:val="TableParagraph"/>
              <w:spacing w:before="25"/>
              <w:ind w:left="408" w:right="380"/>
              <w:jc w:val="center"/>
              <w:rPr>
                <w:sz w:val="20"/>
              </w:rPr>
            </w:pPr>
            <w:r>
              <w:rPr>
                <w:sz w:val="20"/>
              </w:rPr>
              <w:t>(1.6)</w:t>
            </w:r>
          </w:p>
        </w:tc>
        <w:tc>
          <w:tcPr>
            <w:tcW w:w="1025" w:type="dxa"/>
            <w:shd w:val="clear" w:color="auto" w:fill="CCEDFF"/>
          </w:tcPr>
          <w:p w14:paraId="7326CCB3" w14:textId="77777777" w:rsidR="00EF3DFB" w:rsidRDefault="00D27C17">
            <w:pPr>
              <w:pStyle w:val="TableParagraph"/>
              <w:spacing w:before="25"/>
              <w:ind w:left="460"/>
              <w:rPr>
                <w:sz w:val="20"/>
              </w:rPr>
            </w:pPr>
            <w:r>
              <w:rPr>
                <w:sz w:val="20"/>
              </w:rPr>
              <w:t>(0.1)</w:t>
            </w:r>
          </w:p>
        </w:tc>
      </w:tr>
      <w:tr w:rsidR="00EF3DFB" w14:paraId="7326CCB9" w14:textId="77777777">
        <w:trPr>
          <w:trHeight w:val="285"/>
        </w:trPr>
        <w:tc>
          <w:tcPr>
            <w:tcW w:w="5731" w:type="dxa"/>
          </w:tcPr>
          <w:p w14:paraId="7326CCB5" w14:textId="77777777" w:rsidR="00EF3DFB" w:rsidRDefault="00D27C17">
            <w:pPr>
              <w:pStyle w:val="TableParagraph"/>
              <w:spacing w:before="25"/>
              <w:ind w:left="52"/>
              <w:rPr>
                <w:sz w:val="20"/>
              </w:rPr>
            </w:pPr>
            <w:r>
              <w:rPr>
                <w:sz w:val="20"/>
              </w:rPr>
              <w:t>Return to provision</w:t>
            </w:r>
          </w:p>
        </w:tc>
        <w:tc>
          <w:tcPr>
            <w:tcW w:w="2589" w:type="dxa"/>
          </w:tcPr>
          <w:p w14:paraId="7326CCB6" w14:textId="77777777" w:rsidR="00EF3DFB" w:rsidRDefault="00D27C17">
            <w:pPr>
              <w:pStyle w:val="TableParagraph"/>
              <w:spacing w:before="25"/>
              <w:ind w:right="496"/>
              <w:jc w:val="right"/>
              <w:rPr>
                <w:sz w:val="20"/>
              </w:rPr>
            </w:pPr>
            <w:r>
              <w:rPr>
                <w:sz w:val="20"/>
              </w:rPr>
              <w:t>1.7</w:t>
            </w:r>
          </w:p>
        </w:tc>
        <w:tc>
          <w:tcPr>
            <w:tcW w:w="1275" w:type="dxa"/>
          </w:tcPr>
          <w:p w14:paraId="7326CCB7" w14:textId="77777777" w:rsidR="00EF3DFB" w:rsidRDefault="00D27C17">
            <w:pPr>
              <w:pStyle w:val="TableParagraph"/>
              <w:spacing w:before="25"/>
              <w:ind w:left="408" w:right="380"/>
              <w:jc w:val="center"/>
              <w:rPr>
                <w:sz w:val="20"/>
              </w:rPr>
            </w:pPr>
            <w:r>
              <w:rPr>
                <w:sz w:val="20"/>
              </w:rPr>
              <w:t>2.2</w:t>
            </w:r>
          </w:p>
        </w:tc>
        <w:tc>
          <w:tcPr>
            <w:tcW w:w="1025" w:type="dxa"/>
          </w:tcPr>
          <w:p w14:paraId="7326CCB8" w14:textId="77777777" w:rsidR="00EF3DFB" w:rsidRDefault="00D27C17">
            <w:pPr>
              <w:pStyle w:val="TableParagraph"/>
              <w:spacing w:before="25"/>
              <w:ind w:left="460"/>
              <w:rPr>
                <w:sz w:val="20"/>
              </w:rPr>
            </w:pPr>
            <w:r>
              <w:rPr>
                <w:sz w:val="20"/>
              </w:rPr>
              <w:t>(0.1)</w:t>
            </w:r>
          </w:p>
        </w:tc>
      </w:tr>
      <w:tr w:rsidR="00EF3DFB" w14:paraId="7326CCBE" w14:textId="77777777">
        <w:trPr>
          <w:trHeight w:val="285"/>
        </w:trPr>
        <w:tc>
          <w:tcPr>
            <w:tcW w:w="5731" w:type="dxa"/>
            <w:shd w:val="clear" w:color="auto" w:fill="CCEDFF"/>
          </w:tcPr>
          <w:p w14:paraId="7326CCBA" w14:textId="77777777" w:rsidR="00EF3DFB" w:rsidRDefault="00D27C17">
            <w:pPr>
              <w:pStyle w:val="TableParagraph"/>
              <w:spacing w:before="25"/>
              <w:ind w:left="52"/>
              <w:rPr>
                <w:sz w:val="20"/>
              </w:rPr>
            </w:pPr>
            <w:r>
              <w:rPr>
                <w:sz w:val="20"/>
              </w:rPr>
              <w:t>Other taxes</w:t>
            </w:r>
          </w:p>
        </w:tc>
        <w:tc>
          <w:tcPr>
            <w:tcW w:w="2589" w:type="dxa"/>
            <w:shd w:val="clear" w:color="auto" w:fill="CCEDFF"/>
          </w:tcPr>
          <w:p w14:paraId="7326CCBB" w14:textId="77777777" w:rsidR="00EF3DFB" w:rsidRDefault="00D27C17">
            <w:pPr>
              <w:pStyle w:val="TableParagraph"/>
              <w:spacing w:before="25"/>
              <w:ind w:right="429"/>
              <w:jc w:val="right"/>
              <w:rPr>
                <w:sz w:val="20"/>
              </w:rPr>
            </w:pPr>
            <w:r>
              <w:rPr>
                <w:sz w:val="20"/>
              </w:rPr>
              <w:t>(0.9)</w:t>
            </w:r>
          </w:p>
        </w:tc>
        <w:tc>
          <w:tcPr>
            <w:tcW w:w="1275" w:type="dxa"/>
            <w:shd w:val="clear" w:color="auto" w:fill="CCEDFF"/>
          </w:tcPr>
          <w:p w14:paraId="7326CCBC" w14:textId="77777777" w:rsidR="00EF3DFB" w:rsidRDefault="00D27C17">
            <w:pPr>
              <w:pStyle w:val="TableParagraph"/>
              <w:spacing w:before="25"/>
              <w:ind w:left="408" w:right="380"/>
              <w:jc w:val="center"/>
              <w:rPr>
                <w:sz w:val="20"/>
              </w:rPr>
            </w:pPr>
            <w:r>
              <w:rPr>
                <w:sz w:val="20"/>
              </w:rPr>
              <w:t>1.6</w:t>
            </w:r>
          </w:p>
        </w:tc>
        <w:tc>
          <w:tcPr>
            <w:tcW w:w="1025" w:type="dxa"/>
            <w:shd w:val="clear" w:color="auto" w:fill="CCEDFF"/>
          </w:tcPr>
          <w:p w14:paraId="7326CCBD" w14:textId="77777777" w:rsidR="00EF3DFB" w:rsidRDefault="00D27C17">
            <w:pPr>
              <w:pStyle w:val="TableParagraph"/>
              <w:spacing w:before="25"/>
              <w:ind w:left="526"/>
              <w:rPr>
                <w:sz w:val="20"/>
              </w:rPr>
            </w:pPr>
            <w:r>
              <w:rPr>
                <w:sz w:val="20"/>
              </w:rPr>
              <w:t>0.1</w:t>
            </w:r>
          </w:p>
        </w:tc>
      </w:tr>
      <w:tr w:rsidR="00EF3DFB" w14:paraId="7326CCC3" w14:textId="77777777">
        <w:trPr>
          <w:trHeight w:val="285"/>
        </w:trPr>
        <w:tc>
          <w:tcPr>
            <w:tcW w:w="5731" w:type="dxa"/>
          </w:tcPr>
          <w:p w14:paraId="7326CCBF" w14:textId="77777777" w:rsidR="00EF3DFB" w:rsidRDefault="00D27C17">
            <w:pPr>
              <w:pStyle w:val="TableParagraph"/>
              <w:spacing w:before="25"/>
              <w:ind w:left="52"/>
              <w:rPr>
                <w:sz w:val="20"/>
              </w:rPr>
            </w:pPr>
            <w:r>
              <w:rPr>
                <w:sz w:val="20"/>
              </w:rPr>
              <w:t>Outbound transfer of U.S. assets (2)</w:t>
            </w:r>
          </w:p>
        </w:tc>
        <w:tc>
          <w:tcPr>
            <w:tcW w:w="2589" w:type="dxa"/>
          </w:tcPr>
          <w:p w14:paraId="7326CCC0" w14:textId="77777777" w:rsidR="00EF3DFB" w:rsidRDefault="00D27C17">
            <w:pPr>
              <w:pStyle w:val="TableParagraph"/>
              <w:spacing w:before="25"/>
              <w:ind w:right="429"/>
              <w:jc w:val="right"/>
              <w:rPr>
                <w:sz w:val="20"/>
              </w:rPr>
            </w:pPr>
            <w:r>
              <w:rPr>
                <w:sz w:val="20"/>
              </w:rPr>
              <w:t>(6.9)</w:t>
            </w:r>
          </w:p>
        </w:tc>
        <w:tc>
          <w:tcPr>
            <w:tcW w:w="1275" w:type="dxa"/>
          </w:tcPr>
          <w:p w14:paraId="7326CCC1" w14:textId="77777777" w:rsidR="00EF3DFB" w:rsidRDefault="00D27C17">
            <w:pPr>
              <w:pStyle w:val="TableParagraph"/>
              <w:spacing w:before="25"/>
              <w:ind w:left="342" w:right="411"/>
              <w:jc w:val="center"/>
              <w:rPr>
                <w:sz w:val="20"/>
              </w:rPr>
            </w:pPr>
            <w:r>
              <w:rPr>
                <w:sz w:val="20"/>
              </w:rPr>
              <w:t>68.3</w:t>
            </w:r>
          </w:p>
        </w:tc>
        <w:tc>
          <w:tcPr>
            <w:tcW w:w="1025" w:type="dxa"/>
          </w:tcPr>
          <w:p w14:paraId="7326CCC2" w14:textId="77777777" w:rsidR="00EF3DFB" w:rsidRDefault="00D27C17">
            <w:pPr>
              <w:pStyle w:val="TableParagraph"/>
              <w:spacing w:before="25"/>
              <w:ind w:left="576"/>
              <w:rPr>
                <w:sz w:val="20"/>
              </w:rPr>
            </w:pPr>
            <w:r>
              <w:rPr>
                <w:sz w:val="20"/>
              </w:rPr>
              <w:t>—</w:t>
            </w:r>
          </w:p>
        </w:tc>
      </w:tr>
      <w:tr w:rsidR="00EF3DFB" w14:paraId="7326CCC8" w14:textId="77777777">
        <w:trPr>
          <w:trHeight w:val="275"/>
        </w:trPr>
        <w:tc>
          <w:tcPr>
            <w:tcW w:w="5731" w:type="dxa"/>
            <w:shd w:val="clear" w:color="auto" w:fill="CCEDFF"/>
          </w:tcPr>
          <w:p w14:paraId="7326CCC4" w14:textId="77777777" w:rsidR="00EF3DFB" w:rsidRDefault="00D27C17">
            <w:pPr>
              <w:pStyle w:val="TableParagraph"/>
              <w:spacing w:before="25" w:line="230" w:lineRule="exact"/>
              <w:ind w:left="52"/>
              <w:rPr>
                <w:sz w:val="20"/>
              </w:rPr>
            </w:pPr>
            <w:r>
              <w:rPr>
                <w:sz w:val="20"/>
              </w:rPr>
              <w:t>Other</w:t>
            </w:r>
          </w:p>
        </w:tc>
        <w:tc>
          <w:tcPr>
            <w:tcW w:w="2589" w:type="dxa"/>
            <w:tcBorders>
              <w:bottom w:val="single" w:sz="8" w:space="0" w:color="000000"/>
            </w:tcBorders>
            <w:shd w:val="clear" w:color="auto" w:fill="CCEDFF"/>
          </w:tcPr>
          <w:p w14:paraId="7326CCC5" w14:textId="77777777" w:rsidR="00EF3DFB" w:rsidRDefault="00D27C17">
            <w:pPr>
              <w:pStyle w:val="TableParagraph"/>
              <w:spacing w:before="25" w:line="230" w:lineRule="exact"/>
              <w:ind w:right="496"/>
              <w:jc w:val="right"/>
              <w:rPr>
                <w:sz w:val="20"/>
              </w:rPr>
            </w:pPr>
            <w:r>
              <w:rPr>
                <w:sz w:val="20"/>
              </w:rPr>
              <w:t>0.2</w:t>
            </w:r>
          </w:p>
        </w:tc>
        <w:tc>
          <w:tcPr>
            <w:tcW w:w="1275" w:type="dxa"/>
            <w:tcBorders>
              <w:bottom w:val="single" w:sz="8" w:space="0" w:color="000000"/>
            </w:tcBorders>
            <w:shd w:val="clear" w:color="auto" w:fill="CCEDFF"/>
          </w:tcPr>
          <w:p w14:paraId="7326CCC6" w14:textId="77777777" w:rsidR="00EF3DFB" w:rsidRDefault="00D27C17">
            <w:pPr>
              <w:pStyle w:val="TableParagraph"/>
              <w:spacing w:before="25" w:line="230" w:lineRule="exact"/>
              <w:ind w:left="408" w:right="380"/>
              <w:jc w:val="center"/>
              <w:rPr>
                <w:sz w:val="20"/>
              </w:rPr>
            </w:pPr>
            <w:r>
              <w:rPr>
                <w:sz w:val="20"/>
              </w:rPr>
              <w:t>0.8</w:t>
            </w:r>
          </w:p>
        </w:tc>
        <w:tc>
          <w:tcPr>
            <w:tcW w:w="1025" w:type="dxa"/>
            <w:tcBorders>
              <w:bottom w:val="single" w:sz="8" w:space="0" w:color="000000"/>
            </w:tcBorders>
            <w:shd w:val="clear" w:color="auto" w:fill="CCEDFF"/>
          </w:tcPr>
          <w:p w14:paraId="7326CCC7" w14:textId="77777777" w:rsidR="00EF3DFB" w:rsidRDefault="00D27C17">
            <w:pPr>
              <w:pStyle w:val="TableParagraph"/>
              <w:spacing w:before="25" w:line="230" w:lineRule="exact"/>
              <w:ind w:left="460"/>
              <w:rPr>
                <w:sz w:val="20"/>
              </w:rPr>
            </w:pPr>
            <w:r>
              <w:rPr>
                <w:sz w:val="20"/>
              </w:rPr>
              <w:t>(0.1)</w:t>
            </w:r>
          </w:p>
        </w:tc>
      </w:tr>
    </w:tbl>
    <w:p w14:paraId="7326CCC9" w14:textId="34856BFA" w:rsidR="00EF3DFB" w:rsidRDefault="00D27C17">
      <w:pPr>
        <w:pStyle w:val="BodyText"/>
        <w:tabs>
          <w:tab w:val="left" w:pos="7059"/>
          <w:tab w:val="left" w:pos="7661"/>
          <w:tab w:val="left" w:pos="8836"/>
          <w:tab w:val="left" w:pos="10211"/>
        </w:tabs>
        <w:spacing w:before="5"/>
        <w:ind w:left="242"/>
      </w:pPr>
      <w:r>
        <w:rPr>
          <w:noProof/>
        </w:rPr>
        <mc:AlternateContent>
          <mc:Choice Requires="wps">
            <w:drawing>
              <wp:anchor distT="0" distB="0" distL="0" distR="0" simplePos="0" relativeHeight="3664" behindDoc="0" locked="0" layoutInCell="1" allowOverlap="1" wp14:anchorId="7326D75B" wp14:editId="5814E441">
                <wp:simplePos x="0" y="0"/>
                <wp:positionH relativeFrom="page">
                  <wp:posOffset>4876800</wp:posOffset>
                </wp:positionH>
                <wp:positionV relativeFrom="paragraph">
                  <wp:posOffset>180975</wp:posOffset>
                </wp:positionV>
                <wp:extent cx="762000" cy="0"/>
                <wp:effectExtent l="9525" t="9525" r="9525" b="9525"/>
                <wp:wrapTopAndBottom/>
                <wp:docPr id="27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0BAAC" id="Line 254" o:spid="_x0000_s1026" style="position:absolute;z-index: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pt,14.25pt" to="4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3688" behindDoc="0" locked="0" layoutInCell="1" allowOverlap="1" wp14:anchorId="7326D75C" wp14:editId="4583D521">
                <wp:simplePos x="0" y="0"/>
                <wp:positionH relativeFrom="page">
                  <wp:posOffset>5686425</wp:posOffset>
                </wp:positionH>
                <wp:positionV relativeFrom="paragraph">
                  <wp:posOffset>180975</wp:posOffset>
                </wp:positionV>
                <wp:extent cx="762000" cy="0"/>
                <wp:effectExtent l="9525" t="9525" r="9525" b="9525"/>
                <wp:wrapTopAndBottom/>
                <wp:docPr id="27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195F" id="Line 253" o:spid="_x0000_s1026" style="position:absolute;z-index:3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75pt,14.25pt" to="50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" strokeweight="1pt">
                <w10:wrap type="topAndBottom" anchorx="page"/>
              </v:line>
            </w:pict>
          </mc:Fallback>
        </mc:AlternateContent>
      </w:r>
      <w:r>
        <w:rPr>
          <w:noProof/>
        </w:rPr>
        <mc:AlternateContent>
          <mc:Choice Requires="wps">
            <w:drawing>
              <wp:anchor distT="0" distB="0" distL="0" distR="0" simplePos="0" relativeHeight="3712" behindDoc="0" locked="0" layoutInCell="1" allowOverlap="1" wp14:anchorId="7326D75D" wp14:editId="65B6ECA3">
                <wp:simplePos x="0" y="0"/>
                <wp:positionH relativeFrom="page">
                  <wp:posOffset>6496050</wp:posOffset>
                </wp:positionH>
                <wp:positionV relativeFrom="paragraph">
                  <wp:posOffset>180975</wp:posOffset>
                </wp:positionV>
                <wp:extent cx="762000" cy="0"/>
                <wp:effectExtent l="9525" t="9525" r="9525" b="9525"/>
                <wp:wrapTopAndBottom/>
                <wp:docPr id="26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6033" id="Line 252" o:spid="_x0000_s1026" style="position:absolute;z-index: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5pt,14.25pt" to="57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" strokeweight="1pt">
                <w10:wrap type="topAndBottom" anchorx="page"/>
              </v:line>
            </w:pict>
          </mc:Fallback>
        </mc:AlternateContent>
      </w:r>
      <w:r>
        <w:t>Effective</w:t>
      </w:r>
      <w:r>
        <w:rPr>
          <w:spacing w:val="-4"/>
        </w:rPr>
        <w:t xml:space="preserve"> </w:t>
      </w:r>
      <w:r>
        <w:t>rate</w:t>
      </w:r>
      <w:r>
        <w:tab/>
      </w:r>
      <w:r>
        <w:rPr>
          <w:u w:val="single"/>
        </w:rPr>
        <w:t xml:space="preserve"> </w:t>
      </w:r>
      <w:r>
        <w:rPr>
          <w:u w:val="single"/>
        </w:rPr>
        <w:tab/>
        <w:t>23.5</w:t>
      </w:r>
      <w:r>
        <w:rPr>
          <w:spacing w:val="15"/>
          <w:u w:val="single"/>
        </w:rPr>
        <w:t xml:space="preserve"> </w:t>
      </w:r>
      <w:r>
        <w:rPr>
          <w:u w:val="single"/>
        </w:rPr>
        <w:t xml:space="preserve">% </w:t>
      </w:r>
      <w:r>
        <w:rPr>
          <w:u w:val="single"/>
        </w:rPr>
        <w:tab/>
        <w:t>121.9</w:t>
      </w:r>
      <w:r>
        <w:rPr>
          <w:spacing w:val="15"/>
          <w:u w:val="single"/>
        </w:rPr>
        <w:t xml:space="preserve"> </w:t>
      </w:r>
      <w:r>
        <w:rPr>
          <w:u w:val="single"/>
        </w:rPr>
        <w:t xml:space="preserve">% </w:t>
      </w:r>
      <w:r>
        <w:rPr>
          <w:u w:val="single"/>
        </w:rPr>
        <w:tab/>
        <w:t>17.0</w:t>
      </w:r>
      <w:r>
        <w:rPr>
          <w:spacing w:val="15"/>
          <w:u w:val="single"/>
        </w:rPr>
        <w:t xml:space="preserve"> </w:t>
      </w:r>
      <w:r>
        <w:rPr>
          <w:u w:val="single"/>
        </w:rPr>
        <w:t>%</w:t>
      </w:r>
    </w:p>
    <w:p w14:paraId="7326CCCA" w14:textId="77777777" w:rsidR="00EF3DFB" w:rsidRDefault="00D27C17">
      <w:pPr>
        <w:pStyle w:val="ListParagraph"/>
        <w:numPr>
          <w:ilvl w:val="0"/>
          <w:numId w:val="20"/>
        </w:numPr>
        <w:tabs>
          <w:tab w:val="left" w:pos="910"/>
        </w:tabs>
        <w:spacing w:before="2"/>
        <w:rPr>
          <w:sz w:val="16"/>
        </w:rPr>
      </w:pPr>
      <w:r>
        <w:rPr>
          <w:sz w:val="16"/>
        </w:rPr>
        <w:t>The Company accounts for tax on GILTI as a period cost and the effects are included</w:t>
      </w:r>
      <w:r>
        <w:rPr>
          <w:spacing w:val="-4"/>
          <w:sz w:val="16"/>
        </w:rPr>
        <w:t xml:space="preserve"> </w:t>
      </w:r>
      <w:r>
        <w:rPr>
          <w:sz w:val="16"/>
        </w:rPr>
        <w:t>herein.</w:t>
      </w:r>
    </w:p>
    <w:p w14:paraId="7326CCCB" w14:textId="77777777" w:rsidR="00EF3DFB" w:rsidRDefault="00EF3DFB">
      <w:pPr>
        <w:pStyle w:val="BodyText"/>
        <w:spacing w:before="4"/>
        <w:rPr>
          <w:sz w:val="17"/>
        </w:rPr>
      </w:pPr>
    </w:p>
    <w:p w14:paraId="7326CCCC" w14:textId="77777777" w:rsidR="00EF3DFB" w:rsidRDefault="00D27C17">
      <w:pPr>
        <w:pStyle w:val="ListParagraph"/>
        <w:numPr>
          <w:ilvl w:val="0"/>
          <w:numId w:val="20"/>
        </w:numPr>
        <w:tabs>
          <w:tab w:val="left" w:pos="910"/>
        </w:tabs>
        <w:spacing w:before="1" w:line="249" w:lineRule="auto"/>
        <w:ind w:right="165"/>
        <w:jc w:val="both"/>
        <w:rPr>
          <w:sz w:val="16"/>
        </w:rPr>
      </w:pPr>
      <w:r>
        <w:rPr>
          <w:sz w:val="16"/>
        </w:rPr>
        <w:t xml:space="preserve">In connection with the Company's execution to rationalize its legal entities along with centralizing the ownership of certain intellectual property rights for its </w:t>
      </w:r>
      <w:r>
        <w:rPr>
          <w:sz w:val="16"/>
        </w:rPr>
        <w:t>comprehensive management and protection, the Company transferred these intellectual property rights to a wholly-owned subsidiary, which resulted in the creation of deferred tax assets and a corresponding income tax benefit of $522 million for the year ende</w:t>
      </w:r>
      <w:r>
        <w:rPr>
          <w:sz w:val="16"/>
        </w:rPr>
        <w:t>d December 31,</w:t>
      </w:r>
      <w:r>
        <w:rPr>
          <w:spacing w:val="-8"/>
          <w:sz w:val="16"/>
        </w:rPr>
        <w:t xml:space="preserve"> </w:t>
      </w:r>
      <w:r>
        <w:rPr>
          <w:sz w:val="16"/>
        </w:rPr>
        <w:t>2019.</w:t>
      </w:r>
    </w:p>
    <w:p w14:paraId="7326CCCD" w14:textId="77777777" w:rsidR="00EF3DFB" w:rsidRDefault="00EF3DFB">
      <w:pPr>
        <w:pStyle w:val="BodyText"/>
        <w:spacing w:before="2"/>
      </w:pPr>
    </w:p>
    <w:p w14:paraId="7326CCCE" w14:textId="77777777" w:rsidR="00EF3DFB" w:rsidRDefault="00D27C17">
      <w:pPr>
        <w:pStyle w:val="BodyText"/>
        <w:ind w:left="190"/>
      </w:pPr>
      <w:r>
        <w:t>At December 31, 2020, the Company has accumulated unremitted earnings generated by our foreign subsidiaries of approximately</w:t>
      </w:r>
    </w:p>
    <w:p w14:paraId="7326CCCF" w14:textId="77777777" w:rsidR="00EF3DFB" w:rsidRDefault="00D27C17">
      <w:pPr>
        <w:pStyle w:val="BodyText"/>
        <w:spacing w:before="10" w:line="249" w:lineRule="auto"/>
        <w:ind w:left="190" w:right="169"/>
        <w:jc w:val="both"/>
      </w:pPr>
      <w:r>
        <w:t>$6.0 billion. A portion of these earnings were subject to U.S. federal taxation with the one-time toll charge</w:t>
      </w:r>
      <w:r>
        <w:t>. The Company is no longer asserting indefinite reinvestment on a portion of its unremitted earnings of its foreign subsidiaries at December 31, 2020 and is recognizing deferred income taxes of approximately $5 million, primarily related to the future U.S.</w:t>
      </w:r>
      <w:r>
        <w:t xml:space="preserve"> state tax effects of unremitted</w:t>
      </w:r>
    </w:p>
    <w:p w14:paraId="7326CCD0" w14:textId="77777777" w:rsidR="00EF3DFB" w:rsidRDefault="00EF3DFB">
      <w:pPr>
        <w:spacing w:line="249" w:lineRule="auto"/>
        <w:jc w:val="both"/>
        <w:sectPr w:rsidR="00EF3DFB">
          <w:pgSz w:w="12240" w:h="15840"/>
          <w:pgMar w:top="600" w:right="640" w:bottom="480" w:left="620" w:header="0" w:footer="291" w:gutter="0"/>
          <w:cols w:space="720"/>
        </w:sectPr>
      </w:pPr>
    </w:p>
    <w:p w14:paraId="7326CCD1" w14:textId="77777777" w:rsidR="00EF3DFB" w:rsidRDefault="00D27C17">
      <w:pPr>
        <w:pStyle w:val="BodyText"/>
        <w:spacing w:before="72" w:line="249" w:lineRule="auto"/>
        <w:ind w:left="190" w:right="168"/>
        <w:jc w:val="both"/>
      </w:pPr>
      <w:r>
        <w:lastRenderedPageBreak/>
        <w:t>foreign earnings. With respect to unremitted earnings of $6.0 billion and any other additional outside basis differences where the Company is continuing to assert indefinite reinvestment, any future reversals could be subject to additional foreign withhold</w:t>
      </w:r>
      <w:r>
        <w:t>ing taxes, U.S. state taxes and certain tax impacts relating to foreign currency exchange effects on any future repatriations of the unremitted earnings. The determination of any unrecognized deferred tax liabilities on the amount of unremitted earnings an</w:t>
      </w:r>
      <w:r>
        <w:t>d other outside basis differences where the Company is asserting indefinite reinvestment is not practicable.</w:t>
      </w:r>
    </w:p>
    <w:p w14:paraId="7326CCD2" w14:textId="77777777" w:rsidR="00EF3DFB" w:rsidRDefault="00EF3DFB">
      <w:pPr>
        <w:pStyle w:val="BodyText"/>
        <w:spacing w:before="1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8145"/>
        <w:gridCol w:w="1256"/>
        <w:gridCol w:w="1218"/>
      </w:tblGrid>
      <w:tr w:rsidR="00EF3DFB" w14:paraId="7326CCD5" w14:textId="77777777">
        <w:trPr>
          <w:trHeight w:val="317"/>
        </w:trPr>
        <w:tc>
          <w:tcPr>
            <w:tcW w:w="8145" w:type="dxa"/>
          </w:tcPr>
          <w:p w14:paraId="7326CCD3" w14:textId="77777777" w:rsidR="00EF3DFB" w:rsidRDefault="00D27C17">
            <w:pPr>
              <w:pStyle w:val="TableParagraph"/>
              <w:spacing w:line="221" w:lineRule="exact"/>
              <w:rPr>
                <w:sz w:val="20"/>
              </w:rPr>
            </w:pPr>
            <w:r>
              <w:rPr>
                <w:sz w:val="20"/>
              </w:rPr>
              <w:t>Deferred tax assets (liabilities) consist of the following at December 31, (in millions):</w:t>
            </w:r>
          </w:p>
        </w:tc>
        <w:tc>
          <w:tcPr>
            <w:tcW w:w="2474" w:type="dxa"/>
            <w:gridSpan w:val="2"/>
          </w:tcPr>
          <w:p w14:paraId="7326CCD4" w14:textId="77777777" w:rsidR="00EF3DFB" w:rsidRDefault="00EF3DFB">
            <w:pPr>
              <w:pStyle w:val="TableParagraph"/>
              <w:rPr>
                <w:sz w:val="18"/>
              </w:rPr>
            </w:pPr>
          </w:p>
        </w:tc>
      </w:tr>
      <w:tr w:rsidR="00EF3DFB" w14:paraId="7326CCD9" w14:textId="77777777">
        <w:trPr>
          <w:trHeight w:val="292"/>
        </w:trPr>
        <w:tc>
          <w:tcPr>
            <w:tcW w:w="8145" w:type="dxa"/>
          </w:tcPr>
          <w:p w14:paraId="7326CCD6" w14:textId="77777777" w:rsidR="00EF3DFB" w:rsidRDefault="00EF3DFB">
            <w:pPr>
              <w:pStyle w:val="TableParagraph"/>
              <w:rPr>
                <w:sz w:val="18"/>
              </w:rPr>
            </w:pPr>
          </w:p>
        </w:tc>
        <w:tc>
          <w:tcPr>
            <w:tcW w:w="1256" w:type="dxa"/>
            <w:tcBorders>
              <w:bottom w:val="single" w:sz="8" w:space="0" w:color="000000"/>
            </w:tcBorders>
          </w:tcPr>
          <w:p w14:paraId="7326CCD7" w14:textId="77777777" w:rsidR="00EF3DFB" w:rsidRDefault="00D27C17">
            <w:pPr>
              <w:pStyle w:val="TableParagraph"/>
              <w:spacing w:before="88" w:line="184" w:lineRule="exact"/>
              <w:ind w:left="242" w:right="297"/>
              <w:jc w:val="center"/>
              <w:rPr>
                <w:b/>
                <w:sz w:val="16"/>
              </w:rPr>
            </w:pPr>
            <w:r>
              <w:rPr>
                <w:b/>
                <w:sz w:val="16"/>
              </w:rPr>
              <w:t>2020</w:t>
            </w:r>
          </w:p>
        </w:tc>
        <w:tc>
          <w:tcPr>
            <w:tcW w:w="1218" w:type="dxa"/>
            <w:tcBorders>
              <w:bottom w:val="single" w:sz="8" w:space="0" w:color="000000"/>
            </w:tcBorders>
          </w:tcPr>
          <w:p w14:paraId="7326CCD8" w14:textId="77777777" w:rsidR="00EF3DFB" w:rsidRDefault="00D27C17">
            <w:pPr>
              <w:pStyle w:val="TableParagraph"/>
              <w:spacing w:before="88" w:line="184" w:lineRule="exact"/>
              <w:ind w:left="437" w:right="417"/>
              <w:jc w:val="center"/>
              <w:rPr>
                <w:b/>
                <w:sz w:val="16"/>
              </w:rPr>
            </w:pPr>
            <w:r>
              <w:rPr>
                <w:b/>
                <w:sz w:val="16"/>
              </w:rPr>
              <w:t>2019</w:t>
            </w:r>
          </w:p>
        </w:tc>
      </w:tr>
      <w:tr w:rsidR="00EF3DFB" w14:paraId="7326CCDD" w14:textId="77777777">
        <w:trPr>
          <w:trHeight w:val="275"/>
        </w:trPr>
        <w:tc>
          <w:tcPr>
            <w:tcW w:w="8145" w:type="dxa"/>
            <w:shd w:val="clear" w:color="auto" w:fill="CCEDFF"/>
          </w:tcPr>
          <w:p w14:paraId="7326CCDA" w14:textId="77777777" w:rsidR="00EF3DFB" w:rsidRDefault="00D27C17">
            <w:pPr>
              <w:pStyle w:val="TableParagraph"/>
              <w:spacing w:line="224" w:lineRule="exact"/>
              <w:ind w:left="52"/>
              <w:rPr>
                <w:sz w:val="20"/>
              </w:rPr>
            </w:pPr>
            <w:r>
              <w:rPr>
                <w:sz w:val="20"/>
              </w:rPr>
              <w:t>Deferred tax assets:</w:t>
            </w:r>
          </w:p>
        </w:tc>
        <w:tc>
          <w:tcPr>
            <w:tcW w:w="1256" w:type="dxa"/>
            <w:tcBorders>
              <w:top w:val="single" w:sz="8" w:space="0" w:color="000000"/>
            </w:tcBorders>
            <w:shd w:val="clear" w:color="auto" w:fill="CCEDFF"/>
          </w:tcPr>
          <w:p w14:paraId="7326CCDB" w14:textId="77777777" w:rsidR="00EF3DFB" w:rsidRDefault="00EF3DFB">
            <w:pPr>
              <w:pStyle w:val="TableParagraph"/>
              <w:rPr>
                <w:sz w:val="18"/>
              </w:rPr>
            </w:pPr>
          </w:p>
        </w:tc>
        <w:tc>
          <w:tcPr>
            <w:tcW w:w="1218" w:type="dxa"/>
            <w:tcBorders>
              <w:top w:val="single" w:sz="8" w:space="0" w:color="000000"/>
            </w:tcBorders>
            <w:shd w:val="clear" w:color="auto" w:fill="CCEDFF"/>
          </w:tcPr>
          <w:p w14:paraId="7326CCDC" w14:textId="77777777" w:rsidR="00EF3DFB" w:rsidRDefault="00EF3DFB">
            <w:pPr>
              <w:pStyle w:val="TableParagraph"/>
              <w:rPr>
                <w:sz w:val="18"/>
              </w:rPr>
            </w:pPr>
          </w:p>
        </w:tc>
      </w:tr>
      <w:tr w:rsidR="00EF3DFB" w14:paraId="7326CCE1" w14:textId="77777777">
        <w:trPr>
          <w:trHeight w:val="285"/>
        </w:trPr>
        <w:tc>
          <w:tcPr>
            <w:tcW w:w="8145" w:type="dxa"/>
          </w:tcPr>
          <w:p w14:paraId="7326CCDE" w14:textId="77777777" w:rsidR="00EF3DFB" w:rsidRDefault="00D27C17">
            <w:pPr>
              <w:pStyle w:val="TableParagraph"/>
              <w:spacing w:before="4"/>
              <w:ind w:left="52"/>
              <w:rPr>
                <w:sz w:val="20"/>
              </w:rPr>
            </w:pPr>
            <w:r>
              <w:rPr>
                <w:sz w:val="20"/>
              </w:rPr>
              <w:t>Accruals</w:t>
            </w:r>
          </w:p>
        </w:tc>
        <w:tc>
          <w:tcPr>
            <w:tcW w:w="1256" w:type="dxa"/>
          </w:tcPr>
          <w:p w14:paraId="7326CCDF" w14:textId="77777777" w:rsidR="00EF3DFB" w:rsidRDefault="00D27C17">
            <w:pPr>
              <w:pStyle w:val="TableParagraph"/>
              <w:tabs>
                <w:tab w:val="left" w:pos="818"/>
              </w:tabs>
              <w:spacing w:before="25"/>
              <w:ind w:left="52"/>
              <w:rPr>
                <w:sz w:val="20"/>
              </w:rPr>
            </w:pPr>
            <w:r>
              <w:rPr>
                <w:sz w:val="20"/>
              </w:rPr>
              <w:t>$</w:t>
            </w:r>
            <w:r>
              <w:rPr>
                <w:sz w:val="20"/>
              </w:rPr>
              <w:tab/>
              <w:t>138</w:t>
            </w:r>
          </w:p>
        </w:tc>
        <w:tc>
          <w:tcPr>
            <w:tcW w:w="1218" w:type="dxa"/>
          </w:tcPr>
          <w:p w14:paraId="7326CCE0" w14:textId="77777777" w:rsidR="00EF3DFB" w:rsidRDefault="00D27C17">
            <w:pPr>
              <w:pStyle w:val="TableParagraph"/>
              <w:tabs>
                <w:tab w:val="left" w:pos="837"/>
              </w:tabs>
              <w:spacing w:before="25"/>
              <w:ind w:left="71"/>
              <w:rPr>
                <w:sz w:val="20"/>
              </w:rPr>
            </w:pPr>
            <w:r>
              <w:rPr>
                <w:sz w:val="20"/>
              </w:rPr>
              <w:t>$</w:t>
            </w:r>
            <w:r>
              <w:rPr>
                <w:sz w:val="20"/>
              </w:rPr>
              <w:tab/>
            </w:r>
            <w:r>
              <w:rPr>
                <w:sz w:val="20"/>
              </w:rPr>
              <w:t>124</w:t>
            </w:r>
          </w:p>
        </w:tc>
      </w:tr>
      <w:tr w:rsidR="00EF3DFB" w14:paraId="7326CCE5" w14:textId="77777777">
        <w:trPr>
          <w:trHeight w:val="285"/>
        </w:trPr>
        <w:tc>
          <w:tcPr>
            <w:tcW w:w="8145" w:type="dxa"/>
            <w:shd w:val="clear" w:color="auto" w:fill="CCEDFF"/>
          </w:tcPr>
          <w:p w14:paraId="7326CCE2" w14:textId="77777777" w:rsidR="00EF3DFB" w:rsidRDefault="00D27C17">
            <w:pPr>
              <w:pStyle w:val="TableParagraph"/>
              <w:spacing w:before="4"/>
              <w:ind w:left="52"/>
              <w:rPr>
                <w:sz w:val="20"/>
              </w:rPr>
            </w:pPr>
            <w:r>
              <w:rPr>
                <w:sz w:val="20"/>
              </w:rPr>
              <w:t>Inventory</w:t>
            </w:r>
          </w:p>
        </w:tc>
        <w:tc>
          <w:tcPr>
            <w:tcW w:w="1256" w:type="dxa"/>
            <w:shd w:val="clear" w:color="auto" w:fill="CCEDFF"/>
          </w:tcPr>
          <w:p w14:paraId="7326CCE3" w14:textId="77777777" w:rsidR="00EF3DFB" w:rsidRDefault="00D27C17">
            <w:pPr>
              <w:pStyle w:val="TableParagraph"/>
              <w:spacing w:before="25"/>
              <w:ind w:right="135"/>
              <w:jc w:val="right"/>
              <w:rPr>
                <w:sz w:val="20"/>
              </w:rPr>
            </w:pPr>
            <w:r>
              <w:rPr>
                <w:sz w:val="20"/>
              </w:rPr>
              <w:t>39</w:t>
            </w:r>
          </w:p>
        </w:tc>
        <w:tc>
          <w:tcPr>
            <w:tcW w:w="1218" w:type="dxa"/>
            <w:shd w:val="clear" w:color="auto" w:fill="CCEDFF"/>
          </w:tcPr>
          <w:p w14:paraId="7326CCE4" w14:textId="77777777" w:rsidR="00EF3DFB" w:rsidRDefault="00D27C17">
            <w:pPr>
              <w:pStyle w:val="TableParagraph"/>
              <w:spacing w:before="25"/>
              <w:ind w:right="78"/>
              <w:jc w:val="right"/>
              <w:rPr>
                <w:sz w:val="20"/>
              </w:rPr>
            </w:pPr>
            <w:r>
              <w:rPr>
                <w:sz w:val="20"/>
              </w:rPr>
              <w:t>29</w:t>
            </w:r>
          </w:p>
        </w:tc>
      </w:tr>
      <w:tr w:rsidR="00EF3DFB" w14:paraId="7326CCE9" w14:textId="77777777">
        <w:trPr>
          <w:trHeight w:val="285"/>
        </w:trPr>
        <w:tc>
          <w:tcPr>
            <w:tcW w:w="8145" w:type="dxa"/>
          </w:tcPr>
          <w:p w14:paraId="7326CCE6" w14:textId="77777777" w:rsidR="00EF3DFB" w:rsidRDefault="00D27C17">
            <w:pPr>
              <w:pStyle w:val="TableParagraph"/>
              <w:spacing w:before="4"/>
              <w:ind w:left="52"/>
              <w:rPr>
                <w:sz w:val="20"/>
              </w:rPr>
            </w:pPr>
            <w:r>
              <w:rPr>
                <w:sz w:val="20"/>
              </w:rPr>
              <w:t>Pension and postretirement benefits</w:t>
            </w:r>
          </w:p>
        </w:tc>
        <w:tc>
          <w:tcPr>
            <w:tcW w:w="1256" w:type="dxa"/>
          </w:tcPr>
          <w:p w14:paraId="7326CCE7" w14:textId="77777777" w:rsidR="00EF3DFB" w:rsidRDefault="00D27C17">
            <w:pPr>
              <w:pStyle w:val="TableParagraph"/>
              <w:spacing w:before="25"/>
              <w:ind w:right="135"/>
              <w:jc w:val="right"/>
              <w:rPr>
                <w:sz w:val="20"/>
              </w:rPr>
            </w:pPr>
            <w:r>
              <w:rPr>
                <w:sz w:val="20"/>
              </w:rPr>
              <w:t>60</w:t>
            </w:r>
          </w:p>
        </w:tc>
        <w:tc>
          <w:tcPr>
            <w:tcW w:w="1218" w:type="dxa"/>
          </w:tcPr>
          <w:p w14:paraId="7326CCE8" w14:textId="77777777" w:rsidR="00EF3DFB" w:rsidRDefault="00D27C17">
            <w:pPr>
              <w:pStyle w:val="TableParagraph"/>
              <w:spacing w:before="25"/>
              <w:ind w:right="78"/>
              <w:jc w:val="right"/>
              <w:rPr>
                <w:sz w:val="20"/>
              </w:rPr>
            </w:pPr>
            <w:r>
              <w:rPr>
                <w:sz w:val="20"/>
              </w:rPr>
              <w:t>79</w:t>
            </w:r>
          </w:p>
        </w:tc>
      </w:tr>
      <w:tr w:rsidR="00EF3DFB" w14:paraId="7326CCED" w14:textId="77777777">
        <w:trPr>
          <w:trHeight w:val="285"/>
        </w:trPr>
        <w:tc>
          <w:tcPr>
            <w:tcW w:w="8145" w:type="dxa"/>
            <w:shd w:val="clear" w:color="auto" w:fill="CCEDFF"/>
          </w:tcPr>
          <w:p w14:paraId="7326CCEA" w14:textId="77777777" w:rsidR="00EF3DFB" w:rsidRDefault="00D27C17">
            <w:pPr>
              <w:pStyle w:val="TableParagraph"/>
              <w:spacing w:before="4"/>
              <w:ind w:left="52"/>
              <w:rPr>
                <w:sz w:val="20"/>
              </w:rPr>
            </w:pPr>
            <w:r>
              <w:rPr>
                <w:sz w:val="20"/>
              </w:rPr>
              <w:t>Net operating losses</w:t>
            </w:r>
          </w:p>
        </w:tc>
        <w:tc>
          <w:tcPr>
            <w:tcW w:w="1256" w:type="dxa"/>
            <w:shd w:val="clear" w:color="auto" w:fill="CCEDFF"/>
          </w:tcPr>
          <w:p w14:paraId="7326CCEB" w14:textId="77777777" w:rsidR="00EF3DFB" w:rsidRDefault="00D27C17">
            <w:pPr>
              <w:pStyle w:val="TableParagraph"/>
              <w:spacing w:before="25"/>
              <w:ind w:right="135"/>
              <w:jc w:val="right"/>
              <w:rPr>
                <w:sz w:val="20"/>
              </w:rPr>
            </w:pPr>
            <w:r>
              <w:rPr>
                <w:sz w:val="20"/>
              </w:rPr>
              <w:t>350</w:t>
            </w:r>
          </w:p>
        </w:tc>
        <w:tc>
          <w:tcPr>
            <w:tcW w:w="1218" w:type="dxa"/>
            <w:shd w:val="clear" w:color="auto" w:fill="CCEDFF"/>
          </w:tcPr>
          <w:p w14:paraId="7326CCEC" w14:textId="77777777" w:rsidR="00EF3DFB" w:rsidRDefault="00D27C17">
            <w:pPr>
              <w:pStyle w:val="TableParagraph"/>
              <w:spacing w:before="25"/>
              <w:ind w:right="78"/>
              <w:jc w:val="right"/>
              <w:rPr>
                <w:sz w:val="20"/>
              </w:rPr>
            </w:pPr>
            <w:r>
              <w:rPr>
                <w:sz w:val="20"/>
              </w:rPr>
              <w:t>342</w:t>
            </w:r>
          </w:p>
        </w:tc>
      </w:tr>
      <w:tr w:rsidR="00EF3DFB" w14:paraId="7326CCF1" w14:textId="77777777">
        <w:trPr>
          <w:trHeight w:val="285"/>
        </w:trPr>
        <w:tc>
          <w:tcPr>
            <w:tcW w:w="8145" w:type="dxa"/>
          </w:tcPr>
          <w:p w14:paraId="7326CCEE" w14:textId="77777777" w:rsidR="00EF3DFB" w:rsidRDefault="00D27C17">
            <w:pPr>
              <w:pStyle w:val="TableParagraph"/>
              <w:spacing w:before="4"/>
              <w:ind w:left="52"/>
              <w:rPr>
                <w:sz w:val="20"/>
              </w:rPr>
            </w:pPr>
            <w:r>
              <w:rPr>
                <w:sz w:val="20"/>
              </w:rPr>
              <w:t>Foreign tax credits</w:t>
            </w:r>
          </w:p>
        </w:tc>
        <w:tc>
          <w:tcPr>
            <w:tcW w:w="1256" w:type="dxa"/>
          </w:tcPr>
          <w:p w14:paraId="7326CCEF" w14:textId="77777777" w:rsidR="00EF3DFB" w:rsidRDefault="00D27C17">
            <w:pPr>
              <w:pStyle w:val="TableParagraph"/>
              <w:spacing w:before="25"/>
              <w:ind w:right="135"/>
              <w:jc w:val="right"/>
              <w:rPr>
                <w:sz w:val="20"/>
              </w:rPr>
            </w:pPr>
            <w:r>
              <w:rPr>
                <w:sz w:val="20"/>
              </w:rPr>
              <w:t>185</w:t>
            </w:r>
          </w:p>
        </w:tc>
        <w:tc>
          <w:tcPr>
            <w:tcW w:w="1218" w:type="dxa"/>
          </w:tcPr>
          <w:p w14:paraId="7326CCF0" w14:textId="77777777" w:rsidR="00EF3DFB" w:rsidRDefault="00D27C17">
            <w:pPr>
              <w:pStyle w:val="TableParagraph"/>
              <w:spacing w:before="25"/>
              <w:ind w:right="78"/>
              <w:jc w:val="right"/>
              <w:rPr>
                <w:sz w:val="20"/>
              </w:rPr>
            </w:pPr>
            <w:r>
              <w:rPr>
                <w:sz w:val="20"/>
              </w:rPr>
              <w:t>156</w:t>
            </w:r>
          </w:p>
        </w:tc>
      </w:tr>
      <w:tr w:rsidR="00EF3DFB" w14:paraId="7326CCF5" w14:textId="77777777">
        <w:trPr>
          <w:trHeight w:val="285"/>
        </w:trPr>
        <w:tc>
          <w:tcPr>
            <w:tcW w:w="8145" w:type="dxa"/>
            <w:shd w:val="clear" w:color="auto" w:fill="CCEDFF"/>
          </w:tcPr>
          <w:p w14:paraId="7326CCF2" w14:textId="77777777" w:rsidR="00EF3DFB" w:rsidRDefault="00D27C17">
            <w:pPr>
              <w:pStyle w:val="TableParagraph"/>
              <w:spacing w:before="4"/>
              <w:ind w:left="52"/>
              <w:rPr>
                <w:sz w:val="20"/>
              </w:rPr>
            </w:pPr>
            <w:r>
              <w:rPr>
                <w:sz w:val="20"/>
              </w:rPr>
              <w:t>Capital loss carryforward</w:t>
            </w:r>
          </w:p>
        </w:tc>
        <w:tc>
          <w:tcPr>
            <w:tcW w:w="1256" w:type="dxa"/>
            <w:shd w:val="clear" w:color="auto" w:fill="CCEDFF"/>
          </w:tcPr>
          <w:p w14:paraId="7326CCF3" w14:textId="77777777" w:rsidR="00EF3DFB" w:rsidRDefault="00D27C17">
            <w:pPr>
              <w:pStyle w:val="TableParagraph"/>
              <w:spacing w:before="25"/>
              <w:ind w:right="135"/>
              <w:jc w:val="right"/>
              <w:rPr>
                <w:sz w:val="20"/>
              </w:rPr>
            </w:pPr>
            <w:r>
              <w:rPr>
                <w:sz w:val="20"/>
              </w:rPr>
              <w:t>241</w:t>
            </w:r>
          </w:p>
        </w:tc>
        <w:tc>
          <w:tcPr>
            <w:tcW w:w="1218" w:type="dxa"/>
            <w:shd w:val="clear" w:color="auto" w:fill="CCEDFF"/>
          </w:tcPr>
          <w:p w14:paraId="7326CCF4" w14:textId="77777777" w:rsidR="00EF3DFB" w:rsidRDefault="00D27C17">
            <w:pPr>
              <w:pStyle w:val="TableParagraph"/>
              <w:spacing w:before="25"/>
              <w:ind w:right="78"/>
              <w:jc w:val="right"/>
              <w:rPr>
                <w:sz w:val="20"/>
              </w:rPr>
            </w:pPr>
            <w:r>
              <w:rPr>
                <w:sz w:val="20"/>
              </w:rPr>
              <w:t>212</w:t>
            </w:r>
          </w:p>
        </w:tc>
      </w:tr>
      <w:tr w:rsidR="00EF3DFB" w14:paraId="7326CCF9" w14:textId="77777777">
        <w:trPr>
          <w:trHeight w:val="285"/>
        </w:trPr>
        <w:tc>
          <w:tcPr>
            <w:tcW w:w="8145" w:type="dxa"/>
          </w:tcPr>
          <w:p w14:paraId="7326CCF6" w14:textId="77777777" w:rsidR="00EF3DFB" w:rsidRDefault="00D27C17">
            <w:pPr>
              <w:pStyle w:val="TableParagraph"/>
              <w:spacing w:before="4"/>
              <w:ind w:left="52"/>
              <w:rPr>
                <w:sz w:val="20"/>
              </w:rPr>
            </w:pPr>
            <w:r>
              <w:rPr>
                <w:sz w:val="20"/>
              </w:rPr>
              <w:t>Operating lease liabilities</w:t>
            </w:r>
          </w:p>
        </w:tc>
        <w:tc>
          <w:tcPr>
            <w:tcW w:w="1256" w:type="dxa"/>
          </w:tcPr>
          <w:p w14:paraId="7326CCF7" w14:textId="77777777" w:rsidR="00EF3DFB" w:rsidRDefault="00D27C17">
            <w:pPr>
              <w:pStyle w:val="TableParagraph"/>
              <w:spacing w:before="25"/>
              <w:ind w:right="135"/>
              <w:jc w:val="right"/>
              <w:rPr>
                <w:sz w:val="20"/>
              </w:rPr>
            </w:pPr>
            <w:r>
              <w:rPr>
                <w:sz w:val="20"/>
              </w:rPr>
              <w:t>162</w:t>
            </w:r>
          </w:p>
        </w:tc>
        <w:tc>
          <w:tcPr>
            <w:tcW w:w="1218" w:type="dxa"/>
          </w:tcPr>
          <w:p w14:paraId="7326CCF8" w14:textId="77777777" w:rsidR="00EF3DFB" w:rsidRDefault="00D27C17">
            <w:pPr>
              <w:pStyle w:val="TableParagraph"/>
              <w:spacing w:before="25"/>
              <w:ind w:right="78"/>
              <w:jc w:val="right"/>
              <w:rPr>
                <w:sz w:val="20"/>
              </w:rPr>
            </w:pPr>
            <w:r>
              <w:rPr>
                <w:sz w:val="20"/>
              </w:rPr>
              <w:t>172</w:t>
            </w:r>
          </w:p>
        </w:tc>
      </w:tr>
      <w:tr w:rsidR="00EF3DFB" w14:paraId="7326CCFD" w14:textId="77777777">
        <w:trPr>
          <w:trHeight w:val="275"/>
        </w:trPr>
        <w:tc>
          <w:tcPr>
            <w:tcW w:w="8145" w:type="dxa"/>
            <w:shd w:val="clear" w:color="auto" w:fill="CCEDFF"/>
          </w:tcPr>
          <w:p w14:paraId="7326CCFA" w14:textId="77777777" w:rsidR="00EF3DFB" w:rsidRDefault="00D27C17">
            <w:pPr>
              <w:pStyle w:val="TableParagraph"/>
              <w:spacing w:before="4"/>
              <w:ind w:left="52"/>
              <w:rPr>
                <w:sz w:val="20"/>
              </w:rPr>
            </w:pPr>
            <w:r>
              <w:rPr>
                <w:sz w:val="20"/>
              </w:rPr>
              <w:t>Other</w:t>
            </w:r>
          </w:p>
        </w:tc>
        <w:tc>
          <w:tcPr>
            <w:tcW w:w="1256" w:type="dxa"/>
            <w:tcBorders>
              <w:bottom w:val="single" w:sz="8" w:space="0" w:color="000000"/>
            </w:tcBorders>
            <w:shd w:val="clear" w:color="auto" w:fill="CCEDFF"/>
          </w:tcPr>
          <w:p w14:paraId="7326CCFB" w14:textId="77777777" w:rsidR="00EF3DFB" w:rsidRDefault="00D27C17">
            <w:pPr>
              <w:pStyle w:val="TableParagraph"/>
              <w:spacing w:before="25" w:line="230" w:lineRule="exact"/>
              <w:ind w:right="135"/>
              <w:jc w:val="right"/>
              <w:rPr>
                <w:sz w:val="20"/>
              </w:rPr>
            </w:pPr>
            <w:r>
              <w:rPr>
                <w:sz w:val="20"/>
              </w:rPr>
              <w:t>158</w:t>
            </w:r>
          </w:p>
        </w:tc>
        <w:tc>
          <w:tcPr>
            <w:tcW w:w="1218" w:type="dxa"/>
            <w:tcBorders>
              <w:bottom w:val="single" w:sz="8" w:space="0" w:color="000000"/>
            </w:tcBorders>
            <w:shd w:val="clear" w:color="auto" w:fill="CCEDFF"/>
          </w:tcPr>
          <w:p w14:paraId="7326CCFC" w14:textId="77777777" w:rsidR="00EF3DFB" w:rsidRDefault="00D27C17">
            <w:pPr>
              <w:pStyle w:val="TableParagraph"/>
              <w:spacing w:before="25" w:line="230" w:lineRule="exact"/>
              <w:ind w:right="78"/>
              <w:jc w:val="right"/>
              <w:rPr>
                <w:sz w:val="20"/>
              </w:rPr>
            </w:pPr>
            <w:r>
              <w:rPr>
                <w:sz w:val="20"/>
              </w:rPr>
              <w:t>157</w:t>
            </w:r>
          </w:p>
        </w:tc>
      </w:tr>
      <w:tr w:rsidR="00EF3DFB" w14:paraId="7326CD01" w14:textId="77777777">
        <w:trPr>
          <w:trHeight w:val="275"/>
        </w:trPr>
        <w:tc>
          <w:tcPr>
            <w:tcW w:w="8145" w:type="dxa"/>
          </w:tcPr>
          <w:p w14:paraId="7326CCFE" w14:textId="77777777" w:rsidR="00EF3DFB" w:rsidRDefault="00D27C17">
            <w:pPr>
              <w:pStyle w:val="TableParagraph"/>
              <w:spacing w:line="224" w:lineRule="exact"/>
              <w:ind w:left="52"/>
              <w:rPr>
                <w:sz w:val="20"/>
              </w:rPr>
            </w:pPr>
            <w:r>
              <w:rPr>
                <w:sz w:val="20"/>
              </w:rPr>
              <w:t>Total gross deferred tax assets</w:t>
            </w:r>
          </w:p>
        </w:tc>
        <w:tc>
          <w:tcPr>
            <w:tcW w:w="1256" w:type="dxa"/>
            <w:tcBorders>
              <w:top w:val="single" w:sz="8" w:space="0" w:color="000000"/>
            </w:tcBorders>
          </w:tcPr>
          <w:p w14:paraId="7326CCFF" w14:textId="77777777" w:rsidR="00EF3DFB" w:rsidRDefault="00D27C17">
            <w:pPr>
              <w:pStyle w:val="TableParagraph"/>
              <w:spacing w:before="15"/>
              <w:ind w:right="135"/>
              <w:jc w:val="right"/>
              <w:rPr>
                <w:sz w:val="20"/>
              </w:rPr>
            </w:pPr>
            <w:r>
              <w:rPr>
                <w:sz w:val="20"/>
              </w:rPr>
              <w:t>1,333</w:t>
            </w:r>
          </w:p>
        </w:tc>
        <w:tc>
          <w:tcPr>
            <w:tcW w:w="1218" w:type="dxa"/>
            <w:tcBorders>
              <w:top w:val="single" w:sz="8" w:space="0" w:color="000000"/>
            </w:tcBorders>
          </w:tcPr>
          <w:p w14:paraId="7326CD00" w14:textId="77777777" w:rsidR="00EF3DFB" w:rsidRDefault="00D27C17">
            <w:pPr>
              <w:pStyle w:val="TableParagraph"/>
              <w:spacing w:before="15"/>
              <w:ind w:right="78"/>
              <w:jc w:val="right"/>
              <w:rPr>
                <w:sz w:val="20"/>
              </w:rPr>
            </w:pPr>
            <w:r>
              <w:rPr>
                <w:sz w:val="20"/>
              </w:rPr>
              <w:t>1,271</w:t>
            </w:r>
          </w:p>
        </w:tc>
      </w:tr>
      <w:tr w:rsidR="00EF3DFB" w14:paraId="7326CD05" w14:textId="77777777">
        <w:trPr>
          <w:trHeight w:val="275"/>
        </w:trPr>
        <w:tc>
          <w:tcPr>
            <w:tcW w:w="8145" w:type="dxa"/>
            <w:shd w:val="clear" w:color="auto" w:fill="CCEDFF"/>
          </w:tcPr>
          <w:p w14:paraId="7326CD02" w14:textId="77777777" w:rsidR="00EF3DFB" w:rsidRDefault="00D27C17">
            <w:pPr>
              <w:pStyle w:val="TableParagraph"/>
              <w:spacing w:before="4"/>
              <w:ind w:left="52"/>
              <w:rPr>
                <w:sz w:val="20"/>
              </w:rPr>
            </w:pPr>
            <w:r>
              <w:rPr>
                <w:sz w:val="20"/>
              </w:rPr>
              <w:t>Less valuation allowance</w:t>
            </w:r>
          </w:p>
        </w:tc>
        <w:tc>
          <w:tcPr>
            <w:tcW w:w="1256" w:type="dxa"/>
            <w:tcBorders>
              <w:bottom w:val="single" w:sz="8" w:space="0" w:color="000000"/>
            </w:tcBorders>
            <w:shd w:val="clear" w:color="auto" w:fill="CCEDFF"/>
          </w:tcPr>
          <w:p w14:paraId="7326CD03" w14:textId="77777777" w:rsidR="00EF3DFB" w:rsidRDefault="00D27C17">
            <w:pPr>
              <w:pStyle w:val="TableParagraph"/>
              <w:spacing w:before="25" w:line="230" w:lineRule="exact"/>
              <w:ind w:right="70"/>
              <w:jc w:val="right"/>
              <w:rPr>
                <w:sz w:val="20"/>
              </w:rPr>
            </w:pPr>
            <w:r>
              <w:rPr>
                <w:sz w:val="20"/>
              </w:rPr>
              <w:t>(213)</w:t>
            </w:r>
          </w:p>
        </w:tc>
        <w:tc>
          <w:tcPr>
            <w:tcW w:w="1218" w:type="dxa"/>
            <w:tcBorders>
              <w:bottom w:val="single" w:sz="8" w:space="0" w:color="000000"/>
            </w:tcBorders>
            <w:shd w:val="clear" w:color="auto" w:fill="CCEDFF"/>
          </w:tcPr>
          <w:p w14:paraId="7326CD04" w14:textId="77777777" w:rsidR="00EF3DFB" w:rsidRDefault="00D27C17">
            <w:pPr>
              <w:pStyle w:val="TableParagraph"/>
              <w:spacing w:before="25" w:line="230" w:lineRule="exact"/>
              <w:ind w:right="13"/>
              <w:jc w:val="right"/>
              <w:rPr>
                <w:sz w:val="20"/>
              </w:rPr>
            </w:pPr>
            <w:r>
              <w:rPr>
                <w:sz w:val="20"/>
              </w:rPr>
              <w:t>(271)</w:t>
            </w:r>
          </w:p>
        </w:tc>
      </w:tr>
      <w:tr w:rsidR="00EF3DFB" w14:paraId="7326CD09" w14:textId="77777777">
        <w:trPr>
          <w:trHeight w:val="285"/>
        </w:trPr>
        <w:tc>
          <w:tcPr>
            <w:tcW w:w="8145" w:type="dxa"/>
          </w:tcPr>
          <w:p w14:paraId="7326CD06" w14:textId="77777777" w:rsidR="00EF3DFB" w:rsidRDefault="00D27C17">
            <w:pPr>
              <w:pStyle w:val="TableParagraph"/>
              <w:spacing w:line="224" w:lineRule="exact"/>
              <w:ind w:left="52"/>
              <w:rPr>
                <w:sz w:val="20"/>
              </w:rPr>
            </w:pPr>
            <w:r>
              <w:rPr>
                <w:sz w:val="20"/>
              </w:rPr>
              <w:t>Net deferred tax assets after valuation allowance</w:t>
            </w:r>
          </w:p>
        </w:tc>
        <w:tc>
          <w:tcPr>
            <w:tcW w:w="1256" w:type="dxa"/>
          </w:tcPr>
          <w:p w14:paraId="7326CD07" w14:textId="77777777" w:rsidR="00EF3DFB" w:rsidRDefault="00D27C17">
            <w:pPr>
              <w:pStyle w:val="TableParagraph"/>
              <w:tabs>
                <w:tab w:val="left" w:pos="668"/>
              </w:tabs>
              <w:spacing w:before="15"/>
              <w:rPr>
                <w:sz w:val="20"/>
              </w:rPr>
            </w:pPr>
            <w:r>
              <w:rPr>
                <w:sz w:val="20"/>
                <w:u w:val="single"/>
              </w:rPr>
              <w:t xml:space="preserve"> </w:t>
            </w:r>
            <w:r>
              <w:rPr>
                <w:sz w:val="20"/>
                <w:u w:val="single"/>
              </w:rPr>
              <w:tab/>
              <w:t>1,120</w:t>
            </w:r>
          </w:p>
        </w:tc>
        <w:tc>
          <w:tcPr>
            <w:tcW w:w="1218" w:type="dxa"/>
          </w:tcPr>
          <w:p w14:paraId="7326CD08" w14:textId="77777777" w:rsidR="00EF3DFB" w:rsidRDefault="00D27C17">
            <w:pPr>
              <w:pStyle w:val="TableParagraph"/>
              <w:tabs>
                <w:tab w:val="left" w:pos="687"/>
              </w:tabs>
              <w:spacing w:before="15"/>
              <w:ind w:left="18"/>
              <w:rPr>
                <w:sz w:val="20"/>
              </w:rPr>
            </w:pPr>
            <w:r>
              <w:rPr>
                <w:sz w:val="20"/>
                <w:u w:val="single"/>
              </w:rPr>
              <w:t xml:space="preserve"> </w:t>
            </w:r>
            <w:r>
              <w:rPr>
                <w:sz w:val="20"/>
                <w:u w:val="single"/>
              </w:rPr>
              <w:tab/>
              <w:t>1,000</w:t>
            </w:r>
          </w:p>
        </w:tc>
      </w:tr>
      <w:tr w:rsidR="00EF3DFB" w14:paraId="7326CD0D" w14:textId="77777777">
        <w:trPr>
          <w:trHeight w:val="255"/>
        </w:trPr>
        <w:tc>
          <w:tcPr>
            <w:tcW w:w="8145" w:type="dxa"/>
            <w:shd w:val="clear" w:color="auto" w:fill="CCEDFF"/>
          </w:tcPr>
          <w:p w14:paraId="7326CD0A" w14:textId="77777777" w:rsidR="00EF3DFB" w:rsidRDefault="00D27C17">
            <w:pPr>
              <w:pStyle w:val="TableParagraph"/>
              <w:spacing w:line="204" w:lineRule="exact"/>
              <w:ind w:left="52"/>
              <w:rPr>
                <w:sz w:val="20"/>
              </w:rPr>
            </w:pPr>
            <w:r>
              <w:rPr>
                <w:sz w:val="20"/>
              </w:rPr>
              <w:t>Deferred tax liabilities:</w:t>
            </w:r>
          </w:p>
        </w:tc>
        <w:tc>
          <w:tcPr>
            <w:tcW w:w="1256" w:type="dxa"/>
            <w:tcBorders>
              <w:top w:val="single" w:sz="8" w:space="0" w:color="000000"/>
            </w:tcBorders>
            <w:shd w:val="clear" w:color="auto" w:fill="CCEDFF"/>
          </w:tcPr>
          <w:p w14:paraId="7326CD0B" w14:textId="77777777" w:rsidR="00EF3DFB" w:rsidRDefault="00EF3DFB">
            <w:pPr>
              <w:pStyle w:val="TableParagraph"/>
              <w:rPr>
                <w:sz w:val="18"/>
              </w:rPr>
            </w:pPr>
          </w:p>
        </w:tc>
        <w:tc>
          <w:tcPr>
            <w:tcW w:w="1218" w:type="dxa"/>
            <w:tcBorders>
              <w:top w:val="single" w:sz="8" w:space="0" w:color="000000"/>
            </w:tcBorders>
            <w:shd w:val="clear" w:color="auto" w:fill="CCEDFF"/>
          </w:tcPr>
          <w:p w14:paraId="7326CD0C" w14:textId="77777777" w:rsidR="00EF3DFB" w:rsidRDefault="00EF3DFB">
            <w:pPr>
              <w:pStyle w:val="TableParagraph"/>
              <w:rPr>
                <w:sz w:val="18"/>
              </w:rPr>
            </w:pPr>
          </w:p>
        </w:tc>
      </w:tr>
      <w:tr w:rsidR="00EF3DFB" w14:paraId="7326CD11" w14:textId="77777777">
        <w:trPr>
          <w:trHeight w:val="285"/>
        </w:trPr>
        <w:tc>
          <w:tcPr>
            <w:tcW w:w="8145" w:type="dxa"/>
          </w:tcPr>
          <w:p w14:paraId="7326CD0E" w14:textId="77777777" w:rsidR="00EF3DFB" w:rsidRDefault="00D27C17">
            <w:pPr>
              <w:pStyle w:val="TableParagraph"/>
              <w:spacing w:before="4"/>
              <w:ind w:left="52"/>
              <w:rPr>
                <w:sz w:val="20"/>
              </w:rPr>
            </w:pPr>
            <w:r>
              <w:rPr>
                <w:sz w:val="20"/>
              </w:rPr>
              <w:t>Accelerated depreciation</w:t>
            </w:r>
          </w:p>
        </w:tc>
        <w:tc>
          <w:tcPr>
            <w:tcW w:w="1256" w:type="dxa"/>
          </w:tcPr>
          <w:p w14:paraId="7326CD0F" w14:textId="77777777" w:rsidR="00EF3DFB" w:rsidRDefault="00D27C17">
            <w:pPr>
              <w:pStyle w:val="TableParagraph"/>
              <w:spacing w:before="25"/>
              <w:ind w:right="70"/>
              <w:jc w:val="right"/>
              <w:rPr>
                <w:sz w:val="20"/>
              </w:rPr>
            </w:pPr>
            <w:r>
              <w:rPr>
                <w:sz w:val="20"/>
              </w:rPr>
              <w:t>(92)</w:t>
            </w:r>
          </w:p>
        </w:tc>
        <w:tc>
          <w:tcPr>
            <w:tcW w:w="1218" w:type="dxa"/>
          </w:tcPr>
          <w:p w14:paraId="7326CD10" w14:textId="77777777" w:rsidR="00EF3DFB" w:rsidRDefault="00D27C17">
            <w:pPr>
              <w:pStyle w:val="TableParagraph"/>
              <w:spacing w:before="25"/>
              <w:ind w:right="13"/>
              <w:jc w:val="right"/>
              <w:rPr>
                <w:sz w:val="20"/>
              </w:rPr>
            </w:pPr>
            <w:r>
              <w:rPr>
                <w:sz w:val="20"/>
              </w:rPr>
              <w:t>(80)</w:t>
            </w:r>
          </w:p>
        </w:tc>
      </w:tr>
      <w:tr w:rsidR="00EF3DFB" w14:paraId="7326CD15" w14:textId="77777777">
        <w:trPr>
          <w:trHeight w:val="285"/>
        </w:trPr>
        <w:tc>
          <w:tcPr>
            <w:tcW w:w="8145" w:type="dxa"/>
            <w:shd w:val="clear" w:color="auto" w:fill="CCEDFF"/>
          </w:tcPr>
          <w:p w14:paraId="7326CD12" w14:textId="77777777" w:rsidR="00EF3DFB" w:rsidRDefault="00D27C17">
            <w:pPr>
              <w:pStyle w:val="TableParagraph"/>
              <w:spacing w:before="4"/>
              <w:ind w:left="52"/>
              <w:rPr>
                <w:sz w:val="20"/>
              </w:rPr>
            </w:pPr>
            <w:r>
              <w:rPr>
                <w:sz w:val="20"/>
              </w:rPr>
              <w:t>Amortizable intangibles</w:t>
            </w:r>
          </w:p>
        </w:tc>
        <w:tc>
          <w:tcPr>
            <w:tcW w:w="1256" w:type="dxa"/>
            <w:shd w:val="clear" w:color="auto" w:fill="CCEDFF"/>
          </w:tcPr>
          <w:p w14:paraId="7326CD13" w14:textId="77777777" w:rsidR="00EF3DFB" w:rsidRDefault="00D27C17">
            <w:pPr>
              <w:pStyle w:val="TableParagraph"/>
              <w:spacing w:before="25"/>
              <w:ind w:right="70"/>
              <w:jc w:val="right"/>
              <w:rPr>
                <w:sz w:val="20"/>
              </w:rPr>
            </w:pPr>
            <w:r>
              <w:rPr>
                <w:sz w:val="20"/>
              </w:rPr>
              <w:t>(282)</w:t>
            </w:r>
          </w:p>
        </w:tc>
        <w:tc>
          <w:tcPr>
            <w:tcW w:w="1218" w:type="dxa"/>
            <w:shd w:val="clear" w:color="auto" w:fill="CCEDFF"/>
          </w:tcPr>
          <w:p w14:paraId="7326CD14" w14:textId="77777777" w:rsidR="00EF3DFB" w:rsidRDefault="00D27C17">
            <w:pPr>
              <w:pStyle w:val="TableParagraph"/>
              <w:spacing w:before="25"/>
              <w:ind w:right="13"/>
              <w:jc w:val="right"/>
              <w:rPr>
                <w:sz w:val="20"/>
              </w:rPr>
            </w:pPr>
            <w:r>
              <w:rPr>
                <w:sz w:val="20"/>
              </w:rPr>
              <w:t>(518)</w:t>
            </w:r>
          </w:p>
        </w:tc>
      </w:tr>
      <w:tr w:rsidR="00EF3DFB" w14:paraId="7326CD19" w14:textId="77777777">
        <w:trPr>
          <w:trHeight w:val="285"/>
        </w:trPr>
        <w:tc>
          <w:tcPr>
            <w:tcW w:w="8145" w:type="dxa"/>
          </w:tcPr>
          <w:p w14:paraId="7326CD16" w14:textId="77777777" w:rsidR="00EF3DFB" w:rsidRDefault="00D27C17">
            <w:pPr>
              <w:pStyle w:val="TableParagraph"/>
              <w:spacing w:before="4"/>
              <w:ind w:left="52"/>
              <w:rPr>
                <w:sz w:val="20"/>
              </w:rPr>
            </w:pPr>
            <w:r>
              <w:rPr>
                <w:sz w:val="20"/>
              </w:rPr>
              <w:t>Outside basis differences</w:t>
            </w:r>
          </w:p>
        </w:tc>
        <w:tc>
          <w:tcPr>
            <w:tcW w:w="1256" w:type="dxa"/>
          </w:tcPr>
          <w:p w14:paraId="7326CD17" w14:textId="77777777" w:rsidR="00EF3DFB" w:rsidRDefault="00D27C17">
            <w:pPr>
              <w:pStyle w:val="TableParagraph"/>
              <w:spacing w:before="25"/>
              <w:ind w:right="70"/>
              <w:jc w:val="right"/>
              <w:rPr>
                <w:sz w:val="20"/>
              </w:rPr>
            </w:pPr>
            <w:r>
              <w:rPr>
                <w:sz w:val="20"/>
              </w:rPr>
              <w:t>(93)</w:t>
            </w:r>
          </w:p>
        </w:tc>
        <w:tc>
          <w:tcPr>
            <w:tcW w:w="1218" w:type="dxa"/>
          </w:tcPr>
          <w:p w14:paraId="7326CD18" w14:textId="77777777" w:rsidR="00EF3DFB" w:rsidRDefault="00D27C17">
            <w:pPr>
              <w:pStyle w:val="TableParagraph"/>
              <w:spacing w:before="25"/>
              <w:ind w:right="13"/>
              <w:jc w:val="right"/>
              <w:rPr>
                <w:sz w:val="20"/>
              </w:rPr>
            </w:pPr>
            <w:r>
              <w:rPr>
                <w:sz w:val="20"/>
              </w:rPr>
              <w:t>(40)</w:t>
            </w:r>
          </w:p>
        </w:tc>
      </w:tr>
      <w:tr w:rsidR="00EF3DFB" w14:paraId="7326CD1D" w14:textId="77777777">
        <w:trPr>
          <w:trHeight w:val="285"/>
        </w:trPr>
        <w:tc>
          <w:tcPr>
            <w:tcW w:w="8145" w:type="dxa"/>
            <w:shd w:val="clear" w:color="auto" w:fill="CCEDFF"/>
          </w:tcPr>
          <w:p w14:paraId="7326CD1A" w14:textId="77777777" w:rsidR="00EF3DFB" w:rsidRDefault="00D27C17">
            <w:pPr>
              <w:pStyle w:val="TableParagraph"/>
              <w:spacing w:before="4"/>
              <w:ind w:left="52"/>
              <w:rPr>
                <w:sz w:val="20"/>
              </w:rPr>
            </w:pPr>
            <w:r>
              <w:rPr>
                <w:sz w:val="20"/>
              </w:rPr>
              <w:t>Operating lease assets</w:t>
            </w:r>
          </w:p>
        </w:tc>
        <w:tc>
          <w:tcPr>
            <w:tcW w:w="1256" w:type="dxa"/>
            <w:shd w:val="clear" w:color="auto" w:fill="CCEDFF"/>
          </w:tcPr>
          <w:p w14:paraId="7326CD1B" w14:textId="77777777" w:rsidR="00EF3DFB" w:rsidRDefault="00D27C17">
            <w:pPr>
              <w:pStyle w:val="TableParagraph"/>
              <w:spacing w:before="25"/>
              <w:ind w:right="70"/>
              <w:jc w:val="right"/>
              <w:rPr>
                <w:sz w:val="20"/>
              </w:rPr>
            </w:pPr>
            <w:r>
              <w:rPr>
                <w:sz w:val="20"/>
              </w:rPr>
              <w:t>(145)</w:t>
            </w:r>
          </w:p>
        </w:tc>
        <w:tc>
          <w:tcPr>
            <w:tcW w:w="1218" w:type="dxa"/>
            <w:shd w:val="clear" w:color="auto" w:fill="CCEDFF"/>
          </w:tcPr>
          <w:p w14:paraId="7326CD1C" w14:textId="77777777" w:rsidR="00EF3DFB" w:rsidRDefault="00D27C17">
            <w:pPr>
              <w:pStyle w:val="TableParagraph"/>
              <w:spacing w:before="25"/>
              <w:ind w:right="13"/>
              <w:jc w:val="right"/>
              <w:rPr>
                <w:sz w:val="20"/>
              </w:rPr>
            </w:pPr>
            <w:r>
              <w:rPr>
                <w:sz w:val="20"/>
              </w:rPr>
              <w:t>(158)</w:t>
            </w:r>
          </w:p>
        </w:tc>
      </w:tr>
      <w:tr w:rsidR="00EF3DFB" w14:paraId="7326CD21" w14:textId="77777777">
        <w:trPr>
          <w:trHeight w:val="275"/>
        </w:trPr>
        <w:tc>
          <w:tcPr>
            <w:tcW w:w="8145" w:type="dxa"/>
          </w:tcPr>
          <w:p w14:paraId="7326CD1E" w14:textId="77777777" w:rsidR="00EF3DFB" w:rsidRDefault="00D27C17">
            <w:pPr>
              <w:pStyle w:val="TableParagraph"/>
              <w:spacing w:before="4"/>
              <w:ind w:left="52"/>
              <w:rPr>
                <w:sz w:val="20"/>
              </w:rPr>
            </w:pPr>
            <w:r>
              <w:rPr>
                <w:sz w:val="20"/>
              </w:rPr>
              <w:t>Other</w:t>
            </w:r>
          </w:p>
        </w:tc>
        <w:tc>
          <w:tcPr>
            <w:tcW w:w="1256" w:type="dxa"/>
            <w:tcBorders>
              <w:bottom w:val="single" w:sz="8" w:space="0" w:color="000000"/>
            </w:tcBorders>
          </w:tcPr>
          <w:p w14:paraId="7326CD1F" w14:textId="77777777" w:rsidR="00EF3DFB" w:rsidRDefault="00D27C17">
            <w:pPr>
              <w:pStyle w:val="TableParagraph"/>
              <w:spacing w:before="25" w:line="230" w:lineRule="exact"/>
              <w:ind w:right="70"/>
              <w:jc w:val="right"/>
              <w:rPr>
                <w:sz w:val="20"/>
              </w:rPr>
            </w:pPr>
            <w:r>
              <w:rPr>
                <w:sz w:val="20"/>
              </w:rPr>
              <w:t>(84)</w:t>
            </w:r>
          </w:p>
        </w:tc>
        <w:tc>
          <w:tcPr>
            <w:tcW w:w="1218" w:type="dxa"/>
            <w:tcBorders>
              <w:bottom w:val="single" w:sz="8" w:space="0" w:color="000000"/>
            </w:tcBorders>
          </w:tcPr>
          <w:p w14:paraId="7326CD20" w14:textId="77777777" w:rsidR="00EF3DFB" w:rsidRDefault="00D27C17">
            <w:pPr>
              <w:pStyle w:val="TableParagraph"/>
              <w:spacing w:before="25" w:line="230" w:lineRule="exact"/>
              <w:ind w:right="13"/>
              <w:jc w:val="right"/>
              <w:rPr>
                <w:sz w:val="20"/>
              </w:rPr>
            </w:pPr>
            <w:r>
              <w:rPr>
                <w:sz w:val="20"/>
              </w:rPr>
              <w:t>(53)</w:t>
            </w:r>
          </w:p>
        </w:tc>
      </w:tr>
      <w:tr w:rsidR="00EF3DFB" w14:paraId="7326CD25" w14:textId="77777777">
        <w:trPr>
          <w:trHeight w:val="265"/>
        </w:trPr>
        <w:tc>
          <w:tcPr>
            <w:tcW w:w="8145" w:type="dxa"/>
            <w:shd w:val="clear" w:color="auto" w:fill="CCEDFF"/>
          </w:tcPr>
          <w:p w14:paraId="7326CD22" w14:textId="77777777" w:rsidR="00EF3DFB" w:rsidRDefault="00D27C17">
            <w:pPr>
              <w:pStyle w:val="TableParagraph"/>
              <w:spacing w:line="224" w:lineRule="exact"/>
              <w:ind w:left="52"/>
              <w:rPr>
                <w:sz w:val="20"/>
              </w:rPr>
            </w:pPr>
            <w:r>
              <w:rPr>
                <w:sz w:val="20"/>
              </w:rPr>
              <w:t>Total gross deferred tax liabilities</w:t>
            </w:r>
          </w:p>
        </w:tc>
        <w:tc>
          <w:tcPr>
            <w:tcW w:w="1256" w:type="dxa"/>
            <w:tcBorders>
              <w:top w:val="single" w:sz="8" w:space="0" w:color="000000"/>
              <w:bottom w:val="single" w:sz="8" w:space="0" w:color="000000"/>
            </w:tcBorders>
            <w:shd w:val="clear" w:color="auto" w:fill="CCEDFF"/>
          </w:tcPr>
          <w:p w14:paraId="7326CD23" w14:textId="77777777" w:rsidR="00EF3DFB" w:rsidRDefault="00D27C17">
            <w:pPr>
              <w:pStyle w:val="TableParagraph"/>
              <w:spacing w:before="15" w:line="230" w:lineRule="exact"/>
              <w:ind w:right="70"/>
              <w:jc w:val="right"/>
              <w:rPr>
                <w:sz w:val="20"/>
              </w:rPr>
            </w:pPr>
            <w:r>
              <w:rPr>
                <w:sz w:val="20"/>
              </w:rPr>
              <w:t>(696)</w:t>
            </w:r>
          </w:p>
        </w:tc>
        <w:tc>
          <w:tcPr>
            <w:tcW w:w="1218" w:type="dxa"/>
            <w:tcBorders>
              <w:top w:val="single" w:sz="8" w:space="0" w:color="000000"/>
              <w:bottom w:val="single" w:sz="8" w:space="0" w:color="000000"/>
            </w:tcBorders>
            <w:shd w:val="clear" w:color="auto" w:fill="CCEDFF"/>
          </w:tcPr>
          <w:p w14:paraId="7326CD24" w14:textId="77777777" w:rsidR="00EF3DFB" w:rsidRDefault="00D27C17">
            <w:pPr>
              <w:pStyle w:val="TableParagraph"/>
              <w:spacing w:before="15" w:line="230" w:lineRule="exact"/>
              <w:ind w:right="13"/>
              <w:jc w:val="right"/>
              <w:rPr>
                <w:sz w:val="20"/>
              </w:rPr>
            </w:pPr>
            <w:r>
              <w:rPr>
                <w:sz w:val="20"/>
              </w:rPr>
              <w:t>(849)</w:t>
            </w:r>
          </w:p>
        </w:tc>
      </w:tr>
      <w:tr w:rsidR="00EF3DFB" w14:paraId="7326CD29" w14:textId="77777777">
        <w:trPr>
          <w:trHeight w:val="285"/>
        </w:trPr>
        <w:tc>
          <w:tcPr>
            <w:tcW w:w="8145" w:type="dxa"/>
          </w:tcPr>
          <w:p w14:paraId="7326CD26" w14:textId="77777777" w:rsidR="00EF3DFB" w:rsidRDefault="00D27C17">
            <w:pPr>
              <w:pStyle w:val="TableParagraph"/>
              <w:spacing w:line="224" w:lineRule="exact"/>
              <w:ind w:left="52"/>
              <w:rPr>
                <w:sz w:val="20"/>
              </w:rPr>
            </w:pPr>
            <w:r>
              <w:rPr>
                <w:sz w:val="20"/>
              </w:rPr>
              <w:t>Net deferred tax assets</w:t>
            </w:r>
          </w:p>
        </w:tc>
        <w:tc>
          <w:tcPr>
            <w:tcW w:w="1256" w:type="dxa"/>
            <w:tcBorders>
              <w:top w:val="single" w:sz="8" w:space="0" w:color="000000"/>
              <w:bottom w:val="single" w:sz="8" w:space="0" w:color="000000"/>
            </w:tcBorders>
          </w:tcPr>
          <w:p w14:paraId="7326CD27" w14:textId="77777777" w:rsidR="00EF3DFB" w:rsidRDefault="00D27C17">
            <w:pPr>
              <w:pStyle w:val="TableParagraph"/>
              <w:tabs>
                <w:tab w:val="left" w:pos="818"/>
              </w:tabs>
              <w:spacing w:before="15"/>
              <w:ind w:left="52"/>
              <w:rPr>
                <w:sz w:val="20"/>
              </w:rPr>
            </w:pPr>
            <w:r>
              <w:rPr>
                <w:sz w:val="20"/>
                <w:u w:val="single"/>
              </w:rPr>
              <w:t>$</w:t>
            </w:r>
            <w:r>
              <w:rPr>
                <w:sz w:val="20"/>
                <w:u w:val="single"/>
              </w:rPr>
              <w:tab/>
              <w:t>424</w:t>
            </w:r>
          </w:p>
        </w:tc>
        <w:tc>
          <w:tcPr>
            <w:tcW w:w="1218" w:type="dxa"/>
            <w:tcBorders>
              <w:top w:val="single" w:sz="8" w:space="0" w:color="000000"/>
              <w:bottom w:val="single" w:sz="8" w:space="0" w:color="000000"/>
            </w:tcBorders>
          </w:tcPr>
          <w:p w14:paraId="7326CD28" w14:textId="77777777" w:rsidR="00EF3DFB" w:rsidRDefault="00D27C17">
            <w:pPr>
              <w:pStyle w:val="TableParagraph"/>
              <w:tabs>
                <w:tab w:val="left" w:pos="837"/>
              </w:tabs>
              <w:spacing w:before="15"/>
              <w:ind w:left="71"/>
              <w:rPr>
                <w:sz w:val="20"/>
              </w:rPr>
            </w:pPr>
            <w:r>
              <w:rPr>
                <w:sz w:val="20"/>
                <w:u w:val="single"/>
              </w:rPr>
              <w:t>$</w:t>
            </w:r>
            <w:r>
              <w:rPr>
                <w:sz w:val="20"/>
                <w:u w:val="single"/>
              </w:rPr>
              <w:tab/>
              <w:t>151</w:t>
            </w:r>
          </w:p>
        </w:tc>
      </w:tr>
      <w:tr w:rsidR="00EF3DFB" w14:paraId="7326CD34" w14:textId="77777777">
        <w:trPr>
          <w:trHeight w:val="940"/>
        </w:trPr>
        <w:tc>
          <w:tcPr>
            <w:tcW w:w="8145" w:type="dxa"/>
          </w:tcPr>
          <w:p w14:paraId="7326CD2A" w14:textId="77777777" w:rsidR="00EF3DFB" w:rsidRDefault="00EF3DFB">
            <w:pPr>
              <w:pStyle w:val="TableParagraph"/>
              <w:spacing w:before="8"/>
            </w:pPr>
          </w:p>
          <w:p w14:paraId="7326CD2B" w14:textId="77777777" w:rsidR="00EF3DFB" w:rsidRDefault="00D27C17">
            <w:pPr>
              <w:pStyle w:val="TableParagraph"/>
              <w:spacing w:before="1"/>
              <w:rPr>
                <w:sz w:val="20"/>
              </w:rPr>
            </w:pPr>
            <w:r>
              <w:rPr>
                <w:sz w:val="20"/>
              </w:rPr>
              <w:t>The net deferred tax amounts have been classified in the balance sheet at December 31, (in millions):</w:t>
            </w:r>
          </w:p>
        </w:tc>
        <w:tc>
          <w:tcPr>
            <w:tcW w:w="1256" w:type="dxa"/>
            <w:tcBorders>
              <w:top w:val="single" w:sz="8" w:space="0" w:color="000000"/>
              <w:bottom w:val="single" w:sz="8" w:space="0" w:color="000000"/>
            </w:tcBorders>
          </w:tcPr>
          <w:p w14:paraId="7326CD2C" w14:textId="77777777" w:rsidR="00EF3DFB" w:rsidRDefault="00EF3DFB">
            <w:pPr>
              <w:pStyle w:val="TableParagraph"/>
              <w:rPr>
                <w:sz w:val="18"/>
              </w:rPr>
            </w:pPr>
          </w:p>
          <w:p w14:paraId="7326CD2D" w14:textId="77777777" w:rsidR="00EF3DFB" w:rsidRDefault="00EF3DFB">
            <w:pPr>
              <w:pStyle w:val="TableParagraph"/>
              <w:rPr>
                <w:sz w:val="18"/>
              </w:rPr>
            </w:pPr>
          </w:p>
          <w:p w14:paraId="7326CD2E" w14:textId="77777777" w:rsidR="00EF3DFB" w:rsidRDefault="00EF3DFB">
            <w:pPr>
              <w:pStyle w:val="TableParagraph"/>
              <w:rPr>
                <w:sz w:val="18"/>
              </w:rPr>
            </w:pPr>
          </w:p>
          <w:p w14:paraId="7326CD2F" w14:textId="77777777" w:rsidR="00EF3DFB" w:rsidRDefault="00D27C17">
            <w:pPr>
              <w:pStyle w:val="TableParagraph"/>
              <w:spacing w:before="115" w:line="184" w:lineRule="exact"/>
              <w:ind w:left="242" w:right="297"/>
              <w:jc w:val="center"/>
              <w:rPr>
                <w:b/>
                <w:sz w:val="16"/>
              </w:rPr>
            </w:pPr>
            <w:r>
              <w:rPr>
                <w:b/>
                <w:sz w:val="16"/>
              </w:rPr>
              <w:t>2020</w:t>
            </w:r>
          </w:p>
        </w:tc>
        <w:tc>
          <w:tcPr>
            <w:tcW w:w="1218" w:type="dxa"/>
            <w:tcBorders>
              <w:top w:val="single" w:sz="8" w:space="0" w:color="000000"/>
              <w:bottom w:val="single" w:sz="8" w:space="0" w:color="000000"/>
            </w:tcBorders>
          </w:tcPr>
          <w:p w14:paraId="7326CD30" w14:textId="77777777" w:rsidR="00EF3DFB" w:rsidRDefault="00EF3DFB">
            <w:pPr>
              <w:pStyle w:val="TableParagraph"/>
              <w:rPr>
                <w:sz w:val="18"/>
              </w:rPr>
            </w:pPr>
          </w:p>
          <w:p w14:paraId="7326CD31" w14:textId="77777777" w:rsidR="00EF3DFB" w:rsidRDefault="00EF3DFB">
            <w:pPr>
              <w:pStyle w:val="TableParagraph"/>
              <w:rPr>
                <w:sz w:val="18"/>
              </w:rPr>
            </w:pPr>
          </w:p>
          <w:p w14:paraId="7326CD32" w14:textId="77777777" w:rsidR="00EF3DFB" w:rsidRDefault="00EF3DFB">
            <w:pPr>
              <w:pStyle w:val="TableParagraph"/>
              <w:rPr>
                <w:sz w:val="18"/>
              </w:rPr>
            </w:pPr>
          </w:p>
          <w:p w14:paraId="7326CD33" w14:textId="77777777" w:rsidR="00EF3DFB" w:rsidRDefault="00D27C17">
            <w:pPr>
              <w:pStyle w:val="TableParagraph"/>
              <w:spacing w:before="115" w:line="184" w:lineRule="exact"/>
              <w:ind w:left="437" w:right="417"/>
              <w:jc w:val="center"/>
              <w:rPr>
                <w:b/>
                <w:sz w:val="16"/>
              </w:rPr>
            </w:pPr>
            <w:r>
              <w:rPr>
                <w:b/>
                <w:sz w:val="16"/>
              </w:rPr>
              <w:t>2019</w:t>
            </w:r>
          </w:p>
        </w:tc>
      </w:tr>
      <w:tr w:rsidR="00EF3DFB" w14:paraId="7326CD38" w14:textId="77777777">
        <w:trPr>
          <w:trHeight w:val="290"/>
        </w:trPr>
        <w:tc>
          <w:tcPr>
            <w:tcW w:w="8145" w:type="dxa"/>
            <w:shd w:val="clear" w:color="auto" w:fill="CCEDFF"/>
          </w:tcPr>
          <w:p w14:paraId="7326CD35" w14:textId="77777777" w:rsidR="00EF3DFB" w:rsidRDefault="00D27C17">
            <w:pPr>
              <w:pStyle w:val="TableParagraph"/>
              <w:spacing w:before="30"/>
              <w:ind w:left="52"/>
              <w:rPr>
                <w:sz w:val="20"/>
              </w:rPr>
            </w:pPr>
            <w:r>
              <w:rPr>
                <w:sz w:val="20"/>
              </w:rPr>
              <w:t>Noncurrent deferred tax assets</w:t>
            </w:r>
          </w:p>
        </w:tc>
        <w:tc>
          <w:tcPr>
            <w:tcW w:w="1256" w:type="dxa"/>
            <w:tcBorders>
              <w:top w:val="single" w:sz="8" w:space="0" w:color="000000"/>
            </w:tcBorders>
            <w:shd w:val="clear" w:color="auto" w:fill="CCEDFF"/>
          </w:tcPr>
          <w:p w14:paraId="7326CD36" w14:textId="77777777" w:rsidR="00EF3DFB" w:rsidRDefault="00D27C17">
            <w:pPr>
              <w:pStyle w:val="TableParagraph"/>
              <w:tabs>
                <w:tab w:val="left" w:pos="818"/>
              </w:tabs>
              <w:spacing w:before="30"/>
              <w:ind w:left="52"/>
              <w:rPr>
                <w:sz w:val="20"/>
              </w:rPr>
            </w:pPr>
            <w:r>
              <w:rPr>
                <w:sz w:val="20"/>
              </w:rPr>
              <w:t>$</w:t>
            </w:r>
            <w:r>
              <w:rPr>
                <w:sz w:val="20"/>
              </w:rPr>
              <w:tab/>
              <w:t>838</w:t>
            </w:r>
          </w:p>
        </w:tc>
        <w:tc>
          <w:tcPr>
            <w:tcW w:w="1218" w:type="dxa"/>
            <w:tcBorders>
              <w:top w:val="single" w:sz="8" w:space="0" w:color="000000"/>
            </w:tcBorders>
            <w:shd w:val="clear" w:color="auto" w:fill="CCEDFF"/>
          </w:tcPr>
          <w:p w14:paraId="7326CD37" w14:textId="77777777" w:rsidR="00EF3DFB" w:rsidRDefault="00D27C17">
            <w:pPr>
              <w:pStyle w:val="TableParagraph"/>
              <w:tabs>
                <w:tab w:val="left" w:pos="837"/>
              </w:tabs>
              <w:spacing w:before="30"/>
              <w:ind w:left="71"/>
              <w:rPr>
                <w:sz w:val="20"/>
              </w:rPr>
            </w:pPr>
            <w:r>
              <w:rPr>
                <w:sz w:val="20"/>
              </w:rPr>
              <w:t>$</w:t>
            </w:r>
            <w:r>
              <w:rPr>
                <w:sz w:val="20"/>
              </w:rPr>
              <w:tab/>
              <w:t>776</w:t>
            </w:r>
          </w:p>
        </w:tc>
      </w:tr>
      <w:tr w:rsidR="00EF3DFB" w14:paraId="7326CD3C" w14:textId="77777777">
        <w:trPr>
          <w:trHeight w:val="290"/>
        </w:trPr>
        <w:tc>
          <w:tcPr>
            <w:tcW w:w="8145" w:type="dxa"/>
          </w:tcPr>
          <w:p w14:paraId="7326CD39" w14:textId="77777777" w:rsidR="00EF3DFB" w:rsidRDefault="00D27C17">
            <w:pPr>
              <w:pStyle w:val="TableParagraph"/>
              <w:spacing w:before="40" w:line="230" w:lineRule="exact"/>
              <w:ind w:left="52"/>
              <w:rPr>
                <w:sz w:val="20"/>
              </w:rPr>
            </w:pPr>
            <w:r>
              <w:rPr>
                <w:sz w:val="20"/>
              </w:rPr>
              <w:t>Noncurrent deferred tax liabilities</w:t>
            </w:r>
          </w:p>
        </w:tc>
        <w:tc>
          <w:tcPr>
            <w:tcW w:w="1256" w:type="dxa"/>
            <w:tcBorders>
              <w:bottom w:val="single" w:sz="8" w:space="0" w:color="000000"/>
            </w:tcBorders>
          </w:tcPr>
          <w:p w14:paraId="7326CD3A" w14:textId="77777777" w:rsidR="00EF3DFB" w:rsidRDefault="00D27C17">
            <w:pPr>
              <w:pStyle w:val="TableParagraph"/>
              <w:spacing w:before="40" w:line="230" w:lineRule="exact"/>
              <w:ind w:right="70"/>
              <w:jc w:val="right"/>
              <w:rPr>
                <w:sz w:val="20"/>
              </w:rPr>
            </w:pPr>
            <w:r>
              <w:rPr>
                <w:sz w:val="20"/>
              </w:rPr>
              <w:t>(414)</w:t>
            </w:r>
          </w:p>
        </w:tc>
        <w:tc>
          <w:tcPr>
            <w:tcW w:w="1218" w:type="dxa"/>
            <w:tcBorders>
              <w:bottom w:val="single" w:sz="8" w:space="0" w:color="000000"/>
            </w:tcBorders>
          </w:tcPr>
          <w:p w14:paraId="7326CD3B" w14:textId="77777777" w:rsidR="00EF3DFB" w:rsidRDefault="00D27C17">
            <w:pPr>
              <w:pStyle w:val="TableParagraph"/>
              <w:spacing w:before="40" w:line="230" w:lineRule="exact"/>
              <w:ind w:right="13"/>
              <w:jc w:val="right"/>
              <w:rPr>
                <w:sz w:val="20"/>
              </w:rPr>
            </w:pPr>
            <w:r>
              <w:rPr>
                <w:sz w:val="20"/>
              </w:rPr>
              <w:t>(625)</w:t>
            </w:r>
          </w:p>
        </w:tc>
      </w:tr>
      <w:tr w:rsidR="00EF3DFB" w14:paraId="7326CD40" w14:textId="77777777">
        <w:trPr>
          <w:trHeight w:val="290"/>
        </w:trPr>
        <w:tc>
          <w:tcPr>
            <w:tcW w:w="8145" w:type="dxa"/>
            <w:shd w:val="clear" w:color="auto" w:fill="CCEDFF"/>
          </w:tcPr>
          <w:p w14:paraId="7326CD3D" w14:textId="77777777" w:rsidR="00EF3DFB" w:rsidRDefault="00D27C17">
            <w:pPr>
              <w:pStyle w:val="TableParagraph"/>
              <w:spacing w:before="30"/>
              <w:ind w:left="52"/>
              <w:rPr>
                <w:sz w:val="20"/>
              </w:rPr>
            </w:pPr>
            <w:r>
              <w:rPr>
                <w:sz w:val="20"/>
              </w:rPr>
              <w:t>Total</w:t>
            </w:r>
          </w:p>
        </w:tc>
        <w:tc>
          <w:tcPr>
            <w:tcW w:w="1256" w:type="dxa"/>
            <w:tcBorders>
              <w:top w:val="single" w:sz="8" w:space="0" w:color="000000"/>
            </w:tcBorders>
            <w:shd w:val="clear" w:color="auto" w:fill="CCEDFF"/>
          </w:tcPr>
          <w:p w14:paraId="7326CD3E" w14:textId="77777777" w:rsidR="00EF3DFB" w:rsidRDefault="00D27C17">
            <w:pPr>
              <w:pStyle w:val="TableParagraph"/>
              <w:tabs>
                <w:tab w:val="left" w:pos="818"/>
              </w:tabs>
              <w:spacing w:before="30"/>
              <w:ind w:left="52"/>
              <w:rPr>
                <w:sz w:val="20"/>
              </w:rPr>
            </w:pPr>
            <w:r>
              <w:rPr>
                <w:sz w:val="20"/>
                <w:u w:val="single"/>
              </w:rPr>
              <w:t>$</w:t>
            </w:r>
            <w:r>
              <w:rPr>
                <w:sz w:val="20"/>
                <w:u w:val="single"/>
              </w:rPr>
              <w:tab/>
              <w:t>424</w:t>
            </w:r>
          </w:p>
        </w:tc>
        <w:tc>
          <w:tcPr>
            <w:tcW w:w="1218" w:type="dxa"/>
            <w:tcBorders>
              <w:top w:val="single" w:sz="8" w:space="0" w:color="000000"/>
            </w:tcBorders>
            <w:shd w:val="clear" w:color="auto" w:fill="CCEDFF"/>
          </w:tcPr>
          <w:p w14:paraId="7326CD3F" w14:textId="77777777" w:rsidR="00EF3DFB" w:rsidRDefault="00D27C17">
            <w:pPr>
              <w:pStyle w:val="TableParagraph"/>
              <w:tabs>
                <w:tab w:val="left" w:pos="837"/>
              </w:tabs>
              <w:spacing w:before="30"/>
              <w:ind w:left="71"/>
              <w:rPr>
                <w:sz w:val="20"/>
              </w:rPr>
            </w:pPr>
            <w:r>
              <w:rPr>
                <w:sz w:val="20"/>
                <w:u w:val="single"/>
              </w:rPr>
              <w:t>$</w:t>
            </w:r>
            <w:r>
              <w:rPr>
                <w:sz w:val="20"/>
                <w:u w:val="single"/>
              </w:rPr>
              <w:tab/>
              <w:t>151</w:t>
            </w:r>
          </w:p>
        </w:tc>
      </w:tr>
    </w:tbl>
    <w:p w14:paraId="7326CD41" w14:textId="4C6ED567" w:rsidR="00EF3DFB" w:rsidRDefault="00D27C17">
      <w:pPr>
        <w:spacing w:line="20" w:lineRule="exact"/>
        <w:ind w:left="8325"/>
        <w:rPr>
          <w:sz w:val="2"/>
        </w:rPr>
      </w:pPr>
      <w:r>
        <w:rPr>
          <w:noProof/>
          <w:sz w:val="2"/>
        </w:rPr>
        <mc:AlternateContent>
          <mc:Choice Requires="wpg">
            <w:drawing>
              <wp:inline distT="0" distB="0" distL="0" distR="0" wp14:anchorId="7326D75E" wp14:editId="3E9DF28D">
                <wp:extent cx="762000" cy="12700"/>
                <wp:effectExtent l="12700" t="8255" r="6350" b="7620"/>
                <wp:docPr id="26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68" name="Line 251"/>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CDC084" id="Group 250"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BU6SmbJwIAANsEAAAOAAAAAAAAAAAAAAAAAC4CAABkcnMvZTJvRG9jLnht&#10;bFBLAQItABQABgAIAAAAIQDqJm4U2QAAAAMBAAAPAAAAAAAAAAAAAAAAAIEEAABkcnMvZG93bnJl&#10;di54bWxQSwUGAAAAAAQABADzAAAAhwUAAAAA&#10;">
                <v:line id="Line 251"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60" wp14:editId="13FB8035">
                <wp:extent cx="762000" cy="12700"/>
                <wp:effectExtent l="12700" t="8255" r="6350" b="7620"/>
                <wp:docPr id="26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66" name="Line 249"/>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A21AC" id="Group 248"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CjwwTWJwIAANsEAAAOAAAAAAAAAAAAAAAAAC4CAABkcnMvZTJvRG9jLnht&#10;bFBLAQItABQABgAIAAAAIQDqJm4U2QAAAAMBAAAPAAAAAAAAAAAAAAAAAIEEAABkcnMvZG93bnJl&#10;di54bWxQSwUGAAAAAAQABADzAAAAhwUAAAAA&#10;">
                <v:line id="Line 249"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" strokeweight="1pt"/>
                <w10:anchorlock/>
              </v:group>
            </w:pict>
          </mc:Fallback>
        </mc:AlternateContent>
      </w:r>
    </w:p>
    <w:p w14:paraId="7326CD42" w14:textId="77777777" w:rsidR="00EF3DFB" w:rsidRDefault="00EF3DFB">
      <w:pPr>
        <w:pStyle w:val="BodyText"/>
        <w:spacing w:before="7"/>
        <w:rPr>
          <w:sz w:val="23"/>
        </w:rPr>
      </w:pPr>
    </w:p>
    <w:p w14:paraId="7326CD43" w14:textId="77777777" w:rsidR="00EF3DFB" w:rsidRDefault="00D27C17">
      <w:pPr>
        <w:pStyle w:val="BodyText"/>
        <w:spacing w:line="249" w:lineRule="auto"/>
        <w:ind w:left="190" w:right="168"/>
        <w:jc w:val="both"/>
      </w:pPr>
      <w:r>
        <w:t xml:space="preserve">At December 31, 2020, the Company has net operating losses (“NOLs”) of approximately $1.4 billion, comprised of $249 million </w:t>
      </w:r>
      <w:r>
        <w:t>in the U.S. and $1.2 billion outside of the U.S. Approximately $982 million of these NOLs do not expire and approximately $434 million expire between 2021 and 2038. Additionally, approximately $102 million of U.S. federal NOLs are subject to varying limita</w:t>
      </w:r>
      <w:r>
        <w:t>tions on their use under Section 382 of the Internal Revenue Code of 1986, as amended. Of these U.S. federal NOLs, approximately $98 million are not reflected in the consolidated financial statements and approximately $32 million were utilized in the curre</w:t>
      </w:r>
      <w:r>
        <w:t>nt year. At December 31, 2020, the Company has approximately $1.0 billion of post-apportioned state NOLs, which expire between 2021 and 2038. Additionally, approximately $38 million of post-apportioned state NOLs are subject to varying limitations on their</w:t>
      </w:r>
      <w:r>
        <w:t xml:space="preserve"> use under Section 382 of the Internal Revenue Code of 1986, as amended. Of these post-apportioned state NOLs, approximately $38 million are not reflected in the consolidated financial statements and approximately $6 million were utilized in the current ye</w:t>
      </w:r>
      <w:r>
        <w:t>ar.</w:t>
      </w:r>
    </w:p>
    <w:p w14:paraId="7326CD44" w14:textId="77777777" w:rsidR="00EF3DFB" w:rsidRDefault="00EF3DFB">
      <w:pPr>
        <w:pStyle w:val="BodyText"/>
        <w:spacing w:before="7"/>
        <w:rPr>
          <w:sz w:val="21"/>
        </w:rPr>
      </w:pPr>
    </w:p>
    <w:p w14:paraId="7326CD45" w14:textId="77777777" w:rsidR="00EF3DFB" w:rsidRDefault="00D27C17">
      <w:pPr>
        <w:pStyle w:val="BodyText"/>
        <w:spacing w:line="249" w:lineRule="auto"/>
        <w:ind w:left="190" w:right="169"/>
        <w:jc w:val="both"/>
      </w:pPr>
      <w:r>
        <w:t>The majority of the U.S. foreign tax credits are recognized as a deferred tax asset at December 31, 2020 and were generated at December 31, 2018 and can be carried back one year and carried forward ten years. The Company has approximately $755 million of U</w:t>
      </w:r>
      <w:r>
        <w:t>.S. capital loss carryforwards of which approximately $313 million were generated at December 31, 2018, and $442 million were generated at December 31, 2020 and can be carried back three years and carried forward five years. The Company has approximately $</w:t>
      </w:r>
      <w:r>
        <w:t>292 million of post-apportioned state capital loss carryforwards of which $136 million was  generated  at  December</w:t>
      </w:r>
      <w:r>
        <w:rPr>
          <w:spacing w:val="7"/>
        </w:rPr>
        <w:t xml:space="preserve"> </w:t>
      </w:r>
      <w:r>
        <w:t>31,</w:t>
      </w:r>
      <w:r>
        <w:rPr>
          <w:spacing w:val="7"/>
        </w:rPr>
        <w:t xml:space="preserve"> </w:t>
      </w:r>
      <w:r>
        <w:t>2018,</w:t>
      </w:r>
      <w:r>
        <w:rPr>
          <w:spacing w:val="7"/>
        </w:rPr>
        <w:t xml:space="preserve"> </w:t>
      </w:r>
      <w:r>
        <w:t>and</w:t>
      </w:r>
      <w:r>
        <w:rPr>
          <w:spacing w:val="7"/>
        </w:rPr>
        <w:t xml:space="preserve"> </w:t>
      </w:r>
      <w:r>
        <w:t>$156</w:t>
      </w:r>
      <w:r>
        <w:rPr>
          <w:spacing w:val="7"/>
        </w:rPr>
        <w:t xml:space="preserve"> </w:t>
      </w:r>
      <w:r>
        <w:t>million</w:t>
      </w:r>
      <w:r>
        <w:rPr>
          <w:spacing w:val="7"/>
        </w:rPr>
        <w:t xml:space="preserve"> </w:t>
      </w:r>
      <w:r>
        <w:t>was</w:t>
      </w:r>
      <w:r>
        <w:rPr>
          <w:spacing w:val="7"/>
        </w:rPr>
        <w:t xml:space="preserve"> </w:t>
      </w:r>
      <w:r>
        <w:t>generated</w:t>
      </w:r>
      <w:r>
        <w:rPr>
          <w:spacing w:val="7"/>
        </w:rPr>
        <w:t xml:space="preserve"> </w:t>
      </w:r>
      <w:r>
        <w:t>at</w:t>
      </w:r>
      <w:r>
        <w:rPr>
          <w:spacing w:val="7"/>
        </w:rPr>
        <w:t xml:space="preserve"> </w:t>
      </w:r>
      <w:r>
        <w:t>December</w:t>
      </w:r>
      <w:r>
        <w:rPr>
          <w:spacing w:val="7"/>
        </w:rPr>
        <w:t xml:space="preserve"> </w:t>
      </w:r>
      <w:r>
        <w:t>31,</w:t>
      </w:r>
      <w:r>
        <w:rPr>
          <w:spacing w:val="7"/>
        </w:rPr>
        <w:t xml:space="preserve"> </w:t>
      </w:r>
      <w:r>
        <w:t>2020.</w:t>
      </w:r>
      <w:r>
        <w:rPr>
          <w:spacing w:val="7"/>
        </w:rPr>
        <w:t xml:space="preserve"> </w:t>
      </w:r>
      <w:r>
        <w:t>Of</w:t>
      </w:r>
      <w:r>
        <w:rPr>
          <w:spacing w:val="7"/>
        </w:rPr>
        <w:t xml:space="preserve"> </w:t>
      </w:r>
      <w:r>
        <w:t>these</w:t>
      </w:r>
      <w:r>
        <w:rPr>
          <w:spacing w:val="7"/>
        </w:rPr>
        <w:t xml:space="preserve"> </w:t>
      </w:r>
      <w:r>
        <w:t>post-apportioned</w:t>
      </w:r>
      <w:r>
        <w:rPr>
          <w:spacing w:val="7"/>
        </w:rPr>
        <w:t xml:space="preserve"> </w:t>
      </w:r>
      <w:r>
        <w:t>state</w:t>
      </w:r>
      <w:r>
        <w:rPr>
          <w:spacing w:val="7"/>
        </w:rPr>
        <w:t xml:space="preserve"> </w:t>
      </w:r>
      <w:r>
        <w:t>capital</w:t>
      </w:r>
      <w:r>
        <w:rPr>
          <w:spacing w:val="7"/>
        </w:rPr>
        <w:t xml:space="preserve"> </w:t>
      </w:r>
      <w:r>
        <w:t>loss</w:t>
      </w:r>
    </w:p>
    <w:p w14:paraId="7326CD46" w14:textId="77777777" w:rsidR="00EF3DFB" w:rsidRDefault="00EF3DFB">
      <w:pPr>
        <w:spacing w:line="249" w:lineRule="auto"/>
        <w:jc w:val="both"/>
        <w:sectPr w:rsidR="00EF3DFB">
          <w:pgSz w:w="12240" w:h="15840"/>
          <w:pgMar w:top="600" w:right="640" w:bottom="480" w:left="620" w:header="0" w:footer="291" w:gutter="0"/>
          <w:cols w:space="720"/>
        </w:sectPr>
      </w:pPr>
    </w:p>
    <w:p w14:paraId="7326CD47" w14:textId="77777777" w:rsidR="00EF3DFB" w:rsidRDefault="00D27C17">
      <w:pPr>
        <w:pStyle w:val="BodyText"/>
        <w:spacing w:before="72" w:line="249" w:lineRule="auto"/>
        <w:ind w:left="190" w:right="169"/>
        <w:jc w:val="both"/>
      </w:pPr>
      <w:r>
        <w:lastRenderedPageBreak/>
        <w:t>carryforwards, $18</w:t>
      </w:r>
      <w:r>
        <w:t>3 million can be carried back three years and carried forward five years, and $109 million can be carried forward five years.</w:t>
      </w:r>
    </w:p>
    <w:p w14:paraId="7326CD48" w14:textId="77777777" w:rsidR="00EF3DFB" w:rsidRDefault="00EF3DFB">
      <w:pPr>
        <w:pStyle w:val="BodyText"/>
        <w:spacing w:before="1"/>
        <w:rPr>
          <w:sz w:val="24"/>
        </w:rPr>
      </w:pPr>
    </w:p>
    <w:p w14:paraId="7326CD49" w14:textId="77777777" w:rsidR="00EF3DFB" w:rsidRDefault="00D27C17">
      <w:pPr>
        <w:pStyle w:val="BodyText"/>
        <w:spacing w:line="249" w:lineRule="auto"/>
        <w:ind w:left="190" w:right="168"/>
        <w:jc w:val="both"/>
      </w:pPr>
      <w:r>
        <w:t>The Company routinely reviews valuation allowances recorded against deferred tax assets on a more likely than not basis as to whe</w:t>
      </w:r>
      <w:r>
        <w:t>ther the Company will realize the deferred tax assets. In making such a determination, the Company takes into consideration all available and appropriate positive and negative evidence, including projected future taxable income, future reversals of existin</w:t>
      </w:r>
      <w:r>
        <w:t>g taxable temporary differences, the ability to carryback net operating losses, and available tax planning strategies. Although realization is not assured, based on this existing evidence, the Company believes it is more likely than not that the Company wi</w:t>
      </w:r>
      <w:r>
        <w:t>ll realize the benefit of existing deferred tax assets, net of the valuation allowances.</w:t>
      </w:r>
    </w:p>
    <w:p w14:paraId="7326CD4A" w14:textId="77777777" w:rsidR="00EF3DFB" w:rsidRDefault="00EF3DFB">
      <w:pPr>
        <w:pStyle w:val="BodyText"/>
        <w:spacing w:before="3"/>
        <w:rPr>
          <w:sz w:val="21"/>
        </w:rPr>
      </w:pPr>
    </w:p>
    <w:p w14:paraId="7326CD4B" w14:textId="77777777" w:rsidR="00EF3DFB" w:rsidRDefault="00D27C17">
      <w:pPr>
        <w:pStyle w:val="BodyText"/>
        <w:spacing w:before="1" w:line="249" w:lineRule="auto"/>
        <w:ind w:left="190" w:right="167"/>
        <w:jc w:val="both"/>
      </w:pPr>
      <w:r>
        <w:t>At December 31, 2020, the Company has a valuation allowance recorded against certain U.S., state, and foreign NOLs and other deferred tax assets the Company believes do not meet the more than likely to be realized threshold due to the uncertainty resulting</w:t>
      </w:r>
      <w:r>
        <w:t xml:space="preserve"> from a lack of previous taxable income within the applicable tax jurisdictions. A valuation allowance of $213 million and $271 million was recorded against certain deferred tax asset balances at December 31, 2020 and 2019, respectively. For 2020, the Comp</w:t>
      </w:r>
      <w:r>
        <w:t>any recorded a net valuation allowance decrease of $58 million, primarily related to U.S. NOLs and other deferred tax assets related to a subsidiary previously excluded from the Company’s U.S. consolidated income tax return of $53 million, state capital lo</w:t>
      </w:r>
      <w:r>
        <w:t>ss, and other miscellaneous changes in U.S., state and non-U.S. valuation allowances related to ongoing operations. For 2019, the Company recorded a net valuation allowance increase of $76 million, primarily comprised of U.S. NOLs and other deferred tax as</w:t>
      </w:r>
      <w:r>
        <w:t>sets related to a subsidiary previously excluded from the Company’s U.S. consolidated income tax return of $53 million, state capital loss, and other miscellaneous changes in U.S., state and non-U.S. valuation allowances related to ongoing operations.</w:t>
      </w:r>
    </w:p>
    <w:p w14:paraId="7326CD4C" w14:textId="77777777" w:rsidR="00EF3DFB" w:rsidRDefault="00EF3DFB">
      <w:pPr>
        <w:pStyle w:val="BodyText"/>
        <w:spacing w:before="6"/>
        <w:rPr>
          <w:sz w:val="21"/>
        </w:rPr>
      </w:pPr>
    </w:p>
    <w:p w14:paraId="7326CD4D" w14:textId="77777777" w:rsidR="00EF3DFB" w:rsidRDefault="00D27C17">
      <w:pPr>
        <w:pStyle w:val="BodyText"/>
        <w:ind w:left="190"/>
        <w:jc w:val="both"/>
      </w:pPr>
      <w:r>
        <w:t>The</w:t>
      </w:r>
      <w:r>
        <w:t xml:space="preserve"> following table summarizes the changes in gross unrecognized tax benefits periods indicated are as follows (in millions):</w:t>
      </w:r>
    </w:p>
    <w:p w14:paraId="7326CD4E" w14:textId="77777777" w:rsidR="00EF3DFB" w:rsidRDefault="00EF3DFB">
      <w:pPr>
        <w:pStyle w:val="BodyText"/>
        <w:spacing w:before="1"/>
        <w:rPr>
          <w:sz w:val="16"/>
        </w:rPr>
      </w:pPr>
    </w:p>
    <w:p w14:paraId="7326CD4F" w14:textId="77777777" w:rsidR="00EF3DFB" w:rsidRDefault="00D27C17">
      <w:pPr>
        <w:tabs>
          <w:tab w:val="left" w:pos="1274"/>
          <w:tab w:val="left" w:pos="2549"/>
        </w:tabs>
        <w:ind w:right="609"/>
        <w:jc w:val="right"/>
        <w:rPr>
          <w:b/>
          <w:sz w:val="16"/>
        </w:rPr>
      </w:pPr>
      <w:r>
        <w:rPr>
          <w:b/>
          <w:sz w:val="16"/>
        </w:rPr>
        <w:t>2020</w:t>
      </w:r>
      <w:r>
        <w:rPr>
          <w:b/>
          <w:sz w:val="16"/>
        </w:rPr>
        <w:tab/>
        <w:t>2019</w:t>
      </w:r>
      <w:r>
        <w:rPr>
          <w:b/>
          <w:sz w:val="16"/>
        </w:rPr>
        <w:tab/>
        <w:t>2018</w:t>
      </w:r>
    </w:p>
    <w:p w14:paraId="7326CD50" w14:textId="2C4FDF18" w:rsidR="00EF3DFB" w:rsidRDefault="00D27C17">
      <w:pPr>
        <w:pStyle w:val="BodyText"/>
        <w:tabs>
          <w:tab w:val="left" w:pos="7112"/>
          <w:tab w:val="left" w:pos="7878"/>
          <w:tab w:val="left" w:pos="8387"/>
          <w:tab w:val="left" w:pos="9153"/>
          <w:tab w:val="left" w:pos="9662"/>
          <w:tab w:val="right" w:pos="10728"/>
        </w:tabs>
        <w:spacing w:before="34"/>
        <w:ind w:left="242"/>
      </w:pPr>
      <w:r>
        <w:rPr>
          <w:noProof/>
        </w:rPr>
        <mc:AlternateContent>
          <mc:Choice Requires="wpg">
            <w:drawing>
              <wp:anchor distT="0" distB="0" distL="114300" distR="114300" simplePos="0" relativeHeight="502907360" behindDoc="1" locked="0" layoutInCell="1" allowOverlap="1" wp14:anchorId="7326D762" wp14:editId="17517DB2">
                <wp:simplePos x="0" y="0"/>
                <wp:positionH relativeFrom="page">
                  <wp:posOffset>514350</wp:posOffset>
                </wp:positionH>
                <wp:positionV relativeFrom="paragraph">
                  <wp:posOffset>12700</wp:posOffset>
                </wp:positionV>
                <wp:extent cx="6743700" cy="187325"/>
                <wp:effectExtent l="0" t="6985" r="9525" b="0"/>
                <wp:wrapNone/>
                <wp:docPr id="257"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20"/>
                          <a:chExt cx="10620" cy="295"/>
                        </a:xfrm>
                      </wpg:grpSpPr>
                      <wps:wsp>
                        <wps:cNvPr id="258" name="Rectangle 247"/>
                        <wps:cNvSpPr>
                          <a:spLocks noChangeArrowheads="1"/>
                        </wps:cNvSpPr>
                        <wps:spPr bwMode="auto">
                          <a:xfrm>
                            <a:off x="810" y="29"/>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46"/>
                        <wps:cNvCnPr>
                          <a:cxnSpLocks noChangeShapeType="1"/>
                        </wps:cNvCnPr>
                        <wps:spPr bwMode="auto">
                          <a:xfrm>
                            <a:off x="768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45"/>
                        <wps:cNvCnPr>
                          <a:cxnSpLocks noChangeShapeType="1"/>
                        </wps:cNvCnPr>
                        <wps:spPr bwMode="auto">
                          <a:xfrm>
                            <a:off x="768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44"/>
                        <wps:cNvCnPr>
                          <a:cxnSpLocks noChangeShapeType="1"/>
                        </wps:cNvCnPr>
                        <wps:spPr bwMode="auto">
                          <a:xfrm>
                            <a:off x="8955"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43"/>
                        <wps:cNvCnPr>
                          <a:cxnSpLocks noChangeShapeType="1"/>
                        </wps:cNvCnPr>
                        <wps:spPr bwMode="auto">
                          <a:xfrm>
                            <a:off x="8955"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42"/>
                        <wps:cNvCnPr>
                          <a:cxnSpLocks noChangeShapeType="1"/>
                        </wps:cNvCnPr>
                        <wps:spPr bwMode="auto">
                          <a:xfrm>
                            <a:off x="10230" y="30"/>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41"/>
                        <wps:cNvCnPr>
                          <a:cxnSpLocks noChangeShapeType="1"/>
                        </wps:cNvCnPr>
                        <wps:spPr bwMode="auto">
                          <a:xfrm>
                            <a:off x="10230" y="3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E3F1A" id="Group 240" o:spid="_x0000_s1026" style="position:absolute;margin-left:40.5pt;margin-top:1pt;width:531pt;height:14.75pt;z-index:-409120;mso-position-horizontal-relative:page" coordorigin="810,2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">
                <v:rect id="Rectangle 247" o:spid="_x0000_s1027" style="position:absolute;left:810;top:29;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" fillcolor="#ccedff" stroked="f"/>
                <v:line id="Line 246" o:spid="_x0000_s1028"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line id="Line 245" o:spid="_x0000_s1029" style="position:absolute;visibility:visible;mso-wrap-style:square" from="7680,30" to="88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44" o:spid="_x0000_s1030"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line id="Line 243" o:spid="_x0000_s1031" style="position:absolute;visibility:visible;mso-wrap-style:square" from="8955,30" to="10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line id="Line 242" o:spid="_x0000_s1032"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241" o:spid="_x0000_s1033" style="position:absolute;visibility:visible;mso-wrap-style:square" from="10230,30" to="114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S4xQAAANwAAAAPAAAAZHJzL2Rvd25yZXYueG1sRI/RagIx&#10;FETfC/2HcAu+1awi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CZASS4xQAAANwAAAAP&#10;AAAAAAAAAAAAAAAAAAcCAABkcnMvZG93bnJldi54bWxQSwUGAAAAAAMAAwC3AAAA+QIAAAAA&#10;" strokeweight="1pt"/>
                <w10:wrap anchorx="page"/>
              </v:group>
            </w:pict>
          </mc:Fallback>
        </mc:AlternateContent>
      </w:r>
      <w:r>
        <w:t>Unrecognized tax benefits,</w:t>
      </w:r>
      <w:r>
        <w:rPr>
          <w:spacing w:val="-8"/>
        </w:rPr>
        <w:t xml:space="preserve"> </w:t>
      </w:r>
      <w:r>
        <w:t>January</w:t>
      </w:r>
      <w:r>
        <w:rPr>
          <w:spacing w:val="-3"/>
        </w:rPr>
        <w:t xml:space="preserve"> </w:t>
      </w:r>
      <w:r>
        <w:t>1,</w:t>
      </w:r>
      <w:r>
        <w:tab/>
      </w:r>
      <w:r>
        <w:rPr>
          <w:position w:val="-1"/>
        </w:rPr>
        <w:t>$</w:t>
      </w:r>
      <w:r>
        <w:rPr>
          <w:position w:val="-1"/>
        </w:rPr>
        <w:tab/>
        <w:t>474</w:t>
      </w:r>
      <w:r>
        <w:rPr>
          <w:position w:val="-1"/>
        </w:rPr>
        <w:tab/>
        <w:t>$</w:t>
      </w:r>
      <w:r>
        <w:rPr>
          <w:position w:val="-1"/>
        </w:rPr>
        <w:tab/>
        <w:t>463</w:t>
      </w:r>
      <w:r>
        <w:rPr>
          <w:position w:val="-1"/>
        </w:rPr>
        <w:tab/>
        <w:t>$</w:t>
      </w:r>
      <w:r>
        <w:rPr>
          <w:position w:val="-1"/>
        </w:rPr>
        <w:tab/>
        <w:t>385</w:t>
      </w:r>
    </w:p>
    <w:p w14:paraId="7326CD51" w14:textId="77777777" w:rsidR="00EF3DFB" w:rsidRDefault="00D27C17">
      <w:pPr>
        <w:pStyle w:val="BodyText"/>
        <w:spacing w:before="35"/>
        <w:ind w:left="242"/>
      </w:pPr>
      <w:r>
        <w:t>Increases (decreases):</w:t>
      </w:r>
    </w:p>
    <w:p w14:paraId="7326CD52" w14:textId="0540756C" w:rsidR="00EF3DFB" w:rsidRDefault="00D27C17">
      <w:pPr>
        <w:pStyle w:val="BodyText"/>
        <w:tabs>
          <w:tab w:val="left" w:pos="8078"/>
          <w:tab w:val="left" w:pos="9253"/>
          <w:tab w:val="right" w:pos="10728"/>
        </w:tabs>
        <w:spacing w:before="55"/>
        <w:ind w:left="242"/>
      </w:pPr>
      <w:r>
        <w:rPr>
          <w:noProof/>
        </w:rPr>
        <mc:AlternateContent>
          <mc:Choice Requires="wps">
            <w:drawing>
              <wp:anchor distT="0" distB="0" distL="114300" distR="114300" simplePos="0" relativeHeight="502907384" behindDoc="1" locked="0" layoutInCell="1" allowOverlap="1" wp14:anchorId="7326D763" wp14:editId="0E7A4F4A">
                <wp:simplePos x="0" y="0"/>
                <wp:positionH relativeFrom="page">
                  <wp:posOffset>514350</wp:posOffset>
                </wp:positionH>
                <wp:positionV relativeFrom="paragraph">
                  <wp:posOffset>32385</wp:posOffset>
                </wp:positionV>
                <wp:extent cx="6743700" cy="180975"/>
                <wp:effectExtent l="0" t="0" r="0" b="2540"/>
                <wp:wrapNone/>
                <wp:docPr id="25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09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D59F" id="Rectangle 239" o:spid="_x0000_s1026" style="position:absolute;margin-left:40.5pt;margin-top:2.55pt;width:531pt;height:14.25pt;z-index:-409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" fillcolor="#ccedff" stroked="f">
                <w10:wrap anchorx="page"/>
              </v:rect>
            </w:pict>
          </mc:Fallback>
        </mc:AlternateContent>
      </w:r>
      <w:r>
        <w:t>Increases in tax positions fo</w:t>
      </w:r>
      <w:r>
        <w:t>r</w:t>
      </w:r>
      <w:r>
        <w:rPr>
          <w:spacing w:val="-11"/>
        </w:rPr>
        <w:t xml:space="preserve"> </w:t>
      </w:r>
      <w:r>
        <w:t>prior</w:t>
      </w:r>
      <w:r>
        <w:rPr>
          <w:spacing w:val="-2"/>
        </w:rPr>
        <w:t xml:space="preserve"> </w:t>
      </w:r>
      <w:r>
        <w:t>years</w:t>
      </w:r>
      <w:r>
        <w:tab/>
      </w:r>
      <w:r>
        <w:rPr>
          <w:position w:val="-1"/>
        </w:rPr>
        <w:t>4</w:t>
      </w:r>
      <w:r>
        <w:rPr>
          <w:position w:val="-1"/>
        </w:rPr>
        <w:tab/>
        <w:t>35</w:t>
      </w:r>
      <w:r>
        <w:rPr>
          <w:position w:val="-1"/>
        </w:rPr>
        <w:tab/>
        <w:t>36</w:t>
      </w:r>
    </w:p>
    <w:p w14:paraId="7326CD53" w14:textId="77777777" w:rsidR="00EF3DFB" w:rsidRDefault="00D27C17">
      <w:pPr>
        <w:pStyle w:val="BodyText"/>
        <w:tabs>
          <w:tab w:val="left" w:pos="7978"/>
          <w:tab w:val="left" w:pos="9186"/>
          <w:tab w:val="left" w:pos="10461"/>
        </w:tabs>
        <w:spacing w:before="35"/>
        <w:ind w:left="242"/>
      </w:pPr>
      <w:r>
        <w:t>Decreases in tax positions for</w:t>
      </w:r>
      <w:r>
        <w:rPr>
          <w:spacing w:val="-12"/>
        </w:rPr>
        <w:t xml:space="preserve"> </w:t>
      </w:r>
      <w:r>
        <w:t>prior</w:t>
      </w:r>
      <w:r>
        <w:rPr>
          <w:spacing w:val="-2"/>
        </w:rPr>
        <w:t xml:space="preserve"> </w:t>
      </w:r>
      <w:r>
        <w:t>years</w:t>
      </w:r>
      <w:r>
        <w:tab/>
      </w:r>
      <w:r>
        <w:rPr>
          <w:position w:val="-1"/>
        </w:rPr>
        <w:t>—</w:t>
      </w:r>
      <w:r>
        <w:rPr>
          <w:position w:val="-1"/>
        </w:rPr>
        <w:tab/>
        <w:t>(31)</w:t>
      </w:r>
      <w:r>
        <w:rPr>
          <w:position w:val="-1"/>
        </w:rPr>
        <w:tab/>
        <w:t>(21)</w:t>
      </w:r>
    </w:p>
    <w:p w14:paraId="7326CD54" w14:textId="02FC6F4B" w:rsidR="00EF3DFB" w:rsidRDefault="00D27C17">
      <w:pPr>
        <w:pStyle w:val="BodyText"/>
        <w:tabs>
          <w:tab w:val="left" w:pos="7978"/>
          <w:tab w:val="left" w:pos="9253"/>
          <w:tab w:val="right" w:pos="10728"/>
        </w:tabs>
        <w:spacing w:before="35"/>
        <w:ind w:left="242"/>
      </w:pPr>
      <w:r>
        <w:rPr>
          <w:noProof/>
        </w:rPr>
        <mc:AlternateContent>
          <mc:Choice Requires="wps">
            <w:drawing>
              <wp:anchor distT="0" distB="0" distL="114300" distR="114300" simplePos="0" relativeHeight="502907408" behindDoc="1" locked="0" layoutInCell="1" allowOverlap="1" wp14:anchorId="7326D764" wp14:editId="4101F40D">
                <wp:simplePos x="0" y="0"/>
                <wp:positionH relativeFrom="page">
                  <wp:posOffset>514350</wp:posOffset>
                </wp:positionH>
                <wp:positionV relativeFrom="paragraph">
                  <wp:posOffset>19685</wp:posOffset>
                </wp:positionV>
                <wp:extent cx="6743700" cy="180975"/>
                <wp:effectExtent l="0" t="3810" r="0" b="0"/>
                <wp:wrapNone/>
                <wp:docPr id="25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09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29E90" id="Rectangle 238" o:spid="_x0000_s1026" style="position:absolute;margin-left:40.5pt;margin-top:1.55pt;width:531pt;height:14.25pt;z-index:-40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" fillcolor="#ccedff" stroked="f">
                <w10:wrap anchorx="page"/>
              </v:rect>
            </w:pict>
          </mc:Fallback>
        </mc:AlternateContent>
      </w:r>
      <w:r>
        <w:t>Increase in tax positions for the</w:t>
      </w:r>
      <w:r>
        <w:rPr>
          <w:spacing w:val="-14"/>
        </w:rPr>
        <w:t xml:space="preserve"> </w:t>
      </w:r>
      <w:r>
        <w:t>current</w:t>
      </w:r>
      <w:r>
        <w:rPr>
          <w:spacing w:val="-3"/>
        </w:rPr>
        <w:t xml:space="preserve"> </w:t>
      </w:r>
      <w:r>
        <w:t>period</w:t>
      </w:r>
      <w:r>
        <w:tab/>
      </w:r>
      <w:r>
        <w:rPr>
          <w:position w:val="-1"/>
        </w:rPr>
        <w:t>40</w:t>
      </w:r>
      <w:r>
        <w:rPr>
          <w:position w:val="-1"/>
        </w:rPr>
        <w:tab/>
        <w:t>84</w:t>
      </w:r>
      <w:r>
        <w:rPr>
          <w:position w:val="-1"/>
        </w:rPr>
        <w:tab/>
        <w:t>115</w:t>
      </w:r>
    </w:p>
    <w:p w14:paraId="7326CD55" w14:textId="77777777" w:rsidR="00EF3DFB" w:rsidRDefault="00D27C17">
      <w:pPr>
        <w:pStyle w:val="BodyText"/>
        <w:tabs>
          <w:tab w:val="left" w:pos="7978"/>
          <w:tab w:val="left" w:pos="9286"/>
          <w:tab w:val="left" w:pos="10528"/>
        </w:tabs>
        <w:spacing w:before="35"/>
        <w:ind w:left="242"/>
      </w:pPr>
      <w:r>
        <w:t>Purchase accounting adjustments (See Footnote 1</w:t>
      </w:r>
      <w:r>
        <w:rPr>
          <w:spacing w:val="-21"/>
        </w:rPr>
        <w:t xml:space="preserve"> </w:t>
      </w:r>
      <w:r>
        <w:t>and</w:t>
      </w:r>
      <w:r>
        <w:rPr>
          <w:spacing w:val="-3"/>
        </w:rPr>
        <w:t xml:space="preserve"> </w:t>
      </w:r>
      <w:r>
        <w:t>Footnote7)</w:t>
      </w:r>
      <w:r>
        <w:tab/>
      </w:r>
      <w:r>
        <w:rPr>
          <w:position w:val="-1"/>
        </w:rPr>
        <w:t>—</w:t>
      </w:r>
      <w:r>
        <w:rPr>
          <w:position w:val="-1"/>
        </w:rPr>
        <w:tab/>
        <w:t>(9)</w:t>
      </w:r>
      <w:r>
        <w:rPr>
          <w:position w:val="-1"/>
        </w:rPr>
        <w:tab/>
        <w:t>—</w:t>
      </w:r>
    </w:p>
    <w:p w14:paraId="7326CD56" w14:textId="77759795" w:rsidR="00EF3DFB" w:rsidRDefault="00D27C17">
      <w:pPr>
        <w:pStyle w:val="BodyText"/>
        <w:tabs>
          <w:tab w:val="left" w:pos="7978"/>
          <w:tab w:val="left" w:pos="9286"/>
          <w:tab w:val="left" w:pos="10561"/>
        </w:tabs>
        <w:spacing w:before="35"/>
        <w:ind w:left="242"/>
      </w:pPr>
      <w:r>
        <w:rPr>
          <w:noProof/>
        </w:rPr>
        <mc:AlternateContent>
          <mc:Choice Requires="wps">
            <w:drawing>
              <wp:anchor distT="0" distB="0" distL="114300" distR="114300" simplePos="0" relativeHeight="502907432" behindDoc="1" locked="0" layoutInCell="1" allowOverlap="1" wp14:anchorId="7326D765" wp14:editId="1BBE880A">
                <wp:simplePos x="0" y="0"/>
                <wp:positionH relativeFrom="page">
                  <wp:posOffset>514350</wp:posOffset>
                </wp:positionH>
                <wp:positionV relativeFrom="paragraph">
                  <wp:posOffset>19685</wp:posOffset>
                </wp:positionV>
                <wp:extent cx="6743700" cy="180975"/>
                <wp:effectExtent l="0" t="635" r="0" b="0"/>
                <wp:wrapNone/>
                <wp:docPr id="25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09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F4D2" id="Rectangle 237" o:spid="_x0000_s1026" style="position:absolute;margin-left:40.5pt;margin-top:1.55pt;width:531pt;height:14.25pt;z-index:-409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" fillcolor="#ccedff" stroked="f">
                <w10:wrap anchorx="page"/>
              </v:rect>
            </w:pict>
          </mc:Fallback>
        </mc:AlternateContent>
      </w:r>
      <w:r>
        <w:t>Settlements with</w:t>
      </w:r>
      <w:r>
        <w:rPr>
          <w:spacing w:val="-9"/>
        </w:rPr>
        <w:t xml:space="preserve"> </w:t>
      </w:r>
      <w:r>
        <w:t>taxing</w:t>
      </w:r>
      <w:r>
        <w:rPr>
          <w:spacing w:val="-4"/>
        </w:rPr>
        <w:t xml:space="preserve"> </w:t>
      </w:r>
      <w:r>
        <w:t>authorities</w:t>
      </w:r>
      <w:r>
        <w:tab/>
      </w:r>
      <w:r>
        <w:rPr>
          <w:position w:val="-1"/>
        </w:rPr>
        <w:t>—</w:t>
      </w:r>
      <w:r>
        <w:rPr>
          <w:position w:val="-1"/>
        </w:rPr>
        <w:tab/>
        <w:t>(2)</w:t>
      </w:r>
      <w:r>
        <w:rPr>
          <w:position w:val="-1"/>
        </w:rPr>
        <w:tab/>
      </w:r>
      <w:r>
        <w:rPr>
          <w:position w:val="-1"/>
        </w:rPr>
        <w:t>(6)</w:t>
      </w:r>
    </w:p>
    <w:p w14:paraId="7326CD57" w14:textId="77777777" w:rsidR="00EF3DFB" w:rsidRDefault="00D27C17">
      <w:pPr>
        <w:pStyle w:val="BodyText"/>
        <w:tabs>
          <w:tab w:val="left" w:pos="7911"/>
          <w:tab w:val="left" w:pos="9186"/>
          <w:tab w:val="left" w:pos="10461"/>
        </w:tabs>
        <w:spacing w:before="35"/>
        <w:ind w:left="242"/>
      </w:pPr>
      <w:r>
        <w:t>Lapse of statute</w:t>
      </w:r>
      <w:r>
        <w:rPr>
          <w:spacing w:val="-10"/>
        </w:rPr>
        <w:t xml:space="preserve"> </w:t>
      </w:r>
      <w:r>
        <w:t>of</w:t>
      </w:r>
      <w:r>
        <w:rPr>
          <w:spacing w:val="-3"/>
        </w:rPr>
        <w:t xml:space="preserve"> </w:t>
      </w:r>
      <w:r>
        <w:t>limitations</w:t>
      </w:r>
      <w:r>
        <w:tab/>
      </w:r>
      <w:r>
        <w:rPr>
          <w:position w:val="-1"/>
        </w:rPr>
        <w:t>(66)</w:t>
      </w:r>
      <w:r>
        <w:rPr>
          <w:position w:val="-1"/>
        </w:rPr>
        <w:tab/>
        <w:t>(66)</w:t>
      </w:r>
      <w:r>
        <w:rPr>
          <w:position w:val="-1"/>
        </w:rPr>
        <w:tab/>
        <w:t>(46)</w:t>
      </w:r>
    </w:p>
    <w:p w14:paraId="7326CD58" w14:textId="746D3279" w:rsidR="00EF3DFB" w:rsidRDefault="00D27C17">
      <w:pPr>
        <w:pStyle w:val="BodyText"/>
        <w:tabs>
          <w:tab w:val="left" w:pos="7112"/>
          <w:tab w:val="left" w:pos="7878"/>
          <w:tab w:val="left" w:pos="8387"/>
          <w:tab w:val="left" w:pos="9153"/>
          <w:tab w:val="left" w:pos="9662"/>
          <w:tab w:val="left" w:pos="10428"/>
        </w:tabs>
        <w:spacing w:before="35"/>
        <w:ind w:left="242"/>
      </w:pPr>
      <w:r>
        <w:rPr>
          <w:noProof/>
        </w:rPr>
        <mc:AlternateContent>
          <mc:Choice Requires="wpg">
            <w:drawing>
              <wp:anchor distT="0" distB="0" distL="114300" distR="114300" simplePos="0" relativeHeight="502907456" behindDoc="1" locked="0" layoutInCell="1" allowOverlap="1" wp14:anchorId="7326D766" wp14:editId="0AF5027D">
                <wp:simplePos x="0" y="0"/>
                <wp:positionH relativeFrom="page">
                  <wp:posOffset>514350</wp:posOffset>
                </wp:positionH>
                <wp:positionV relativeFrom="paragraph">
                  <wp:posOffset>13335</wp:posOffset>
                </wp:positionV>
                <wp:extent cx="6743700" cy="206375"/>
                <wp:effectExtent l="0" t="10160" r="9525" b="2540"/>
                <wp:wrapNone/>
                <wp:docPr id="24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06375"/>
                          <a:chOff x="810" y="21"/>
                          <a:chExt cx="10620" cy="325"/>
                        </a:xfrm>
                      </wpg:grpSpPr>
                      <wps:wsp>
                        <wps:cNvPr id="247" name="Rectangle 236"/>
                        <wps:cNvSpPr>
                          <a:spLocks noChangeArrowheads="1"/>
                        </wps:cNvSpPr>
                        <wps:spPr bwMode="auto">
                          <a:xfrm>
                            <a:off x="810" y="30"/>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35"/>
                        <wps:cNvCnPr>
                          <a:cxnSpLocks noChangeShapeType="1"/>
                        </wps:cNvCnPr>
                        <wps:spPr bwMode="auto">
                          <a:xfrm>
                            <a:off x="7680" y="31"/>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34"/>
                        <wps:cNvCnPr>
                          <a:cxnSpLocks noChangeShapeType="1"/>
                        </wps:cNvCnPr>
                        <wps:spPr bwMode="auto">
                          <a:xfrm>
                            <a:off x="7680" y="31"/>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3"/>
                        <wps:cNvCnPr>
                          <a:cxnSpLocks noChangeShapeType="1"/>
                        </wps:cNvCnPr>
                        <wps:spPr bwMode="auto">
                          <a:xfrm>
                            <a:off x="8955" y="31"/>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32"/>
                        <wps:cNvCnPr>
                          <a:cxnSpLocks noChangeShapeType="1"/>
                        </wps:cNvCnPr>
                        <wps:spPr bwMode="auto">
                          <a:xfrm>
                            <a:off x="8955" y="31"/>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31"/>
                        <wps:cNvCnPr>
                          <a:cxnSpLocks noChangeShapeType="1"/>
                        </wps:cNvCnPr>
                        <wps:spPr bwMode="auto">
                          <a:xfrm>
                            <a:off x="10230" y="31"/>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AutoShape 230"/>
                        <wps:cNvSpPr>
                          <a:spLocks/>
                        </wps:cNvSpPr>
                        <wps:spPr bwMode="auto">
                          <a:xfrm>
                            <a:off x="7680" y="30"/>
                            <a:ext cx="3750" cy="305"/>
                          </a:xfrm>
                          <a:custGeom>
                            <a:avLst/>
                            <a:gdLst>
                              <a:gd name="T0" fmla="+- 0 10230 7680"/>
                              <a:gd name="T1" fmla="*/ T0 w 3750"/>
                              <a:gd name="T2" fmla="+- 0 31 31"/>
                              <a:gd name="T3" fmla="*/ 31 h 305"/>
                              <a:gd name="T4" fmla="+- 0 11430 7680"/>
                              <a:gd name="T5" fmla="*/ T4 w 3750"/>
                              <a:gd name="T6" fmla="+- 0 31 31"/>
                              <a:gd name="T7" fmla="*/ 31 h 305"/>
                              <a:gd name="T8" fmla="+- 0 7680 7680"/>
                              <a:gd name="T9" fmla="*/ T8 w 3750"/>
                              <a:gd name="T10" fmla="+- 0 336 31"/>
                              <a:gd name="T11" fmla="*/ 336 h 305"/>
                              <a:gd name="T12" fmla="+- 0 8880 7680"/>
                              <a:gd name="T13" fmla="*/ T12 w 3750"/>
                              <a:gd name="T14" fmla="+- 0 336 31"/>
                              <a:gd name="T15" fmla="*/ 336 h 305"/>
                              <a:gd name="T16" fmla="+- 0 8955 7680"/>
                              <a:gd name="T17" fmla="*/ T16 w 3750"/>
                              <a:gd name="T18" fmla="+- 0 336 31"/>
                              <a:gd name="T19" fmla="*/ 336 h 305"/>
                              <a:gd name="T20" fmla="+- 0 10155 7680"/>
                              <a:gd name="T21" fmla="*/ T20 w 3750"/>
                              <a:gd name="T22" fmla="+- 0 336 31"/>
                              <a:gd name="T23" fmla="*/ 336 h 305"/>
                              <a:gd name="T24" fmla="+- 0 10230 7680"/>
                              <a:gd name="T25" fmla="*/ T24 w 3750"/>
                              <a:gd name="T26" fmla="+- 0 336 31"/>
                              <a:gd name="T27" fmla="*/ 336 h 305"/>
                              <a:gd name="T28" fmla="+- 0 11430 7680"/>
                              <a:gd name="T29" fmla="*/ T28 w 3750"/>
                              <a:gd name="T30" fmla="+- 0 336 31"/>
                              <a:gd name="T31" fmla="*/ 336 h 3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50" h="305">
                                <a:moveTo>
                                  <a:pt x="2550" y="0"/>
                                </a:moveTo>
                                <a:lnTo>
                                  <a:pt x="3750" y="0"/>
                                </a:lnTo>
                                <a:moveTo>
                                  <a:pt x="0" y="305"/>
                                </a:moveTo>
                                <a:lnTo>
                                  <a:pt x="1200" y="305"/>
                                </a:lnTo>
                                <a:moveTo>
                                  <a:pt x="1275" y="305"/>
                                </a:moveTo>
                                <a:lnTo>
                                  <a:pt x="2475" y="305"/>
                                </a:lnTo>
                                <a:moveTo>
                                  <a:pt x="2550" y="305"/>
                                </a:moveTo>
                                <a:lnTo>
                                  <a:pt x="3750" y="30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09565" id="Group 229" o:spid="_x0000_s1026" style="position:absolute;margin-left:40.5pt;margin-top:1.05pt;width:531pt;height:16.25pt;z-index:-409024;mso-position-horizontal-relative:page" coordorigin="810,21" coordsize="1062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">
                <v:rect id="Rectangle 236" o:spid="_x0000_s1027" style="position:absolute;left:810;top:30;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" fillcolor="#ccedff" stroked="f"/>
                <v:line id="Line 235" o:spid="_x0000_s1028" style="position:absolute;visibility:visible;mso-wrap-style:square" from="7680,31" to="88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line id="Line 234" o:spid="_x0000_s1029" style="position:absolute;visibility:visible;mso-wrap-style:square" from="7680,31" to="88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dGxQAAANwAAAAPAAAAZHJzL2Rvd25yZXYueG1sRI/dagIx&#10;FITvC75DOELvalYp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A8tddGxQAAANwAAAAP&#10;AAAAAAAAAAAAAAAAAAcCAABkcnMvZG93bnJldi54bWxQSwUGAAAAAAMAAwC3AAAA+QIAAAAA&#10;" strokeweight="1pt"/>
                <v:line id="Line 233" o:spid="_x0000_s1030" style="position:absolute;visibility:visible;mso-wrap-style:square" from="8955,31" to="10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line id="Line 232" o:spid="_x0000_s1031" style="position:absolute;visibility:visible;mso-wrap-style:square" from="8955,31" to="10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231" o:spid="_x0000_s1032" style="position:absolute;visibility:visible;mso-wrap-style:square" from="10230,31" to="1143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shape id="AutoShape 230" o:spid="_x0000_s1033" style="position:absolute;left:7680;top:30;width:3750;height:305;visibility:visible;mso-wrap-style:square;v-text-anchor:top" coordsize="37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" path="m2550,l3750,m,305r1200,m1275,305r1200,m2550,305r1200,e" filled="f" strokeweight="1pt">
                  <v:path arrowok="t" o:connecttype="custom" o:connectlocs="2550,31;3750,31;0,336;1200,336;1275,336;2475,336;2550,336;3750,336" o:connectangles="0,0,0,0,0,0,0,0"/>
                </v:shape>
                <w10:wrap anchorx="page"/>
              </v:group>
            </w:pict>
          </mc:Fallback>
        </mc:AlternateContent>
      </w:r>
      <w:r>
        <w:t>Unrecognized tax benefits,</w:t>
      </w:r>
      <w:r>
        <w:rPr>
          <w:spacing w:val="-9"/>
        </w:rPr>
        <w:t xml:space="preserve"> </w:t>
      </w:r>
      <w:r>
        <w:t>December</w:t>
      </w:r>
      <w:r>
        <w:rPr>
          <w:spacing w:val="-3"/>
        </w:rPr>
        <w:t xml:space="preserve"> </w:t>
      </w:r>
      <w:r>
        <w:t>31,</w:t>
      </w:r>
      <w:r>
        <w:tab/>
      </w:r>
      <w:r>
        <w:rPr>
          <w:position w:val="-1"/>
          <w:u w:val="single"/>
        </w:rPr>
        <w:t>$</w:t>
      </w:r>
      <w:r>
        <w:rPr>
          <w:position w:val="-1"/>
          <w:u w:val="single"/>
        </w:rPr>
        <w:tab/>
        <w:t>452</w:t>
      </w:r>
      <w:r>
        <w:rPr>
          <w:position w:val="-1"/>
        </w:rPr>
        <w:tab/>
      </w:r>
      <w:r>
        <w:rPr>
          <w:position w:val="-1"/>
          <w:u w:val="single"/>
        </w:rPr>
        <w:t>$</w:t>
      </w:r>
      <w:r>
        <w:rPr>
          <w:position w:val="-1"/>
          <w:u w:val="single"/>
        </w:rPr>
        <w:tab/>
        <w:t>474</w:t>
      </w:r>
      <w:r>
        <w:rPr>
          <w:position w:val="-1"/>
        </w:rPr>
        <w:tab/>
      </w:r>
      <w:r>
        <w:rPr>
          <w:position w:val="-1"/>
          <w:u w:val="single"/>
        </w:rPr>
        <w:t>$</w:t>
      </w:r>
      <w:r>
        <w:rPr>
          <w:position w:val="-1"/>
          <w:u w:val="single"/>
        </w:rPr>
        <w:tab/>
        <w:t>463</w:t>
      </w:r>
    </w:p>
    <w:p w14:paraId="7326CD59" w14:textId="77777777" w:rsidR="00EF3DFB" w:rsidRDefault="00EF3DFB">
      <w:pPr>
        <w:pStyle w:val="BodyText"/>
        <w:spacing w:before="1"/>
      </w:pPr>
    </w:p>
    <w:p w14:paraId="7326CD5A" w14:textId="77777777" w:rsidR="00EF3DFB" w:rsidRDefault="00D27C17">
      <w:pPr>
        <w:pStyle w:val="BodyText"/>
        <w:spacing w:before="92" w:line="249" w:lineRule="auto"/>
        <w:ind w:left="190" w:right="169"/>
        <w:jc w:val="both"/>
      </w:pPr>
      <w:r>
        <w:t>If recognized, $387 million, $437 million and $444 million of unrecognized tax benefits at December 31, 2020, 2019, and 2018 respectively, would affect the effective tax rate. The Company recognizes interest and penalties, if any, related to unrecognized t</w:t>
      </w:r>
      <w:r>
        <w:t>ax benefits as a component of income tax expense. During 2020, 2019, and 2018 the Company recognized income tax expense on interest and penalties of $5 million, $11 million and $8 million, respectively, due to the accrual of current year interest on existi</w:t>
      </w:r>
      <w:r>
        <w:t>ng positions offset by the resolution of certain tax contingencies.</w:t>
      </w:r>
    </w:p>
    <w:p w14:paraId="7326CD5B" w14:textId="77777777" w:rsidR="00EF3DFB" w:rsidRDefault="00EF3DFB">
      <w:pPr>
        <w:pStyle w:val="BodyText"/>
        <w:spacing w:before="2"/>
        <w:rPr>
          <w:sz w:val="21"/>
        </w:rPr>
      </w:pPr>
    </w:p>
    <w:p w14:paraId="7326CD5C" w14:textId="77777777" w:rsidR="00EF3DFB" w:rsidRDefault="00D27C17">
      <w:pPr>
        <w:pStyle w:val="BodyText"/>
        <w:spacing w:line="249" w:lineRule="auto"/>
        <w:ind w:left="190" w:right="168"/>
        <w:jc w:val="both"/>
      </w:pPr>
      <w:r>
        <w:t>The Company anticipates approximately $4 million of unrecognized tax benefits will reverse within the next 12 months. It is reasonably possible due to activities of various worldwide taxi</w:t>
      </w:r>
      <w:r>
        <w:t>ng authorities, including proposed assessments of additional tax and possible settlement of audit issues that additional changes to the Company’s unrecognized tax benefits could occur. In the normal course of business, the Company is subject to audits by w</w:t>
      </w:r>
      <w:r>
        <w:t>orldwide taxing authorities regarding various tax liabilities. The Company’s U.S. federal income tax returns for 2011, 2012, 2013, 2014, 2015, 2017 and 2018, as well as certain state and non-U.S. income tax returns for various years, are under examination.</w:t>
      </w:r>
    </w:p>
    <w:p w14:paraId="7326CD5D" w14:textId="77777777" w:rsidR="00EF3DFB" w:rsidRDefault="00EF3DFB">
      <w:pPr>
        <w:pStyle w:val="BodyText"/>
        <w:spacing w:before="4"/>
        <w:rPr>
          <w:sz w:val="21"/>
        </w:rPr>
      </w:pPr>
    </w:p>
    <w:p w14:paraId="7326CD5E" w14:textId="77777777" w:rsidR="00EF3DFB" w:rsidRDefault="00D27C17">
      <w:pPr>
        <w:pStyle w:val="BodyText"/>
        <w:spacing w:line="249" w:lineRule="auto"/>
        <w:ind w:left="190" w:right="168"/>
        <w:jc w:val="both"/>
      </w:pPr>
      <w:r>
        <w:t>The Company files numerous consolidated and separate income tax returns in the U.S. federal jurisdiction and various state and foreign jurisdictions. The statute of limitations for the Company’s U.S. federal income tax returns has expired for years prior</w:t>
      </w:r>
      <w:r>
        <w:t xml:space="preserve"> to 2011 and for 2016. The Company’s Canadian tax returns are subject to examination for years after 2011. With few exceptions, the Company is no longer subject to other income tax examinations for years before</w:t>
      </w:r>
      <w:r>
        <w:rPr>
          <w:spacing w:val="-11"/>
        </w:rPr>
        <w:t xml:space="preserve"> </w:t>
      </w:r>
      <w:r>
        <w:t>2015.</w:t>
      </w:r>
    </w:p>
    <w:p w14:paraId="7326CD5F" w14:textId="77777777" w:rsidR="00EF3DFB" w:rsidRDefault="00EF3DFB">
      <w:pPr>
        <w:pStyle w:val="BodyText"/>
        <w:spacing w:before="1"/>
        <w:rPr>
          <w:sz w:val="21"/>
        </w:rPr>
      </w:pPr>
    </w:p>
    <w:p w14:paraId="7326CD60" w14:textId="77777777" w:rsidR="00EF3DFB" w:rsidRDefault="00D27C17">
      <w:pPr>
        <w:pStyle w:val="BodyText"/>
        <w:spacing w:before="1" w:line="249" w:lineRule="auto"/>
        <w:ind w:left="190" w:right="167"/>
        <w:jc w:val="both"/>
      </w:pPr>
      <w:r>
        <w:t>On June 18, 2019, the U.S. Treasury an</w:t>
      </w:r>
      <w:r>
        <w:t>d the Internal Revenue Service (“IRS”) released temporary regulations under IRC Section 245A (“Section 245A”) as enacted by the 2017 U.S. Tax Reform Legislation (“2017 Tax Reform”) and IRC Section 954(c)(6) (the “Temporary Regulations”) to apply retroactiv</w:t>
      </w:r>
      <w:r>
        <w:t>ely to the date the 2017 Tax Reform was enacted. On August 21, 2020, the U.S. Treasury and IRS released finalized versions of the Temporary Regulations (collectively with the Temporary Regulations, the “Regulations”). The Regulations seek to limit the 100%</w:t>
      </w:r>
      <w:r>
        <w:t xml:space="preserve"> dividends received deduction permitted by Section 245A for certain dividends received from controlled foreign corporations and to limit the applicability of the look-through exception to foreign</w:t>
      </w:r>
    </w:p>
    <w:p w14:paraId="7326CD61" w14:textId="77777777" w:rsidR="00EF3DFB" w:rsidRDefault="00EF3DFB">
      <w:pPr>
        <w:spacing w:line="249" w:lineRule="auto"/>
        <w:jc w:val="both"/>
        <w:sectPr w:rsidR="00EF3DFB">
          <w:pgSz w:w="12240" w:h="15840"/>
          <w:pgMar w:top="600" w:right="640" w:bottom="480" w:left="620" w:header="0" w:footer="291" w:gutter="0"/>
          <w:cols w:space="720"/>
        </w:sectPr>
      </w:pPr>
    </w:p>
    <w:p w14:paraId="7326CD62" w14:textId="77777777" w:rsidR="00EF3DFB" w:rsidRDefault="00D27C17">
      <w:pPr>
        <w:pStyle w:val="BodyText"/>
        <w:spacing w:before="72" w:line="249" w:lineRule="auto"/>
        <w:ind w:left="190" w:right="169"/>
        <w:jc w:val="both"/>
      </w:pPr>
      <w:r>
        <w:lastRenderedPageBreak/>
        <w:t>personal holding company income for certain di</w:t>
      </w:r>
      <w:r>
        <w:t xml:space="preserve">vidends received from controlled foreign corporations. Before the retroactive application of the Regulations, the Company benefited in 2018 from both the 100% dividends received deduction and the look- through exception to foreign personal holding company </w:t>
      </w:r>
      <w:r>
        <w:t>income. The Company analyzed the Regulations and concluded the relevant Regulations</w:t>
      </w:r>
      <w:r>
        <w:rPr>
          <w:spacing w:val="-3"/>
        </w:rPr>
        <w:t xml:space="preserve"> </w:t>
      </w:r>
      <w:r>
        <w:t>were</w:t>
      </w:r>
      <w:r>
        <w:rPr>
          <w:spacing w:val="-3"/>
        </w:rPr>
        <w:t xml:space="preserve"> </w:t>
      </w:r>
      <w:r>
        <w:t>not</w:t>
      </w:r>
      <w:r>
        <w:rPr>
          <w:spacing w:val="-3"/>
        </w:rPr>
        <w:t xml:space="preserve"> </w:t>
      </w:r>
      <w:r>
        <w:t>validly</w:t>
      </w:r>
      <w:r>
        <w:rPr>
          <w:spacing w:val="-3"/>
        </w:rPr>
        <w:t xml:space="preserve"> </w:t>
      </w:r>
      <w:r>
        <w:t>issued.</w:t>
      </w:r>
      <w:r>
        <w:rPr>
          <w:spacing w:val="-3"/>
        </w:rPr>
        <w:t xml:space="preserve"> </w:t>
      </w:r>
      <w:r>
        <w:t>Therefore,</w:t>
      </w:r>
      <w:r>
        <w:rPr>
          <w:spacing w:val="-3"/>
        </w:rPr>
        <w:t xml:space="preserve"> </w:t>
      </w:r>
      <w:r>
        <w:t>the</w:t>
      </w:r>
      <w:r>
        <w:rPr>
          <w:spacing w:val="-3"/>
        </w:rPr>
        <w:t xml:space="preserve"> </w:t>
      </w:r>
      <w:r>
        <w:t>Company</w:t>
      </w:r>
      <w:r>
        <w:rPr>
          <w:spacing w:val="-3"/>
        </w:rPr>
        <w:t xml:space="preserve"> </w:t>
      </w:r>
      <w:r>
        <w:t>has</w:t>
      </w:r>
      <w:r>
        <w:rPr>
          <w:spacing w:val="-3"/>
        </w:rPr>
        <w:t xml:space="preserve"> </w:t>
      </w:r>
      <w:r>
        <w:t>not</w:t>
      </w:r>
      <w:r>
        <w:rPr>
          <w:spacing w:val="-3"/>
        </w:rPr>
        <w:t xml:space="preserve"> </w:t>
      </w:r>
      <w:r>
        <w:t>accounted</w:t>
      </w:r>
      <w:r>
        <w:rPr>
          <w:spacing w:val="-3"/>
        </w:rPr>
        <w:t xml:space="preserve"> </w:t>
      </w:r>
      <w:r>
        <w:t>for</w:t>
      </w:r>
      <w:r>
        <w:rPr>
          <w:spacing w:val="-3"/>
        </w:rPr>
        <w:t xml:space="preserve"> </w:t>
      </w:r>
      <w:r>
        <w:t>the</w:t>
      </w:r>
      <w:r>
        <w:rPr>
          <w:spacing w:val="-3"/>
        </w:rPr>
        <w:t xml:space="preserve"> </w:t>
      </w:r>
      <w:r>
        <w:t>effects</w:t>
      </w:r>
      <w:r>
        <w:rPr>
          <w:spacing w:val="-3"/>
        </w:rPr>
        <w:t xml:space="preserve"> </w:t>
      </w:r>
      <w:r>
        <w:t>of</w:t>
      </w:r>
      <w:r>
        <w:rPr>
          <w:spacing w:val="-3"/>
        </w:rPr>
        <w:t xml:space="preserve"> </w:t>
      </w:r>
      <w:r>
        <w:t>the</w:t>
      </w:r>
      <w:r>
        <w:rPr>
          <w:spacing w:val="-3"/>
        </w:rPr>
        <w:t xml:space="preserve"> </w:t>
      </w:r>
      <w:r>
        <w:t>Regulations</w:t>
      </w:r>
      <w:r>
        <w:rPr>
          <w:spacing w:val="-3"/>
        </w:rPr>
        <w:t xml:space="preserve"> </w:t>
      </w:r>
      <w:r>
        <w:t>in</w:t>
      </w:r>
      <w:r>
        <w:rPr>
          <w:spacing w:val="-3"/>
        </w:rPr>
        <w:t xml:space="preserve"> </w:t>
      </w:r>
      <w:r>
        <w:t>its</w:t>
      </w:r>
      <w:r>
        <w:rPr>
          <w:spacing w:val="-3"/>
        </w:rPr>
        <w:t xml:space="preserve"> </w:t>
      </w:r>
      <w:r>
        <w:t>Consolidated Financial Statements for the period ending December 31, 2020. The Company believes it has strong arguments in favor of its position and believes it has met the more likely than not recognition threshold that its position will be sustained. How</w:t>
      </w:r>
      <w:r>
        <w:t>ever, due to the inherent uncertainty involved in challenging the validity of regulations as well as a potential litigation process, there can be no assurances that the relevant Regulations will be invalidated or that a court of law will rule in favor of t</w:t>
      </w:r>
      <w:r>
        <w:t>he Company. If the Company’s position on the Regulations is not sustained, the Company would be required to recognize an income tax expense of approximately $180 million to $220 million related to an income tax benefit from fiscal year 2018 that was record</w:t>
      </w:r>
      <w:r>
        <w:t>ed based on regulations in existence at the time. In addition, the Company may be required to pay any applicable interest and penalties. The Company intends to vigorously defend its</w:t>
      </w:r>
      <w:r>
        <w:rPr>
          <w:spacing w:val="-3"/>
        </w:rPr>
        <w:t xml:space="preserve"> </w:t>
      </w:r>
      <w:r>
        <w:t>position.</w:t>
      </w:r>
    </w:p>
    <w:p w14:paraId="7326CD63" w14:textId="77777777" w:rsidR="00EF3DFB" w:rsidRDefault="00EF3DFB">
      <w:pPr>
        <w:pStyle w:val="BodyText"/>
        <w:rPr>
          <w:sz w:val="22"/>
        </w:rPr>
      </w:pPr>
    </w:p>
    <w:p w14:paraId="7326CD64" w14:textId="77777777" w:rsidR="00EF3DFB" w:rsidRDefault="00EF3DFB">
      <w:pPr>
        <w:pStyle w:val="BodyText"/>
        <w:spacing w:before="3"/>
      </w:pPr>
    </w:p>
    <w:p w14:paraId="7326CD65" w14:textId="77777777" w:rsidR="00EF3DFB" w:rsidRDefault="00D27C17">
      <w:pPr>
        <w:pStyle w:val="Heading2"/>
      </w:pPr>
      <w:bookmarkStart w:id="61" w:name="Footnote_13_—_Leases"/>
      <w:bookmarkEnd w:id="61"/>
      <w:r>
        <w:t>Footnote 13 — Leases</w:t>
      </w:r>
    </w:p>
    <w:p w14:paraId="7326CD66" w14:textId="77777777" w:rsidR="00EF3DFB" w:rsidRDefault="00EF3DFB">
      <w:pPr>
        <w:pStyle w:val="BodyText"/>
        <w:rPr>
          <w:b/>
          <w:sz w:val="22"/>
        </w:rPr>
      </w:pPr>
    </w:p>
    <w:p w14:paraId="7326CD67" w14:textId="77777777" w:rsidR="00EF3DFB" w:rsidRDefault="00D27C17">
      <w:pPr>
        <w:pStyle w:val="BodyText"/>
        <w:spacing w:before="1" w:line="249" w:lineRule="auto"/>
        <w:ind w:left="190" w:right="168"/>
        <w:jc w:val="both"/>
      </w:pPr>
      <w:r>
        <w:t>The Company recognizes a right of use (“ROU”) asset and a liability for all leases whose term is more than 12 months at the lease inception date. ROU assets and lease liabilities are recognized at commencement date based on the present value of lease payme</w:t>
      </w:r>
      <w:r>
        <w:t xml:space="preserve">nts over the lease term, which includes any extension the Company reasonably expects to exercise. The Company assesses whether certain service arrangements contain embedded leases where the contract conveys the right to use an asset but are not explicitly </w:t>
      </w:r>
      <w:r>
        <w:t xml:space="preserve">identified as lease arrangements; examples include information technology, third-party logistics and original equipment manufacturers. The Company uses incremental borrowing rates, updated quarterly, that reflect its own external unsecured borrowing rates </w:t>
      </w:r>
      <w:r>
        <w:t>that are risk-adjusted to approximate secured borrowing rates over similar terms.</w:t>
      </w:r>
    </w:p>
    <w:p w14:paraId="7326CD68" w14:textId="77777777" w:rsidR="00EF3DFB" w:rsidRDefault="00EF3DFB">
      <w:pPr>
        <w:pStyle w:val="BodyText"/>
        <w:spacing w:before="6"/>
        <w:rPr>
          <w:sz w:val="25"/>
        </w:rPr>
      </w:pPr>
    </w:p>
    <w:p w14:paraId="7326CD69" w14:textId="77777777" w:rsidR="00EF3DFB" w:rsidRDefault="00D27C17">
      <w:pPr>
        <w:pStyle w:val="BodyText"/>
        <w:spacing w:line="249" w:lineRule="auto"/>
        <w:ind w:left="190" w:right="169"/>
        <w:jc w:val="both"/>
      </w:pPr>
      <w:r>
        <w:t>For certain non-real estate leases, the portfolio approach is used. The Company also has lease agreements with lease and non-lease components, which are accounted for as a s</w:t>
      </w:r>
      <w:r>
        <w:t>ingle lease component.</w:t>
      </w:r>
    </w:p>
    <w:p w14:paraId="7326CD6A" w14:textId="77777777" w:rsidR="00EF3DFB" w:rsidRDefault="00EF3DFB">
      <w:pPr>
        <w:pStyle w:val="BodyText"/>
        <w:spacing w:before="2"/>
        <w:rPr>
          <w:sz w:val="25"/>
        </w:rPr>
      </w:pPr>
    </w:p>
    <w:p w14:paraId="7326CD6B" w14:textId="77777777" w:rsidR="00EF3DFB" w:rsidRDefault="00D27C17">
      <w:pPr>
        <w:pStyle w:val="BodyText"/>
        <w:spacing w:line="249" w:lineRule="auto"/>
        <w:ind w:left="190" w:right="170"/>
        <w:jc w:val="both"/>
      </w:pPr>
      <w:r>
        <w:t>Operating lease expense is recognized on a straight-line basis over the lease term. Operating lease assets and Operating lease liabilities are reported as separate lines in the Consolidated Balance Sheets. The current portion of Ope</w:t>
      </w:r>
      <w:r>
        <w:t>rating lease liabilities is reported in Other accrued liabilities in the Consolidated Balance Sheets.</w:t>
      </w:r>
    </w:p>
    <w:p w14:paraId="7326CD6C" w14:textId="77777777" w:rsidR="00EF3DFB" w:rsidRDefault="00EF3DFB">
      <w:pPr>
        <w:pStyle w:val="BodyText"/>
        <w:spacing w:before="3"/>
        <w:rPr>
          <w:sz w:val="25"/>
        </w:rPr>
      </w:pPr>
    </w:p>
    <w:p w14:paraId="7326CD6D" w14:textId="77777777" w:rsidR="00EF3DFB" w:rsidRDefault="00D27C17">
      <w:pPr>
        <w:pStyle w:val="BodyText"/>
        <w:spacing w:line="249" w:lineRule="auto"/>
        <w:ind w:left="190" w:right="169"/>
        <w:jc w:val="both"/>
      </w:pPr>
      <w:r>
        <w:t>For finance leases, lease payments are allocated between interest expense and reduction of the liability in accordance with an amortization schedule. The</w:t>
      </w:r>
      <w:r>
        <w:t xml:space="preserve"> ROU asset is amortized on a straight-line basis over the lease term. Assets acquired under finance leases are recorded in property, plant and equipment, net.</w:t>
      </w:r>
    </w:p>
    <w:p w14:paraId="7326CD6E" w14:textId="77777777" w:rsidR="00EF3DFB" w:rsidRDefault="00EF3DFB">
      <w:pPr>
        <w:pStyle w:val="BodyText"/>
        <w:spacing w:before="3"/>
        <w:rPr>
          <w:sz w:val="25"/>
        </w:rPr>
      </w:pPr>
    </w:p>
    <w:p w14:paraId="7326CD6F" w14:textId="77777777" w:rsidR="00EF3DFB" w:rsidRDefault="00D27C17">
      <w:pPr>
        <w:pStyle w:val="BodyText"/>
        <w:spacing w:line="249" w:lineRule="auto"/>
        <w:ind w:left="190" w:right="170"/>
        <w:jc w:val="both"/>
      </w:pPr>
      <w:r>
        <w:t>The depreciable life of leasehold improvements and other lease-related assets are limited by the</w:t>
      </w:r>
      <w:r>
        <w:t xml:space="preserve"> expected lease term, unless there is a transfer of title or purchase option reasonably certain of</w:t>
      </w:r>
      <w:r>
        <w:rPr>
          <w:spacing w:val="-6"/>
        </w:rPr>
        <w:t xml:space="preserve"> </w:t>
      </w:r>
      <w:r>
        <w:t>exercise.</w:t>
      </w:r>
    </w:p>
    <w:p w14:paraId="7326CD70" w14:textId="77777777" w:rsidR="00EF3DFB" w:rsidRDefault="00EF3DFB">
      <w:pPr>
        <w:pStyle w:val="BodyText"/>
        <w:rPr>
          <w:sz w:val="21"/>
        </w:rPr>
      </w:pPr>
    </w:p>
    <w:p w14:paraId="7326CD71" w14:textId="77777777" w:rsidR="00EF3DFB" w:rsidRDefault="00D27C17">
      <w:pPr>
        <w:pStyle w:val="BodyText"/>
        <w:ind w:left="190"/>
        <w:jc w:val="both"/>
      </w:pPr>
      <w:r>
        <w:t>Supplemental consolidated balance sheet information for leases at December 31, is as follows (in millions):</w:t>
      </w:r>
    </w:p>
    <w:p w14:paraId="7326CD72" w14:textId="77777777" w:rsidR="00EF3DFB" w:rsidRDefault="00EF3DFB">
      <w:pPr>
        <w:pStyle w:val="BodyText"/>
        <w:spacing w:before="8"/>
        <w:rPr>
          <w:sz w:val="16"/>
        </w:rPr>
      </w:pPr>
    </w:p>
    <w:tbl>
      <w:tblPr>
        <w:tblW w:w="0" w:type="auto"/>
        <w:tblInd w:w="190" w:type="dxa"/>
        <w:tblLayout w:type="fixed"/>
        <w:tblCellMar>
          <w:left w:w="0" w:type="dxa"/>
          <w:right w:w="0" w:type="dxa"/>
        </w:tblCellMar>
        <w:tblLook w:val="01E0" w:firstRow="1" w:lastRow="1" w:firstColumn="1" w:lastColumn="1" w:noHBand="0" w:noVBand="0"/>
      </w:tblPr>
      <w:tblGrid>
        <w:gridCol w:w="2647"/>
        <w:gridCol w:w="5386"/>
        <w:gridCol w:w="1335"/>
        <w:gridCol w:w="1252"/>
      </w:tblGrid>
      <w:tr w:rsidR="00EF3DFB" w14:paraId="7326CD77" w14:textId="77777777">
        <w:trPr>
          <w:trHeight w:val="241"/>
        </w:trPr>
        <w:tc>
          <w:tcPr>
            <w:tcW w:w="2647" w:type="dxa"/>
          </w:tcPr>
          <w:p w14:paraId="7326CD73" w14:textId="77777777" w:rsidR="00EF3DFB" w:rsidRDefault="00EF3DFB">
            <w:pPr>
              <w:pStyle w:val="TableParagraph"/>
              <w:rPr>
                <w:sz w:val="16"/>
              </w:rPr>
            </w:pPr>
          </w:p>
        </w:tc>
        <w:tc>
          <w:tcPr>
            <w:tcW w:w="5386" w:type="dxa"/>
            <w:tcBorders>
              <w:bottom w:val="single" w:sz="8" w:space="0" w:color="000000"/>
            </w:tcBorders>
          </w:tcPr>
          <w:p w14:paraId="7326CD74" w14:textId="77777777" w:rsidR="00EF3DFB" w:rsidRDefault="00D27C17">
            <w:pPr>
              <w:pStyle w:val="TableParagraph"/>
              <w:spacing w:line="221" w:lineRule="exact"/>
              <w:ind w:left="2513"/>
              <w:rPr>
                <w:b/>
                <w:sz w:val="20"/>
              </w:rPr>
            </w:pPr>
            <w:r>
              <w:rPr>
                <w:b/>
                <w:sz w:val="20"/>
              </w:rPr>
              <w:t>Classification</w:t>
            </w:r>
          </w:p>
        </w:tc>
        <w:tc>
          <w:tcPr>
            <w:tcW w:w="1335" w:type="dxa"/>
            <w:tcBorders>
              <w:bottom w:val="single" w:sz="8" w:space="0" w:color="000000"/>
            </w:tcBorders>
          </w:tcPr>
          <w:p w14:paraId="7326CD75" w14:textId="77777777" w:rsidR="00EF3DFB" w:rsidRDefault="00D27C17">
            <w:pPr>
              <w:pStyle w:val="TableParagraph"/>
              <w:spacing w:line="221" w:lineRule="exact"/>
              <w:ind w:left="512"/>
              <w:rPr>
                <w:b/>
                <w:sz w:val="20"/>
              </w:rPr>
            </w:pPr>
            <w:r>
              <w:rPr>
                <w:b/>
                <w:sz w:val="20"/>
              </w:rPr>
              <w:t>2020</w:t>
            </w:r>
          </w:p>
        </w:tc>
        <w:tc>
          <w:tcPr>
            <w:tcW w:w="1252" w:type="dxa"/>
            <w:tcBorders>
              <w:bottom w:val="single" w:sz="8" w:space="0" w:color="000000"/>
            </w:tcBorders>
          </w:tcPr>
          <w:p w14:paraId="7326CD76" w14:textId="77777777" w:rsidR="00EF3DFB" w:rsidRDefault="00D27C17">
            <w:pPr>
              <w:pStyle w:val="TableParagraph"/>
              <w:spacing w:line="221" w:lineRule="exact"/>
              <w:ind w:left="452"/>
              <w:rPr>
                <w:b/>
                <w:sz w:val="20"/>
              </w:rPr>
            </w:pPr>
            <w:r>
              <w:rPr>
                <w:b/>
                <w:sz w:val="20"/>
              </w:rPr>
              <w:t>2019</w:t>
            </w:r>
          </w:p>
        </w:tc>
      </w:tr>
      <w:tr w:rsidR="00EF3DFB" w14:paraId="7326CD7C" w14:textId="77777777">
        <w:trPr>
          <w:trHeight w:val="245"/>
        </w:trPr>
        <w:tc>
          <w:tcPr>
            <w:tcW w:w="2647" w:type="dxa"/>
            <w:shd w:val="clear" w:color="auto" w:fill="CCEDFF"/>
          </w:tcPr>
          <w:p w14:paraId="7326CD78" w14:textId="77777777" w:rsidR="00EF3DFB" w:rsidRDefault="00D27C17">
            <w:pPr>
              <w:pStyle w:val="TableParagraph"/>
              <w:spacing w:line="215" w:lineRule="exact"/>
              <w:ind w:left="52"/>
              <w:rPr>
                <w:b/>
                <w:sz w:val="20"/>
              </w:rPr>
            </w:pPr>
            <w:r>
              <w:rPr>
                <w:b/>
                <w:sz w:val="20"/>
              </w:rPr>
              <w:t>Assets</w:t>
            </w:r>
          </w:p>
        </w:tc>
        <w:tc>
          <w:tcPr>
            <w:tcW w:w="5386" w:type="dxa"/>
            <w:tcBorders>
              <w:top w:val="single" w:sz="8" w:space="0" w:color="000000"/>
            </w:tcBorders>
            <w:shd w:val="clear" w:color="auto" w:fill="CCEDFF"/>
          </w:tcPr>
          <w:p w14:paraId="7326CD79" w14:textId="77777777" w:rsidR="00EF3DFB" w:rsidRDefault="00EF3DFB">
            <w:pPr>
              <w:pStyle w:val="TableParagraph"/>
              <w:rPr>
                <w:sz w:val="16"/>
              </w:rPr>
            </w:pPr>
          </w:p>
        </w:tc>
        <w:tc>
          <w:tcPr>
            <w:tcW w:w="1335" w:type="dxa"/>
            <w:tcBorders>
              <w:top w:val="single" w:sz="8" w:space="0" w:color="000000"/>
            </w:tcBorders>
            <w:shd w:val="clear" w:color="auto" w:fill="CCEDFF"/>
          </w:tcPr>
          <w:p w14:paraId="7326CD7A" w14:textId="77777777" w:rsidR="00EF3DFB" w:rsidRDefault="00EF3DFB">
            <w:pPr>
              <w:pStyle w:val="TableParagraph"/>
              <w:rPr>
                <w:sz w:val="16"/>
              </w:rPr>
            </w:pPr>
          </w:p>
        </w:tc>
        <w:tc>
          <w:tcPr>
            <w:tcW w:w="1252" w:type="dxa"/>
            <w:tcBorders>
              <w:top w:val="single" w:sz="8" w:space="0" w:color="000000"/>
            </w:tcBorders>
            <w:shd w:val="clear" w:color="auto" w:fill="CCEDFF"/>
          </w:tcPr>
          <w:p w14:paraId="7326CD7B" w14:textId="77777777" w:rsidR="00EF3DFB" w:rsidRDefault="00EF3DFB">
            <w:pPr>
              <w:pStyle w:val="TableParagraph"/>
              <w:rPr>
                <w:sz w:val="16"/>
              </w:rPr>
            </w:pPr>
          </w:p>
        </w:tc>
      </w:tr>
      <w:tr w:rsidR="00EF3DFB" w14:paraId="7326CD81" w14:textId="77777777">
        <w:trPr>
          <w:trHeight w:val="254"/>
        </w:trPr>
        <w:tc>
          <w:tcPr>
            <w:tcW w:w="2647" w:type="dxa"/>
          </w:tcPr>
          <w:p w14:paraId="7326CD7D" w14:textId="77777777" w:rsidR="00EF3DFB" w:rsidRDefault="00D27C17">
            <w:pPr>
              <w:pStyle w:val="TableParagraph"/>
              <w:spacing w:line="225" w:lineRule="exact"/>
              <w:ind w:left="187"/>
              <w:rPr>
                <w:sz w:val="20"/>
              </w:rPr>
            </w:pPr>
            <w:r>
              <w:rPr>
                <w:sz w:val="20"/>
              </w:rPr>
              <w:t>Operating leases</w:t>
            </w:r>
          </w:p>
        </w:tc>
        <w:tc>
          <w:tcPr>
            <w:tcW w:w="5386" w:type="dxa"/>
          </w:tcPr>
          <w:p w14:paraId="7326CD7E" w14:textId="77777777" w:rsidR="00EF3DFB" w:rsidRDefault="00D27C17">
            <w:pPr>
              <w:pStyle w:val="TableParagraph"/>
              <w:spacing w:line="225" w:lineRule="exact"/>
              <w:ind w:left="930"/>
              <w:rPr>
                <w:sz w:val="20"/>
              </w:rPr>
            </w:pPr>
            <w:r>
              <w:rPr>
                <w:sz w:val="20"/>
              </w:rPr>
              <w:t>Operating lease assets (1)</w:t>
            </w:r>
          </w:p>
        </w:tc>
        <w:tc>
          <w:tcPr>
            <w:tcW w:w="1335" w:type="dxa"/>
          </w:tcPr>
          <w:p w14:paraId="7326CD7F" w14:textId="77777777" w:rsidR="00EF3DFB" w:rsidRDefault="00D27C17">
            <w:pPr>
              <w:pStyle w:val="TableParagraph"/>
              <w:tabs>
                <w:tab w:val="left" w:pos="765"/>
              </w:tabs>
              <w:spacing w:line="225" w:lineRule="exact"/>
              <w:ind w:right="102"/>
              <w:jc w:val="right"/>
              <w:rPr>
                <w:sz w:val="20"/>
              </w:rPr>
            </w:pPr>
            <w:r>
              <w:rPr>
                <w:sz w:val="20"/>
              </w:rPr>
              <w:t>$</w:t>
            </w:r>
            <w:r>
              <w:rPr>
                <w:sz w:val="20"/>
              </w:rPr>
              <w:tab/>
              <w:t>530</w:t>
            </w:r>
          </w:p>
        </w:tc>
        <w:tc>
          <w:tcPr>
            <w:tcW w:w="1252" w:type="dxa"/>
          </w:tcPr>
          <w:p w14:paraId="7326CD80" w14:textId="77777777" w:rsidR="00EF3DFB" w:rsidRDefault="00D27C17">
            <w:pPr>
              <w:pStyle w:val="TableParagraph"/>
              <w:tabs>
                <w:tab w:val="left" w:pos="765"/>
              </w:tabs>
              <w:spacing w:line="225" w:lineRule="exact"/>
              <w:ind w:right="79"/>
              <w:jc w:val="right"/>
              <w:rPr>
                <w:sz w:val="20"/>
              </w:rPr>
            </w:pPr>
            <w:r>
              <w:rPr>
                <w:sz w:val="20"/>
              </w:rPr>
              <w:t>$</w:t>
            </w:r>
            <w:r>
              <w:rPr>
                <w:sz w:val="20"/>
              </w:rPr>
              <w:tab/>
              <w:t>615</w:t>
            </w:r>
          </w:p>
        </w:tc>
      </w:tr>
      <w:tr w:rsidR="00EF3DFB" w14:paraId="7326CD86" w14:textId="77777777">
        <w:trPr>
          <w:trHeight w:val="245"/>
        </w:trPr>
        <w:tc>
          <w:tcPr>
            <w:tcW w:w="2647" w:type="dxa"/>
            <w:shd w:val="clear" w:color="auto" w:fill="CCEDFF"/>
          </w:tcPr>
          <w:p w14:paraId="7326CD82" w14:textId="77777777" w:rsidR="00EF3DFB" w:rsidRDefault="00D27C17">
            <w:pPr>
              <w:pStyle w:val="TableParagraph"/>
              <w:spacing w:line="225" w:lineRule="exact"/>
              <w:ind w:left="187"/>
              <w:rPr>
                <w:sz w:val="20"/>
              </w:rPr>
            </w:pPr>
            <w:r>
              <w:rPr>
                <w:sz w:val="20"/>
              </w:rPr>
              <w:t>Finance leases</w:t>
            </w:r>
          </w:p>
        </w:tc>
        <w:tc>
          <w:tcPr>
            <w:tcW w:w="5386" w:type="dxa"/>
            <w:shd w:val="clear" w:color="auto" w:fill="CCEDFF"/>
          </w:tcPr>
          <w:p w14:paraId="7326CD83" w14:textId="77777777" w:rsidR="00EF3DFB" w:rsidRDefault="00D27C17">
            <w:pPr>
              <w:pStyle w:val="TableParagraph"/>
              <w:spacing w:line="225" w:lineRule="exact"/>
              <w:ind w:left="930"/>
              <w:rPr>
                <w:sz w:val="20"/>
              </w:rPr>
            </w:pPr>
            <w:r>
              <w:rPr>
                <w:sz w:val="20"/>
              </w:rPr>
              <w:t>Property, plant and equipment, net (2)</w:t>
            </w:r>
          </w:p>
        </w:tc>
        <w:tc>
          <w:tcPr>
            <w:tcW w:w="1335" w:type="dxa"/>
            <w:tcBorders>
              <w:bottom w:val="single" w:sz="8" w:space="0" w:color="000000"/>
            </w:tcBorders>
            <w:shd w:val="clear" w:color="auto" w:fill="CCEDFF"/>
          </w:tcPr>
          <w:p w14:paraId="7326CD84" w14:textId="77777777" w:rsidR="00EF3DFB" w:rsidRDefault="00D27C17">
            <w:pPr>
              <w:pStyle w:val="TableParagraph"/>
              <w:spacing w:line="225" w:lineRule="exact"/>
              <w:ind w:right="102"/>
              <w:jc w:val="right"/>
              <w:rPr>
                <w:sz w:val="20"/>
              </w:rPr>
            </w:pPr>
            <w:r>
              <w:rPr>
                <w:sz w:val="20"/>
              </w:rPr>
              <w:t>10</w:t>
            </w:r>
          </w:p>
        </w:tc>
        <w:tc>
          <w:tcPr>
            <w:tcW w:w="1252" w:type="dxa"/>
            <w:tcBorders>
              <w:bottom w:val="single" w:sz="8" w:space="0" w:color="000000"/>
            </w:tcBorders>
            <w:shd w:val="clear" w:color="auto" w:fill="CCEDFF"/>
          </w:tcPr>
          <w:p w14:paraId="7326CD85" w14:textId="77777777" w:rsidR="00EF3DFB" w:rsidRDefault="00D27C17">
            <w:pPr>
              <w:pStyle w:val="TableParagraph"/>
              <w:spacing w:line="225" w:lineRule="exact"/>
              <w:ind w:right="79"/>
              <w:jc w:val="right"/>
              <w:rPr>
                <w:sz w:val="20"/>
              </w:rPr>
            </w:pPr>
            <w:r>
              <w:rPr>
                <w:sz w:val="20"/>
              </w:rPr>
              <w:t>15</w:t>
            </w:r>
          </w:p>
        </w:tc>
      </w:tr>
      <w:tr w:rsidR="00EF3DFB" w14:paraId="7326CD8B" w14:textId="77777777">
        <w:trPr>
          <w:trHeight w:val="255"/>
        </w:trPr>
        <w:tc>
          <w:tcPr>
            <w:tcW w:w="2647" w:type="dxa"/>
          </w:tcPr>
          <w:p w14:paraId="7326CD87" w14:textId="77777777" w:rsidR="00EF3DFB" w:rsidRDefault="00D27C17">
            <w:pPr>
              <w:pStyle w:val="TableParagraph"/>
              <w:spacing w:line="215" w:lineRule="exact"/>
              <w:ind w:left="52"/>
              <w:rPr>
                <w:sz w:val="20"/>
              </w:rPr>
            </w:pPr>
            <w:r>
              <w:rPr>
                <w:sz w:val="20"/>
              </w:rPr>
              <w:t>Total lease assets</w:t>
            </w:r>
          </w:p>
        </w:tc>
        <w:tc>
          <w:tcPr>
            <w:tcW w:w="5386" w:type="dxa"/>
          </w:tcPr>
          <w:p w14:paraId="7326CD88" w14:textId="77777777" w:rsidR="00EF3DFB" w:rsidRDefault="00EF3DFB">
            <w:pPr>
              <w:pStyle w:val="TableParagraph"/>
              <w:rPr>
                <w:sz w:val="18"/>
              </w:rPr>
            </w:pPr>
          </w:p>
        </w:tc>
        <w:tc>
          <w:tcPr>
            <w:tcW w:w="1335" w:type="dxa"/>
            <w:tcBorders>
              <w:top w:val="single" w:sz="8" w:space="0" w:color="000000"/>
              <w:bottom w:val="single" w:sz="8" w:space="0" w:color="000000"/>
            </w:tcBorders>
          </w:tcPr>
          <w:p w14:paraId="7326CD89" w14:textId="77777777" w:rsidR="00EF3DFB" w:rsidRDefault="00D27C17">
            <w:pPr>
              <w:pStyle w:val="TableParagraph"/>
              <w:tabs>
                <w:tab w:val="left" w:pos="765"/>
              </w:tabs>
              <w:spacing w:line="215" w:lineRule="exact"/>
              <w:ind w:right="102"/>
              <w:jc w:val="right"/>
              <w:rPr>
                <w:sz w:val="20"/>
              </w:rPr>
            </w:pPr>
            <w:r>
              <w:rPr>
                <w:sz w:val="20"/>
                <w:u w:val="single"/>
              </w:rPr>
              <w:t>$</w:t>
            </w:r>
            <w:r>
              <w:rPr>
                <w:sz w:val="20"/>
                <w:u w:val="single"/>
              </w:rPr>
              <w:tab/>
              <w:t>540</w:t>
            </w:r>
          </w:p>
        </w:tc>
        <w:tc>
          <w:tcPr>
            <w:tcW w:w="1252" w:type="dxa"/>
            <w:tcBorders>
              <w:top w:val="single" w:sz="8" w:space="0" w:color="000000"/>
              <w:bottom w:val="single" w:sz="8" w:space="0" w:color="000000"/>
            </w:tcBorders>
          </w:tcPr>
          <w:p w14:paraId="7326CD8A" w14:textId="77777777" w:rsidR="00EF3DFB" w:rsidRDefault="00D27C17">
            <w:pPr>
              <w:pStyle w:val="TableParagraph"/>
              <w:tabs>
                <w:tab w:val="left" w:pos="765"/>
              </w:tabs>
              <w:spacing w:line="215" w:lineRule="exact"/>
              <w:ind w:right="79"/>
              <w:jc w:val="right"/>
              <w:rPr>
                <w:sz w:val="20"/>
              </w:rPr>
            </w:pPr>
            <w:r>
              <w:rPr>
                <w:sz w:val="20"/>
                <w:u w:val="single"/>
              </w:rPr>
              <w:t>$</w:t>
            </w:r>
            <w:r>
              <w:rPr>
                <w:sz w:val="20"/>
                <w:u w:val="single"/>
              </w:rPr>
              <w:tab/>
              <w:t>630</w:t>
            </w:r>
          </w:p>
        </w:tc>
      </w:tr>
      <w:tr w:rsidR="00EF3DFB" w14:paraId="7326CD90" w14:textId="77777777">
        <w:trPr>
          <w:trHeight w:val="225"/>
        </w:trPr>
        <w:tc>
          <w:tcPr>
            <w:tcW w:w="2647" w:type="dxa"/>
            <w:shd w:val="clear" w:color="auto" w:fill="CCEDFF"/>
          </w:tcPr>
          <w:p w14:paraId="7326CD8C" w14:textId="77777777" w:rsidR="00EF3DFB" w:rsidRDefault="00EF3DFB">
            <w:pPr>
              <w:pStyle w:val="TableParagraph"/>
              <w:rPr>
                <w:sz w:val="16"/>
              </w:rPr>
            </w:pPr>
          </w:p>
        </w:tc>
        <w:tc>
          <w:tcPr>
            <w:tcW w:w="5386" w:type="dxa"/>
            <w:shd w:val="clear" w:color="auto" w:fill="CCEDFF"/>
          </w:tcPr>
          <w:p w14:paraId="7326CD8D" w14:textId="77777777" w:rsidR="00EF3DFB" w:rsidRDefault="00EF3DFB">
            <w:pPr>
              <w:pStyle w:val="TableParagraph"/>
              <w:rPr>
                <w:sz w:val="16"/>
              </w:rPr>
            </w:pPr>
          </w:p>
        </w:tc>
        <w:tc>
          <w:tcPr>
            <w:tcW w:w="1335" w:type="dxa"/>
            <w:tcBorders>
              <w:top w:val="single" w:sz="8" w:space="0" w:color="000000"/>
            </w:tcBorders>
            <w:shd w:val="clear" w:color="auto" w:fill="CCEDFF"/>
          </w:tcPr>
          <w:p w14:paraId="7326CD8E" w14:textId="77777777" w:rsidR="00EF3DFB" w:rsidRDefault="00EF3DFB">
            <w:pPr>
              <w:pStyle w:val="TableParagraph"/>
              <w:rPr>
                <w:sz w:val="16"/>
              </w:rPr>
            </w:pPr>
          </w:p>
        </w:tc>
        <w:tc>
          <w:tcPr>
            <w:tcW w:w="1252" w:type="dxa"/>
            <w:tcBorders>
              <w:top w:val="single" w:sz="8" w:space="0" w:color="000000"/>
            </w:tcBorders>
            <w:shd w:val="clear" w:color="auto" w:fill="CCEDFF"/>
          </w:tcPr>
          <w:p w14:paraId="7326CD8F" w14:textId="77777777" w:rsidR="00EF3DFB" w:rsidRDefault="00EF3DFB">
            <w:pPr>
              <w:pStyle w:val="TableParagraph"/>
              <w:rPr>
                <w:sz w:val="16"/>
              </w:rPr>
            </w:pPr>
          </w:p>
        </w:tc>
      </w:tr>
      <w:tr w:rsidR="00EF3DFB" w14:paraId="7326CD95" w14:textId="77777777">
        <w:trPr>
          <w:trHeight w:val="255"/>
        </w:trPr>
        <w:tc>
          <w:tcPr>
            <w:tcW w:w="2647" w:type="dxa"/>
          </w:tcPr>
          <w:p w14:paraId="7326CD91" w14:textId="77777777" w:rsidR="00EF3DFB" w:rsidRDefault="00D27C17">
            <w:pPr>
              <w:pStyle w:val="TableParagraph"/>
              <w:spacing w:line="225" w:lineRule="exact"/>
              <w:ind w:left="52"/>
              <w:rPr>
                <w:b/>
                <w:sz w:val="20"/>
              </w:rPr>
            </w:pPr>
            <w:r>
              <w:rPr>
                <w:b/>
                <w:sz w:val="20"/>
              </w:rPr>
              <w:t>Liabilities</w:t>
            </w:r>
          </w:p>
        </w:tc>
        <w:tc>
          <w:tcPr>
            <w:tcW w:w="5386" w:type="dxa"/>
          </w:tcPr>
          <w:p w14:paraId="7326CD92" w14:textId="77777777" w:rsidR="00EF3DFB" w:rsidRDefault="00EF3DFB">
            <w:pPr>
              <w:pStyle w:val="TableParagraph"/>
              <w:rPr>
                <w:sz w:val="18"/>
              </w:rPr>
            </w:pPr>
          </w:p>
        </w:tc>
        <w:tc>
          <w:tcPr>
            <w:tcW w:w="1335" w:type="dxa"/>
          </w:tcPr>
          <w:p w14:paraId="7326CD93" w14:textId="77777777" w:rsidR="00EF3DFB" w:rsidRDefault="00EF3DFB">
            <w:pPr>
              <w:pStyle w:val="TableParagraph"/>
              <w:rPr>
                <w:sz w:val="18"/>
              </w:rPr>
            </w:pPr>
          </w:p>
        </w:tc>
        <w:tc>
          <w:tcPr>
            <w:tcW w:w="1252" w:type="dxa"/>
          </w:tcPr>
          <w:p w14:paraId="7326CD94" w14:textId="77777777" w:rsidR="00EF3DFB" w:rsidRDefault="00EF3DFB">
            <w:pPr>
              <w:pStyle w:val="TableParagraph"/>
              <w:rPr>
                <w:sz w:val="18"/>
              </w:rPr>
            </w:pPr>
          </w:p>
        </w:tc>
      </w:tr>
      <w:tr w:rsidR="00EF3DFB" w14:paraId="7326CD9A" w14:textId="77777777">
        <w:trPr>
          <w:trHeight w:val="255"/>
        </w:trPr>
        <w:tc>
          <w:tcPr>
            <w:tcW w:w="2647" w:type="dxa"/>
            <w:shd w:val="clear" w:color="auto" w:fill="CCEDFF"/>
          </w:tcPr>
          <w:p w14:paraId="7326CD96" w14:textId="77777777" w:rsidR="00EF3DFB" w:rsidRDefault="00D27C17">
            <w:pPr>
              <w:pStyle w:val="TableParagraph"/>
              <w:spacing w:line="225" w:lineRule="exact"/>
              <w:ind w:left="52"/>
              <w:rPr>
                <w:sz w:val="20"/>
              </w:rPr>
            </w:pPr>
            <w:r>
              <w:rPr>
                <w:sz w:val="20"/>
              </w:rPr>
              <w:t>Current</w:t>
            </w:r>
          </w:p>
        </w:tc>
        <w:tc>
          <w:tcPr>
            <w:tcW w:w="5386" w:type="dxa"/>
            <w:shd w:val="clear" w:color="auto" w:fill="CCEDFF"/>
          </w:tcPr>
          <w:p w14:paraId="7326CD97" w14:textId="77777777" w:rsidR="00EF3DFB" w:rsidRDefault="00EF3DFB">
            <w:pPr>
              <w:pStyle w:val="TableParagraph"/>
              <w:rPr>
                <w:sz w:val="18"/>
              </w:rPr>
            </w:pPr>
          </w:p>
        </w:tc>
        <w:tc>
          <w:tcPr>
            <w:tcW w:w="1335" w:type="dxa"/>
            <w:shd w:val="clear" w:color="auto" w:fill="CCEDFF"/>
          </w:tcPr>
          <w:p w14:paraId="7326CD98" w14:textId="77777777" w:rsidR="00EF3DFB" w:rsidRDefault="00EF3DFB">
            <w:pPr>
              <w:pStyle w:val="TableParagraph"/>
              <w:rPr>
                <w:sz w:val="18"/>
              </w:rPr>
            </w:pPr>
          </w:p>
        </w:tc>
        <w:tc>
          <w:tcPr>
            <w:tcW w:w="1252" w:type="dxa"/>
            <w:shd w:val="clear" w:color="auto" w:fill="CCEDFF"/>
          </w:tcPr>
          <w:p w14:paraId="7326CD99" w14:textId="77777777" w:rsidR="00EF3DFB" w:rsidRDefault="00EF3DFB">
            <w:pPr>
              <w:pStyle w:val="TableParagraph"/>
              <w:rPr>
                <w:sz w:val="18"/>
              </w:rPr>
            </w:pPr>
          </w:p>
        </w:tc>
      </w:tr>
      <w:tr w:rsidR="00EF3DFB" w14:paraId="7326CD9F" w14:textId="77777777">
        <w:trPr>
          <w:trHeight w:val="255"/>
        </w:trPr>
        <w:tc>
          <w:tcPr>
            <w:tcW w:w="2647" w:type="dxa"/>
          </w:tcPr>
          <w:p w14:paraId="7326CD9B" w14:textId="77777777" w:rsidR="00EF3DFB" w:rsidRDefault="00D27C17">
            <w:pPr>
              <w:pStyle w:val="TableParagraph"/>
              <w:spacing w:line="225" w:lineRule="exact"/>
              <w:ind w:left="187"/>
              <w:rPr>
                <w:sz w:val="20"/>
              </w:rPr>
            </w:pPr>
            <w:r>
              <w:rPr>
                <w:sz w:val="20"/>
              </w:rPr>
              <w:t>Operating leases</w:t>
            </w:r>
          </w:p>
        </w:tc>
        <w:tc>
          <w:tcPr>
            <w:tcW w:w="5386" w:type="dxa"/>
          </w:tcPr>
          <w:p w14:paraId="7326CD9C" w14:textId="77777777" w:rsidR="00EF3DFB" w:rsidRDefault="00D27C17">
            <w:pPr>
              <w:pStyle w:val="TableParagraph"/>
              <w:spacing w:line="225" w:lineRule="exact"/>
              <w:ind w:left="930"/>
              <w:rPr>
                <w:sz w:val="20"/>
              </w:rPr>
            </w:pPr>
            <w:r>
              <w:rPr>
                <w:sz w:val="20"/>
              </w:rPr>
              <w:t>Other accrued liabilities</w:t>
            </w:r>
          </w:p>
        </w:tc>
        <w:tc>
          <w:tcPr>
            <w:tcW w:w="1335" w:type="dxa"/>
          </w:tcPr>
          <w:p w14:paraId="7326CD9D" w14:textId="77777777" w:rsidR="00EF3DFB" w:rsidRDefault="00D27C17">
            <w:pPr>
              <w:pStyle w:val="TableParagraph"/>
              <w:tabs>
                <w:tab w:val="left" w:pos="765"/>
              </w:tabs>
              <w:spacing w:line="225" w:lineRule="exact"/>
              <w:ind w:right="102"/>
              <w:jc w:val="right"/>
              <w:rPr>
                <w:sz w:val="20"/>
              </w:rPr>
            </w:pPr>
            <w:r>
              <w:rPr>
                <w:sz w:val="20"/>
              </w:rPr>
              <w:t>$</w:t>
            </w:r>
            <w:r>
              <w:rPr>
                <w:sz w:val="20"/>
              </w:rPr>
              <w:tab/>
              <w:t>129</w:t>
            </w:r>
          </w:p>
        </w:tc>
        <w:tc>
          <w:tcPr>
            <w:tcW w:w="1252" w:type="dxa"/>
          </w:tcPr>
          <w:p w14:paraId="7326CD9E" w14:textId="77777777" w:rsidR="00EF3DFB" w:rsidRDefault="00D27C17">
            <w:pPr>
              <w:pStyle w:val="TableParagraph"/>
              <w:tabs>
                <w:tab w:val="left" w:pos="765"/>
              </w:tabs>
              <w:spacing w:line="225" w:lineRule="exact"/>
              <w:ind w:right="79"/>
              <w:jc w:val="right"/>
              <w:rPr>
                <w:sz w:val="20"/>
              </w:rPr>
            </w:pPr>
            <w:r>
              <w:rPr>
                <w:sz w:val="20"/>
              </w:rPr>
              <w:t>$</w:t>
            </w:r>
            <w:r>
              <w:rPr>
                <w:sz w:val="20"/>
              </w:rPr>
              <w:tab/>
              <w:t>132</w:t>
            </w:r>
          </w:p>
        </w:tc>
      </w:tr>
      <w:tr w:rsidR="00EF3DFB" w14:paraId="7326CDA4" w14:textId="77777777">
        <w:trPr>
          <w:trHeight w:val="255"/>
        </w:trPr>
        <w:tc>
          <w:tcPr>
            <w:tcW w:w="2647" w:type="dxa"/>
            <w:shd w:val="clear" w:color="auto" w:fill="CCEDFF"/>
          </w:tcPr>
          <w:p w14:paraId="7326CDA0" w14:textId="77777777" w:rsidR="00EF3DFB" w:rsidRDefault="00D27C17">
            <w:pPr>
              <w:pStyle w:val="TableParagraph"/>
              <w:spacing w:line="225" w:lineRule="exact"/>
              <w:ind w:left="187"/>
              <w:rPr>
                <w:sz w:val="20"/>
              </w:rPr>
            </w:pPr>
            <w:r>
              <w:rPr>
                <w:sz w:val="20"/>
              </w:rPr>
              <w:t>Finance leases</w:t>
            </w:r>
          </w:p>
        </w:tc>
        <w:tc>
          <w:tcPr>
            <w:tcW w:w="5386" w:type="dxa"/>
            <w:shd w:val="clear" w:color="auto" w:fill="CCEDFF"/>
          </w:tcPr>
          <w:p w14:paraId="7326CDA1" w14:textId="77777777" w:rsidR="00EF3DFB" w:rsidRDefault="00D27C17">
            <w:pPr>
              <w:pStyle w:val="TableParagraph"/>
              <w:spacing w:line="225" w:lineRule="exact"/>
              <w:ind w:left="930"/>
              <w:rPr>
                <w:sz w:val="20"/>
              </w:rPr>
            </w:pPr>
            <w:r>
              <w:rPr>
                <w:sz w:val="20"/>
              </w:rPr>
              <w:t>Short-term debt and current portion of long-term debt</w:t>
            </w:r>
          </w:p>
        </w:tc>
        <w:tc>
          <w:tcPr>
            <w:tcW w:w="1335" w:type="dxa"/>
            <w:shd w:val="clear" w:color="auto" w:fill="CCEDFF"/>
          </w:tcPr>
          <w:p w14:paraId="7326CDA2" w14:textId="77777777" w:rsidR="00EF3DFB" w:rsidRDefault="00D27C17">
            <w:pPr>
              <w:pStyle w:val="TableParagraph"/>
              <w:spacing w:line="225" w:lineRule="exact"/>
              <w:ind w:right="102"/>
              <w:jc w:val="right"/>
              <w:rPr>
                <w:sz w:val="20"/>
              </w:rPr>
            </w:pPr>
            <w:r>
              <w:rPr>
                <w:sz w:val="20"/>
              </w:rPr>
              <w:t>3</w:t>
            </w:r>
          </w:p>
        </w:tc>
        <w:tc>
          <w:tcPr>
            <w:tcW w:w="1252" w:type="dxa"/>
            <w:shd w:val="clear" w:color="auto" w:fill="CCEDFF"/>
          </w:tcPr>
          <w:p w14:paraId="7326CDA3" w14:textId="77777777" w:rsidR="00EF3DFB" w:rsidRDefault="00D27C17">
            <w:pPr>
              <w:pStyle w:val="TableParagraph"/>
              <w:spacing w:line="225" w:lineRule="exact"/>
              <w:ind w:right="79"/>
              <w:jc w:val="right"/>
              <w:rPr>
                <w:sz w:val="20"/>
              </w:rPr>
            </w:pPr>
            <w:r>
              <w:rPr>
                <w:sz w:val="20"/>
              </w:rPr>
              <w:t>3</w:t>
            </w:r>
          </w:p>
        </w:tc>
      </w:tr>
      <w:tr w:rsidR="00EF3DFB" w14:paraId="7326CDA9" w14:textId="77777777">
        <w:trPr>
          <w:trHeight w:val="255"/>
        </w:trPr>
        <w:tc>
          <w:tcPr>
            <w:tcW w:w="2647" w:type="dxa"/>
          </w:tcPr>
          <w:p w14:paraId="7326CDA5" w14:textId="77777777" w:rsidR="00EF3DFB" w:rsidRDefault="00D27C17">
            <w:pPr>
              <w:pStyle w:val="TableParagraph"/>
              <w:spacing w:line="225" w:lineRule="exact"/>
              <w:ind w:left="52"/>
              <w:rPr>
                <w:sz w:val="20"/>
              </w:rPr>
            </w:pPr>
            <w:r>
              <w:rPr>
                <w:sz w:val="20"/>
              </w:rPr>
              <w:t>Noncurrent</w:t>
            </w:r>
          </w:p>
        </w:tc>
        <w:tc>
          <w:tcPr>
            <w:tcW w:w="5386" w:type="dxa"/>
          </w:tcPr>
          <w:p w14:paraId="7326CDA6" w14:textId="77777777" w:rsidR="00EF3DFB" w:rsidRDefault="00EF3DFB">
            <w:pPr>
              <w:pStyle w:val="TableParagraph"/>
              <w:rPr>
                <w:sz w:val="18"/>
              </w:rPr>
            </w:pPr>
          </w:p>
        </w:tc>
        <w:tc>
          <w:tcPr>
            <w:tcW w:w="1335" w:type="dxa"/>
          </w:tcPr>
          <w:p w14:paraId="7326CDA7" w14:textId="77777777" w:rsidR="00EF3DFB" w:rsidRDefault="00EF3DFB">
            <w:pPr>
              <w:pStyle w:val="TableParagraph"/>
              <w:rPr>
                <w:sz w:val="18"/>
              </w:rPr>
            </w:pPr>
          </w:p>
        </w:tc>
        <w:tc>
          <w:tcPr>
            <w:tcW w:w="1252" w:type="dxa"/>
          </w:tcPr>
          <w:p w14:paraId="7326CDA8" w14:textId="77777777" w:rsidR="00EF3DFB" w:rsidRDefault="00EF3DFB">
            <w:pPr>
              <w:pStyle w:val="TableParagraph"/>
              <w:rPr>
                <w:sz w:val="18"/>
              </w:rPr>
            </w:pPr>
          </w:p>
        </w:tc>
      </w:tr>
      <w:tr w:rsidR="00EF3DFB" w14:paraId="7326CDAE" w14:textId="77777777">
        <w:trPr>
          <w:trHeight w:val="255"/>
        </w:trPr>
        <w:tc>
          <w:tcPr>
            <w:tcW w:w="2647" w:type="dxa"/>
            <w:shd w:val="clear" w:color="auto" w:fill="CCEDFF"/>
          </w:tcPr>
          <w:p w14:paraId="7326CDAA" w14:textId="77777777" w:rsidR="00EF3DFB" w:rsidRDefault="00D27C17">
            <w:pPr>
              <w:pStyle w:val="TableParagraph"/>
              <w:spacing w:line="225" w:lineRule="exact"/>
              <w:ind w:left="187"/>
              <w:rPr>
                <w:sz w:val="20"/>
              </w:rPr>
            </w:pPr>
            <w:r>
              <w:rPr>
                <w:sz w:val="20"/>
              </w:rPr>
              <w:t>Operating leases</w:t>
            </w:r>
          </w:p>
        </w:tc>
        <w:tc>
          <w:tcPr>
            <w:tcW w:w="5386" w:type="dxa"/>
            <w:shd w:val="clear" w:color="auto" w:fill="CCEDFF"/>
          </w:tcPr>
          <w:p w14:paraId="7326CDAB" w14:textId="77777777" w:rsidR="00EF3DFB" w:rsidRDefault="00D27C17">
            <w:pPr>
              <w:pStyle w:val="TableParagraph"/>
              <w:spacing w:line="225" w:lineRule="exact"/>
              <w:ind w:left="930"/>
              <w:rPr>
                <w:sz w:val="20"/>
              </w:rPr>
            </w:pPr>
            <w:r>
              <w:rPr>
                <w:sz w:val="20"/>
              </w:rPr>
              <w:t>Long-term operating lease liabilities</w:t>
            </w:r>
          </w:p>
        </w:tc>
        <w:tc>
          <w:tcPr>
            <w:tcW w:w="1335" w:type="dxa"/>
            <w:shd w:val="clear" w:color="auto" w:fill="CCEDFF"/>
          </w:tcPr>
          <w:p w14:paraId="7326CDAC" w14:textId="77777777" w:rsidR="00EF3DFB" w:rsidRDefault="00D27C17">
            <w:pPr>
              <w:pStyle w:val="TableParagraph"/>
              <w:spacing w:line="225" w:lineRule="exact"/>
              <w:ind w:right="102"/>
              <w:jc w:val="right"/>
              <w:rPr>
                <w:sz w:val="20"/>
              </w:rPr>
            </w:pPr>
            <w:r>
              <w:rPr>
                <w:sz w:val="20"/>
              </w:rPr>
              <w:t>472</w:t>
            </w:r>
          </w:p>
        </w:tc>
        <w:tc>
          <w:tcPr>
            <w:tcW w:w="1252" w:type="dxa"/>
            <w:shd w:val="clear" w:color="auto" w:fill="CCEDFF"/>
          </w:tcPr>
          <w:p w14:paraId="7326CDAD" w14:textId="77777777" w:rsidR="00EF3DFB" w:rsidRDefault="00D27C17">
            <w:pPr>
              <w:pStyle w:val="TableParagraph"/>
              <w:spacing w:line="225" w:lineRule="exact"/>
              <w:ind w:right="79"/>
              <w:jc w:val="right"/>
              <w:rPr>
                <w:sz w:val="20"/>
              </w:rPr>
            </w:pPr>
            <w:r>
              <w:rPr>
                <w:sz w:val="20"/>
              </w:rPr>
              <w:t>541</w:t>
            </w:r>
          </w:p>
        </w:tc>
      </w:tr>
      <w:tr w:rsidR="00EF3DFB" w14:paraId="7326CDB3" w14:textId="77777777">
        <w:trPr>
          <w:trHeight w:val="245"/>
        </w:trPr>
        <w:tc>
          <w:tcPr>
            <w:tcW w:w="2647" w:type="dxa"/>
          </w:tcPr>
          <w:p w14:paraId="7326CDAF" w14:textId="77777777" w:rsidR="00EF3DFB" w:rsidRDefault="00D27C17">
            <w:pPr>
              <w:pStyle w:val="TableParagraph"/>
              <w:spacing w:line="225" w:lineRule="exact"/>
              <w:ind w:left="187"/>
              <w:rPr>
                <w:sz w:val="20"/>
              </w:rPr>
            </w:pPr>
            <w:r>
              <w:rPr>
                <w:sz w:val="20"/>
              </w:rPr>
              <w:t>Finance leases</w:t>
            </w:r>
          </w:p>
        </w:tc>
        <w:tc>
          <w:tcPr>
            <w:tcW w:w="5386" w:type="dxa"/>
          </w:tcPr>
          <w:p w14:paraId="7326CDB0" w14:textId="77777777" w:rsidR="00EF3DFB" w:rsidRDefault="00D27C17">
            <w:pPr>
              <w:pStyle w:val="TableParagraph"/>
              <w:spacing w:line="225" w:lineRule="exact"/>
              <w:ind w:left="930"/>
              <w:rPr>
                <w:sz w:val="20"/>
              </w:rPr>
            </w:pPr>
            <w:r>
              <w:rPr>
                <w:sz w:val="20"/>
              </w:rPr>
              <w:t>Long-term debt</w:t>
            </w:r>
          </w:p>
        </w:tc>
        <w:tc>
          <w:tcPr>
            <w:tcW w:w="1335" w:type="dxa"/>
            <w:tcBorders>
              <w:bottom w:val="single" w:sz="8" w:space="0" w:color="000000"/>
            </w:tcBorders>
          </w:tcPr>
          <w:p w14:paraId="7326CDB1" w14:textId="77777777" w:rsidR="00EF3DFB" w:rsidRDefault="00D27C17">
            <w:pPr>
              <w:pStyle w:val="TableParagraph"/>
              <w:spacing w:line="225" w:lineRule="exact"/>
              <w:ind w:right="102"/>
              <w:jc w:val="right"/>
              <w:rPr>
                <w:sz w:val="20"/>
              </w:rPr>
            </w:pPr>
            <w:r>
              <w:rPr>
                <w:sz w:val="20"/>
              </w:rPr>
              <w:t>5</w:t>
            </w:r>
          </w:p>
        </w:tc>
        <w:tc>
          <w:tcPr>
            <w:tcW w:w="1252" w:type="dxa"/>
            <w:tcBorders>
              <w:bottom w:val="single" w:sz="8" w:space="0" w:color="000000"/>
            </w:tcBorders>
          </w:tcPr>
          <w:p w14:paraId="7326CDB2" w14:textId="77777777" w:rsidR="00EF3DFB" w:rsidRDefault="00D27C17">
            <w:pPr>
              <w:pStyle w:val="TableParagraph"/>
              <w:spacing w:line="225" w:lineRule="exact"/>
              <w:ind w:right="79"/>
              <w:jc w:val="right"/>
              <w:rPr>
                <w:sz w:val="20"/>
              </w:rPr>
            </w:pPr>
            <w:r>
              <w:rPr>
                <w:sz w:val="20"/>
              </w:rPr>
              <w:t>10</w:t>
            </w:r>
          </w:p>
        </w:tc>
      </w:tr>
      <w:tr w:rsidR="00EF3DFB" w14:paraId="7326CDB8" w14:textId="77777777">
        <w:trPr>
          <w:trHeight w:val="245"/>
        </w:trPr>
        <w:tc>
          <w:tcPr>
            <w:tcW w:w="2647" w:type="dxa"/>
            <w:shd w:val="clear" w:color="auto" w:fill="CCEDFF"/>
          </w:tcPr>
          <w:p w14:paraId="7326CDB4" w14:textId="77777777" w:rsidR="00EF3DFB" w:rsidRDefault="00D27C17">
            <w:pPr>
              <w:pStyle w:val="TableParagraph"/>
              <w:spacing w:line="215" w:lineRule="exact"/>
              <w:ind w:left="52"/>
              <w:rPr>
                <w:sz w:val="20"/>
              </w:rPr>
            </w:pPr>
            <w:r>
              <w:rPr>
                <w:sz w:val="20"/>
              </w:rPr>
              <w:t>Total lease liabilities</w:t>
            </w:r>
          </w:p>
        </w:tc>
        <w:tc>
          <w:tcPr>
            <w:tcW w:w="5386" w:type="dxa"/>
            <w:shd w:val="clear" w:color="auto" w:fill="CCEDFF"/>
          </w:tcPr>
          <w:p w14:paraId="7326CDB5" w14:textId="77777777" w:rsidR="00EF3DFB" w:rsidRDefault="00EF3DFB">
            <w:pPr>
              <w:pStyle w:val="TableParagraph"/>
              <w:rPr>
                <w:sz w:val="16"/>
              </w:rPr>
            </w:pPr>
          </w:p>
        </w:tc>
        <w:tc>
          <w:tcPr>
            <w:tcW w:w="1335" w:type="dxa"/>
            <w:tcBorders>
              <w:top w:val="single" w:sz="8" w:space="0" w:color="000000"/>
            </w:tcBorders>
            <w:shd w:val="clear" w:color="auto" w:fill="CCEDFF"/>
          </w:tcPr>
          <w:p w14:paraId="7326CDB6" w14:textId="77777777" w:rsidR="00EF3DFB" w:rsidRDefault="00D27C17">
            <w:pPr>
              <w:pStyle w:val="TableParagraph"/>
              <w:tabs>
                <w:tab w:val="left" w:pos="765"/>
              </w:tabs>
              <w:spacing w:line="215" w:lineRule="exact"/>
              <w:ind w:right="102"/>
              <w:jc w:val="right"/>
              <w:rPr>
                <w:sz w:val="20"/>
              </w:rPr>
            </w:pPr>
            <w:r>
              <w:rPr>
                <w:sz w:val="20"/>
                <w:u w:val="single"/>
              </w:rPr>
              <w:t>$</w:t>
            </w:r>
            <w:r>
              <w:rPr>
                <w:sz w:val="20"/>
                <w:u w:val="single"/>
              </w:rPr>
              <w:tab/>
              <w:t>609</w:t>
            </w:r>
          </w:p>
        </w:tc>
        <w:tc>
          <w:tcPr>
            <w:tcW w:w="1252" w:type="dxa"/>
            <w:tcBorders>
              <w:top w:val="single" w:sz="8" w:space="0" w:color="000000"/>
            </w:tcBorders>
            <w:shd w:val="clear" w:color="auto" w:fill="CCEDFF"/>
          </w:tcPr>
          <w:p w14:paraId="7326CDB7" w14:textId="77777777" w:rsidR="00EF3DFB" w:rsidRDefault="00D27C17">
            <w:pPr>
              <w:pStyle w:val="TableParagraph"/>
              <w:tabs>
                <w:tab w:val="left" w:pos="765"/>
              </w:tabs>
              <w:spacing w:line="215" w:lineRule="exact"/>
              <w:ind w:right="79"/>
              <w:jc w:val="right"/>
              <w:rPr>
                <w:sz w:val="20"/>
              </w:rPr>
            </w:pPr>
            <w:r>
              <w:rPr>
                <w:sz w:val="20"/>
                <w:u w:val="single"/>
              </w:rPr>
              <w:t>$</w:t>
            </w:r>
            <w:r>
              <w:rPr>
                <w:sz w:val="20"/>
                <w:u w:val="single"/>
              </w:rPr>
              <w:tab/>
              <w:t>686</w:t>
            </w:r>
          </w:p>
        </w:tc>
      </w:tr>
    </w:tbl>
    <w:p w14:paraId="7326CDB9" w14:textId="4F1E899B" w:rsidR="00EF3DFB" w:rsidRDefault="00D27C17">
      <w:pPr>
        <w:spacing w:line="20" w:lineRule="exact"/>
        <w:ind w:left="8325"/>
        <w:rPr>
          <w:sz w:val="2"/>
        </w:rPr>
      </w:pPr>
      <w:r>
        <w:rPr>
          <w:noProof/>
          <w:sz w:val="2"/>
        </w:rPr>
        <mc:AlternateContent>
          <mc:Choice Requires="wpg">
            <w:drawing>
              <wp:inline distT="0" distB="0" distL="0" distR="0" wp14:anchorId="7326D767" wp14:editId="7EEFC326">
                <wp:extent cx="762000" cy="12700"/>
                <wp:effectExtent l="12700" t="3175" r="6350" b="3175"/>
                <wp:docPr id="24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45" name="Line 228"/>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EEECC4" id="Group 227"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BhSSDMJwIAANsEAAAOAAAAAAAAAAAAAAAAAC4CAABkcnMvZTJvRG9jLnht&#10;bFBLAQItABQABgAIAAAAIQDqJm4U2QAAAAMBAAAPAAAAAAAAAAAAAAAAAIEEAABkcnMvZG93bnJl&#10;di54bWxQSwUGAAAAAAQABADzAAAAhwUAAAAA&#10;">
                <v:line id="Line 228"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DxQAAANwAAAAPAAAAZHJzL2Rvd25yZXYueG1sRI/dagIx&#10;FITvBd8hHKF3Nau0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9+N1D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69" wp14:editId="377CFFF5">
                <wp:extent cx="762000" cy="12700"/>
                <wp:effectExtent l="12700" t="3175" r="6350" b="3175"/>
                <wp:docPr id="24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43" name="Line 226"/>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69914" id="Group 225"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DgT5WQJwIAANsEAAAOAAAAAAAAAAAAAAAAAC4CAABkcnMvZTJvRG9jLnht&#10;bFBLAQItABQABgAIAAAAIQDqJm4U2QAAAAMBAAAPAAAAAAAAAAAAAAAAAIEEAABkcnMvZG93bnJl&#10;di54bWxQSwUGAAAAAAQABADzAAAAhwUAAAAA&#10;">
                <v:line id="Line 226"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CsxQAAANwAAAAPAAAAZHJzL2Rvd25yZXYueG1sRI/dagIx&#10;FITvBd8hHKF3Nast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dXeCsxQAAANwAAAAP&#10;AAAAAAAAAAAAAAAAAAcCAABkcnMvZG93bnJldi54bWxQSwUGAAAAAAMAAwC3AAAA+QIAAAAA&#10;" strokeweight="1pt"/>
                <w10:anchorlock/>
              </v:group>
            </w:pict>
          </mc:Fallback>
        </mc:AlternateContent>
      </w:r>
    </w:p>
    <w:p w14:paraId="7326CDBA" w14:textId="77777777" w:rsidR="00EF3DFB" w:rsidRDefault="00D27C17">
      <w:pPr>
        <w:pStyle w:val="ListParagraph"/>
        <w:numPr>
          <w:ilvl w:val="1"/>
          <w:numId w:val="20"/>
        </w:numPr>
        <w:tabs>
          <w:tab w:val="left" w:pos="910"/>
        </w:tabs>
        <w:spacing w:before="41" w:line="249" w:lineRule="auto"/>
        <w:ind w:right="166"/>
        <w:jc w:val="both"/>
        <w:rPr>
          <w:sz w:val="16"/>
        </w:rPr>
      </w:pPr>
      <w:r>
        <w:rPr>
          <w:sz w:val="16"/>
        </w:rPr>
        <w:t>During 2020, the Company concluded that a triggering event had occurred for all of its reporting units as a result of overall macroeconomic conditions and developments in the equity and credit markets primarily driven by</w:t>
      </w:r>
      <w:r>
        <w:rPr>
          <w:sz w:val="16"/>
        </w:rPr>
        <w:t xml:space="preserve"> the COVID-19 pandemic. Pursuant to the authoritative accounting literature, the Company compared the sum of the undiscounted future cash flows attributable to the asset or group of assets at the lowest level for which identifiable cash flows are available</w:t>
      </w:r>
      <w:r>
        <w:rPr>
          <w:sz w:val="16"/>
        </w:rPr>
        <w:t xml:space="preserve"> to their respective carrying amount. As a result of the impairment testing performed in connection with the triggering event, the Company</w:t>
      </w:r>
      <w:r>
        <w:rPr>
          <w:spacing w:val="1"/>
          <w:sz w:val="16"/>
        </w:rPr>
        <w:t xml:space="preserve"> </w:t>
      </w:r>
      <w:r>
        <w:rPr>
          <w:sz w:val="16"/>
        </w:rPr>
        <w:t>recorded</w:t>
      </w:r>
      <w:r>
        <w:rPr>
          <w:spacing w:val="1"/>
          <w:sz w:val="16"/>
        </w:rPr>
        <w:t xml:space="preserve"> </w:t>
      </w:r>
      <w:r>
        <w:rPr>
          <w:sz w:val="16"/>
        </w:rPr>
        <w:t>a</w:t>
      </w:r>
      <w:r>
        <w:rPr>
          <w:spacing w:val="1"/>
          <w:sz w:val="16"/>
        </w:rPr>
        <w:t xml:space="preserve"> </w:t>
      </w:r>
      <w:r>
        <w:rPr>
          <w:sz w:val="16"/>
        </w:rPr>
        <w:t>non-cash</w:t>
      </w:r>
      <w:r>
        <w:rPr>
          <w:spacing w:val="1"/>
          <w:sz w:val="16"/>
        </w:rPr>
        <w:t xml:space="preserve"> </w:t>
      </w:r>
      <w:r>
        <w:rPr>
          <w:sz w:val="16"/>
        </w:rPr>
        <w:t>impairment</w:t>
      </w:r>
      <w:r>
        <w:rPr>
          <w:spacing w:val="1"/>
          <w:sz w:val="16"/>
        </w:rPr>
        <w:t xml:space="preserve"> </w:t>
      </w:r>
      <w:r>
        <w:rPr>
          <w:sz w:val="16"/>
        </w:rPr>
        <w:t>charge</w:t>
      </w:r>
      <w:r>
        <w:rPr>
          <w:spacing w:val="1"/>
          <w:sz w:val="16"/>
        </w:rPr>
        <w:t xml:space="preserve"> </w:t>
      </w:r>
      <w:r>
        <w:rPr>
          <w:sz w:val="16"/>
        </w:rPr>
        <w:t>of</w:t>
      </w:r>
      <w:r>
        <w:rPr>
          <w:sz w:val="16"/>
        </w:rPr>
        <w:t xml:space="preserve"> </w:t>
      </w:r>
      <w:r>
        <w:rPr>
          <w:sz w:val="16"/>
        </w:rPr>
        <w:t>$8</w:t>
      </w:r>
      <w:r>
        <w:rPr>
          <w:spacing w:val="1"/>
          <w:sz w:val="16"/>
        </w:rPr>
        <w:t xml:space="preserve"> </w:t>
      </w:r>
      <w:r>
        <w:rPr>
          <w:sz w:val="16"/>
        </w:rPr>
        <w:t>million</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Home</w:t>
      </w:r>
      <w:r>
        <w:rPr>
          <w:spacing w:val="1"/>
          <w:sz w:val="16"/>
        </w:rPr>
        <w:t xml:space="preserve"> </w:t>
      </w:r>
      <w:r>
        <w:rPr>
          <w:sz w:val="16"/>
        </w:rPr>
        <w:t>Solutions</w:t>
      </w:r>
      <w:r>
        <w:rPr>
          <w:spacing w:val="1"/>
          <w:sz w:val="16"/>
        </w:rPr>
        <w:t xml:space="preserve"> </w:t>
      </w:r>
      <w:r>
        <w:rPr>
          <w:sz w:val="16"/>
        </w:rPr>
        <w:t>segment</w:t>
      </w:r>
      <w:r>
        <w:rPr>
          <w:spacing w:val="1"/>
          <w:sz w:val="16"/>
        </w:rPr>
        <w:t xml:space="preserve"> </w:t>
      </w:r>
      <w:r>
        <w:rPr>
          <w:sz w:val="16"/>
        </w:rPr>
        <w:t>related</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operating</w:t>
      </w:r>
      <w:r>
        <w:rPr>
          <w:spacing w:val="1"/>
          <w:sz w:val="16"/>
        </w:rPr>
        <w:t xml:space="preserve"> </w:t>
      </w:r>
      <w:r>
        <w:rPr>
          <w:sz w:val="16"/>
        </w:rPr>
        <w:t>leases</w:t>
      </w:r>
      <w:r>
        <w:rPr>
          <w:spacing w:val="1"/>
          <w:sz w:val="16"/>
        </w:rPr>
        <w:t xml:space="preserve"> </w:t>
      </w:r>
      <w:r>
        <w:rPr>
          <w:sz w:val="16"/>
        </w:rPr>
        <w:t>of</w:t>
      </w:r>
      <w:r>
        <w:rPr>
          <w:spacing w:val="1"/>
          <w:sz w:val="16"/>
        </w:rPr>
        <w:t xml:space="preserve"> </w:t>
      </w:r>
      <w:r>
        <w:rPr>
          <w:sz w:val="16"/>
        </w:rPr>
        <w:t>its</w:t>
      </w:r>
      <w:r>
        <w:rPr>
          <w:spacing w:val="1"/>
          <w:sz w:val="16"/>
        </w:rPr>
        <w:t xml:space="preserve"> </w:t>
      </w:r>
      <w:r>
        <w:rPr>
          <w:sz w:val="16"/>
        </w:rPr>
        <w:t>Yankee</w:t>
      </w:r>
      <w:r>
        <w:rPr>
          <w:spacing w:val="1"/>
          <w:sz w:val="16"/>
        </w:rPr>
        <w:t xml:space="preserve"> </w:t>
      </w:r>
      <w:r>
        <w:rPr>
          <w:sz w:val="16"/>
        </w:rPr>
        <w:t>Candle</w:t>
      </w:r>
      <w:r>
        <w:rPr>
          <w:spacing w:val="1"/>
          <w:sz w:val="16"/>
        </w:rPr>
        <w:t xml:space="preserve"> </w:t>
      </w:r>
      <w:r>
        <w:rPr>
          <w:sz w:val="16"/>
        </w:rPr>
        <w:t>retail</w:t>
      </w:r>
    </w:p>
    <w:p w14:paraId="7326CDBB" w14:textId="77777777" w:rsidR="00EF3DFB" w:rsidRDefault="00EF3DFB">
      <w:pPr>
        <w:spacing w:line="249" w:lineRule="auto"/>
        <w:jc w:val="both"/>
        <w:rPr>
          <w:sz w:val="16"/>
        </w:rPr>
        <w:sectPr w:rsidR="00EF3DFB">
          <w:pgSz w:w="12240" w:h="15840"/>
          <w:pgMar w:top="600" w:right="640" w:bottom="480" w:left="620" w:header="0" w:footer="291" w:gutter="0"/>
          <w:cols w:space="720"/>
        </w:sectPr>
      </w:pPr>
    </w:p>
    <w:p w14:paraId="7326CDBC" w14:textId="77777777" w:rsidR="00EF3DFB" w:rsidRDefault="00D27C17">
      <w:pPr>
        <w:spacing w:before="81" w:line="249" w:lineRule="auto"/>
        <w:ind w:left="910" w:right="165"/>
        <w:jc w:val="both"/>
        <w:rPr>
          <w:sz w:val="16"/>
        </w:rPr>
      </w:pPr>
      <w:r>
        <w:rPr>
          <w:sz w:val="16"/>
        </w:rPr>
        <w:lastRenderedPageBreak/>
        <w:t>store business. In addition, the Company recorded an impairment charge of $2 million in the Corporate segment to reflect a reduction in the carrying values of certain operating lease assets. The impairment charges wer</w:t>
      </w:r>
      <w:r>
        <w:rPr>
          <w:sz w:val="16"/>
        </w:rPr>
        <w:t>e calculated by subtracting the estimated fair value of the asset group from its carrying value.</w:t>
      </w:r>
    </w:p>
    <w:p w14:paraId="7326CDBD" w14:textId="77777777" w:rsidR="00EF3DFB" w:rsidRDefault="00D27C17">
      <w:pPr>
        <w:pStyle w:val="ListParagraph"/>
        <w:numPr>
          <w:ilvl w:val="1"/>
          <w:numId w:val="20"/>
        </w:numPr>
        <w:tabs>
          <w:tab w:val="left" w:pos="910"/>
        </w:tabs>
        <w:spacing w:before="122"/>
        <w:rPr>
          <w:sz w:val="16"/>
        </w:rPr>
      </w:pPr>
      <w:r>
        <w:rPr>
          <w:sz w:val="16"/>
        </w:rPr>
        <w:t>Net of accumulated depreciation of $12 million and $8 million,</w:t>
      </w:r>
      <w:r>
        <w:rPr>
          <w:spacing w:val="-5"/>
          <w:sz w:val="16"/>
        </w:rPr>
        <w:t xml:space="preserve"> </w:t>
      </w:r>
      <w:r>
        <w:rPr>
          <w:sz w:val="16"/>
        </w:rPr>
        <w:t>respectively.</w:t>
      </w:r>
    </w:p>
    <w:p w14:paraId="7326CDBE" w14:textId="77777777" w:rsidR="00EF3DFB" w:rsidRDefault="00EF3DFB">
      <w:pPr>
        <w:pStyle w:val="BodyText"/>
        <w:spacing w:before="5" w:after="1"/>
        <w:rPr>
          <w:sz w:val="21"/>
        </w:rPr>
      </w:pPr>
    </w:p>
    <w:tbl>
      <w:tblPr>
        <w:tblW w:w="0" w:type="auto"/>
        <w:tblInd w:w="190" w:type="dxa"/>
        <w:tblLayout w:type="fixed"/>
        <w:tblCellMar>
          <w:left w:w="0" w:type="dxa"/>
          <w:right w:w="0" w:type="dxa"/>
        </w:tblCellMar>
        <w:tblLook w:val="01E0" w:firstRow="1" w:lastRow="1" w:firstColumn="1" w:lastColumn="1" w:noHBand="0" w:noVBand="0"/>
      </w:tblPr>
      <w:tblGrid>
        <w:gridCol w:w="7786"/>
        <w:gridCol w:w="1581"/>
        <w:gridCol w:w="1251"/>
      </w:tblGrid>
      <w:tr w:rsidR="00EF3DFB" w14:paraId="7326CDC1" w14:textId="77777777">
        <w:trPr>
          <w:trHeight w:val="274"/>
        </w:trPr>
        <w:tc>
          <w:tcPr>
            <w:tcW w:w="7786" w:type="dxa"/>
          </w:tcPr>
          <w:p w14:paraId="7326CDBF" w14:textId="77777777" w:rsidR="00EF3DFB" w:rsidRDefault="00D27C17">
            <w:pPr>
              <w:pStyle w:val="TableParagraph"/>
              <w:spacing w:line="221" w:lineRule="exact"/>
              <w:rPr>
                <w:sz w:val="20"/>
              </w:rPr>
            </w:pPr>
            <w:r>
              <w:rPr>
                <w:sz w:val="20"/>
              </w:rPr>
              <w:t>Components of lease expense for the years ended December 31, are as follows (in m</w:t>
            </w:r>
            <w:r>
              <w:rPr>
                <w:sz w:val="20"/>
              </w:rPr>
              <w:t>illions):</w:t>
            </w:r>
          </w:p>
        </w:tc>
        <w:tc>
          <w:tcPr>
            <w:tcW w:w="2832" w:type="dxa"/>
            <w:gridSpan w:val="2"/>
          </w:tcPr>
          <w:p w14:paraId="7326CDC0" w14:textId="77777777" w:rsidR="00EF3DFB" w:rsidRDefault="00EF3DFB">
            <w:pPr>
              <w:pStyle w:val="TableParagraph"/>
              <w:rPr>
                <w:sz w:val="18"/>
              </w:rPr>
            </w:pPr>
          </w:p>
        </w:tc>
      </w:tr>
      <w:tr w:rsidR="00EF3DFB" w14:paraId="7326CDC5" w14:textId="77777777">
        <w:trPr>
          <w:trHeight w:val="250"/>
        </w:trPr>
        <w:tc>
          <w:tcPr>
            <w:tcW w:w="7786" w:type="dxa"/>
          </w:tcPr>
          <w:p w14:paraId="7326CDC2" w14:textId="77777777" w:rsidR="00EF3DFB" w:rsidRDefault="00EF3DFB">
            <w:pPr>
              <w:pStyle w:val="TableParagraph"/>
              <w:rPr>
                <w:sz w:val="18"/>
              </w:rPr>
            </w:pPr>
          </w:p>
        </w:tc>
        <w:tc>
          <w:tcPr>
            <w:tcW w:w="1581" w:type="dxa"/>
            <w:tcBorders>
              <w:bottom w:val="single" w:sz="8" w:space="0" w:color="000000"/>
            </w:tcBorders>
          </w:tcPr>
          <w:p w14:paraId="7326CDC3" w14:textId="77777777" w:rsidR="00EF3DFB" w:rsidRDefault="00D27C17">
            <w:pPr>
              <w:pStyle w:val="TableParagraph"/>
              <w:spacing w:before="46" w:line="184" w:lineRule="exact"/>
              <w:ind w:left="798"/>
              <w:rPr>
                <w:b/>
                <w:sz w:val="16"/>
              </w:rPr>
            </w:pPr>
            <w:r>
              <w:rPr>
                <w:b/>
                <w:sz w:val="16"/>
              </w:rPr>
              <w:t>2020</w:t>
            </w:r>
          </w:p>
        </w:tc>
        <w:tc>
          <w:tcPr>
            <w:tcW w:w="1251" w:type="dxa"/>
            <w:tcBorders>
              <w:bottom w:val="single" w:sz="8" w:space="0" w:color="000000"/>
            </w:tcBorders>
          </w:tcPr>
          <w:p w14:paraId="7326CDC4" w14:textId="77777777" w:rsidR="00EF3DFB" w:rsidRDefault="00D27C17">
            <w:pPr>
              <w:pStyle w:val="TableParagraph"/>
              <w:spacing w:before="46" w:line="184" w:lineRule="exact"/>
              <w:ind w:left="473" w:right="418"/>
              <w:jc w:val="center"/>
              <w:rPr>
                <w:b/>
                <w:sz w:val="16"/>
              </w:rPr>
            </w:pPr>
            <w:r>
              <w:rPr>
                <w:b/>
                <w:sz w:val="16"/>
              </w:rPr>
              <w:t>2019</w:t>
            </w:r>
          </w:p>
        </w:tc>
      </w:tr>
      <w:tr w:rsidR="00EF3DFB" w14:paraId="7326CDC9" w14:textId="77777777">
        <w:trPr>
          <w:trHeight w:val="245"/>
        </w:trPr>
        <w:tc>
          <w:tcPr>
            <w:tcW w:w="7786" w:type="dxa"/>
            <w:shd w:val="clear" w:color="auto" w:fill="CCEDFF"/>
          </w:tcPr>
          <w:p w14:paraId="7326CDC6" w14:textId="77777777" w:rsidR="00EF3DFB" w:rsidRDefault="00D27C17">
            <w:pPr>
              <w:pStyle w:val="TableParagraph"/>
              <w:spacing w:line="215" w:lineRule="exact"/>
              <w:ind w:left="52"/>
              <w:rPr>
                <w:b/>
                <w:sz w:val="20"/>
              </w:rPr>
            </w:pPr>
            <w:r>
              <w:rPr>
                <w:b/>
                <w:sz w:val="20"/>
              </w:rPr>
              <w:t>Operating lease cost:</w:t>
            </w:r>
          </w:p>
        </w:tc>
        <w:tc>
          <w:tcPr>
            <w:tcW w:w="1581" w:type="dxa"/>
            <w:tcBorders>
              <w:top w:val="single" w:sz="8" w:space="0" w:color="000000"/>
            </w:tcBorders>
            <w:shd w:val="clear" w:color="auto" w:fill="CCEDFF"/>
          </w:tcPr>
          <w:p w14:paraId="7326CDC7" w14:textId="77777777" w:rsidR="00EF3DFB" w:rsidRDefault="00EF3DFB">
            <w:pPr>
              <w:pStyle w:val="TableParagraph"/>
              <w:rPr>
                <w:sz w:val="16"/>
              </w:rPr>
            </w:pPr>
          </w:p>
        </w:tc>
        <w:tc>
          <w:tcPr>
            <w:tcW w:w="1251" w:type="dxa"/>
            <w:tcBorders>
              <w:top w:val="single" w:sz="8" w:space="0" w:color="000000"/>
            </w:tcBorders>
            <w:shd w:val="clear" w:color="auto" w:fill="CCEDFF"/>
          </w:tcPr>
          <w:p w14:paraId="7326CDC8" w14:textId="77777777" w:rsidR="00EF3DFB" w:rsidRDefault="00EF3DFB">
            <w:pPr>
              <w:pStyle w:val="TableParagraph"/>
              <w:rPr>
                <w:sz w:val="16"/>
              </w:rPr>
            </w:pPr>
          </w:p>
        </w:tc>
      </w:tr>
      <w:tr w:rsidR="00EF3DFB" w14:paraId="7326CDCD" w14:textId="77777777">
        <w:trPr>
          <w:trHeight w:val="255"/>
        </w:trPr>
        <w:tc>
          <w:tcPr>
            <w:tcW w:w="7786" w:type="dxa"/>
          </w:tcPr>
          <w:p w14:paraId="7326CDCA" w14:textId="77777777" w:rsidR="00EF3DFB" w:rsidRDefault="00D27C17">
            <w:pPr>
              <w:pStyle w:val="TableParagraph"/>
              <w:spacing w:line="225" w:lineRule="exact"/>
              <w:ind w:left="292"/>
              <w:rPr>
                <w:sz w:val="20"/>
              </w:rPr>
            </w:pPr>
            <w:r>
              <w:rPr>
                <w:sz w:val="20"/>
              </w:rPr>
              <w:t>Operating lease cost (1)</w:t>
            </w:r>
          </w:p>
        </w:tc>
        <w:tc>
          <w:tcPr>
            <w:tcW w:w="1581" w:type="dxa"/>
          </w:tcPr>
          <w:p w14:paraId="7326CDCB" w14:textId="77777777" w:rsidR="00EF3DFB" w:rsidRDefault="00D27C17">
            <w:pPr>
              <w:pStyle w:val="TableParagraph"/>
              <w:tabs>
                <w:tab w:val="left" w:pos="765"/>
              </w:tabs>
              <w:spacing w:line="225" w:lineRule="exact"/>
              <w:ind w:right="101"/>
              <w:jc w:val="right"/>
              <w:rPr>
                <w:sz w:val="20"/>
              </w:rPr>
            </w:pPr>
            <w:r>
              <w:rPr>
                <w:sz w:val="20"/>
              </w:rPr>
              <w:t>$</w:t>
            </w:r>
            <w:r>
              <w:rPr>
                <w:sz w:val="20"/>
              </w:rPr>
              <w:tab/>
              <w:t>180</w:t>
            </w:r>
          </w:p>
        </w:tc>
        <w:tc>
          <w:tcPr>
            <w:tcW w:w="1251" w:type="dxa"/>
          </w:tcPr>
          <w:p w14:paraId="7326CDCC" w14:textId="77777777" w:rsidR="00EF3DFB" w:rsidRDefault="00D27C17">
            <w:pPr>
              <w:pStyle w:val="TableParagraph"/>
              <w:tabs>
                <w:tab w:val="left" w:pos="765"/>
              </w:tabs>
              <w:spacing w:line="225" w:lineRule="exact"/>
              <w:ind w:right="77"/>
              <w:jc w:val="right"/>
              <w:rPr>
                <w:sz w:val="20"/>
              </w:rPr>
            </w:pPr>
            <w:r>
              <w:rPr>
                <w:sz w:val="20"/>
              </w:rPr>
              <w:t>$</w:t>
            </w:r>
            <w:r>
              <w:rPr>
                <w:sz w:val="20"/>
              </w:rPr>
              <w:tab/>
              <w:t>207</w:t>
            </w:r>
          </w:p>
        </w:tc>
      </w:tr>
      <w:tr w:rsidR="00EF3DFB" w14:paraId="7326CDD1" w14:textId="77777777">
        <w:trPr>
          <w:trHeight w:val="255"/>
        </w:trPr>
        <w:tc>
          <w:tcPr>
            <w:tcW w:w="7786" w:type="dxa"/>
            <w:shd w:val="clear" w:color="auto" w:fill="CCEDFF"/>
          </w:tcPr>
          <w:p w14:paraId="7326CDCE" w14:textId="77777777" w:rsidR="00EF3DFB" w:rsidRDefault="00D27C17">
            <w:pPr>
              <w:pStyle w:val="TableParagraph"/>
              <w:spacing w:line="225" w:lineRule="exact"/>
              <w:ind w:left="292"/>
              <w:rPr>
                <w:sz w:val="20"/>
              </w:rPr>
            </w:pPr>
            <w:r>
              <w:rPr>
                <w:sz w:val="20"/>
              </w:rPr>
              <w:t>Variable lease costs (2)</w:t>
            </w:r>
          </w:p>
        </w:tc>
        <w:tc>
          <w:tcPr>
            <w:tcW w:w="1581" w:type="dxa"/>
            <w:shd w:val="clear" w:color="auto" w:fill="CCEDFF"/>
          </w:tcPr>
          <w:p w14:paraId="7326CDCF" w14:textId="77777777" w:rsidR="00EF3DFB" w:rsidRDefault="00D27C17">
            <w:pPr>
              <w:pStyle w:val="TableParagraph"/>
              <w:spacing w:line="225" w:lineRule="exact"/>
              <w:ind w:right="101"/>
              <w:jc w:val="right"/>
              <w:rPr>
                <w:sz w:val="20"/>
              </w:rPr>
            </w:pPr>
            <w:r>
              <w:rPr>
                <w:sz w:val="20"/>
              </w:rPr>
              <w:t>25</w:t>
            </w:r>
          </w:p>
        </w:tc>
        <w:tc>
          <w:tcPr>
            <w:tcW w:w="1251" w:type="dxa"/>
            <w:shd w:val="clear" w:color="auto" w:fill="CCEDFF"/>
          </w:tcPr>
          <w:p w14:paraId="7326CDD0" w14:textId="77777777" w:rsidR="00EF3DFB" w:rsidRDefault="00D27C17">
            <w:pPr>
              <w:pStyle w:val="TableParagraph"/>
              <w:spacing w:line="225" w:lineRule="exact"/>
              <w:ind w:right="77"/>
              <w:jc w:val="right"/>
              <w:rPr>
                <w:sz w:val="20"/>
              </w:rPr>
            </w:pPr>
            <w:r>
              <w:rPr>
                <w:sz w:val="20"/>
              </w:rPr>
              <w:t>26</w:t>
            </w:r>
          </w:p>
        </w:tc>
      </w:tr>
    </w:tbl>
    <w:p w14:paraId="7326CDD2" w14:textId="406E3CCF" w:rsidR="00EF3DFB" w:rsidRDefault="00D27C17">
      <w:pPr>
        <w:pStyle w:val="Heading2"/>
        <w:ind w:left="242"/>
        <w:jc w:val="left"/>
      </w:pPr>
      <w:r>
        <w:rPr>
          <w:noProof/>
        </w:rPr>
        <mc:AlternateContent>
          <mc:Choice Requires="wps">
            <w:drawing>
              <wp:anchor distT="0" distB="0" distL="0" distR="0" simplePos="0" relativeHeight="3952" behindDoc="0" locked="0" layoutInCell="1" allowOverlap="1" wp14:anchorId="7326D76B" wp14:editId="492C3807">
                <wp:simplePos x="0" y="0"/>
                <wp:positionH relativeFrom="page">
                  <wp:posOffset>514350</wp:posOffset>
                </wp:positionH>
                <wp:positionV relativeFrom="paragraph">
                  <wp:posOffset>165100</wp:posOffset>
                </wp:positionV>
                <wp:extent cx="6743700" cy="161925"/>
                <wp:effectExtent l="0" t="3810" r="0" b="0"/>
                <wp:wrapTopAndBottom/>
                <wp:docPr id="24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192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D93A" w14:textId="77777777" w:rsidR="00EF3DFB" w:rsidRDefault="00D27C17">
                            <w:pPr>
                              <w:pStyle w:val="BodyText"/>
                              <w:tabs>
                                <w:tab w:val="left" w:pos="9163"/>
                                <w:tab w:val="right" w:pos="10538"/>
                              </w:tabs>
                              <w:spacing w:line="225" w:lineRule="exact"/>
                              <w:ind w:left="292"/>
                            </w:pPr>
                            <w:r>
                              <w:t>Amortization of</w:t>
                            </w:r>
                            <w:r>
                              <w:rPr>
                                <w:spacing w:val="-7"/>
                              </w:rPr>
                              <w:t xml:space="preserve"> </w:t>
                            </w:r>
                            <w:r>
                              <w:t>leased</w:t>
                            </w:r>
                            <w:r>
                              <w:rPr>
                                <w:spacing w:val="-4"/>
                              </w:rPr>
                              <w:t xml:space="preserve"> </w:t>
                            </w:r>
                            <w:r>
                              <w:t>assets</w:t>
                            </w:r>
                            <w:r>
                              <w:tab/>
                              <w:t>4</w:t>
                            </w:r>
                            <w: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6B" id="Text Box 224" o:spid="_x0000_s1038" type="#_x0000_t202" style="position:absolute;left:0;text-align:left;margin-left:40.5pt;margin-top:13pt;width:531pt;height:12.75pt;z-index: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" fillcolor="#ccedff" stroked="f">
                <v:textbox inset="0,0,0,0">
                  <w:txbxContent>
                    <w:p w14:paraId="7326D93A" w14:textId="77777777" w:rsidR="00EF3DFB" w:rsidRDefault="00D27C17">
                      <w:pPr>
                        <w:pStyle w:val="BodyText"/>
                        <w:tabs>
                          <w:tab w:val="left" w:pos="9163"/>
                          <w:tab w:val="right" w:pos="10538"/>
                        </w:tabs>
                        <w:spacing w:line="225" w:lineRule="exact"/>
                        <w:ind w:left="292"/>
                      </w:pPr>
                      <w:r>
                        <w:t>Amortization of</w:t>
                      </w:r>
                      <w:r>
                        <w:rPr>
                          <w:spacing w:val="-7"/>
                        </w:rPr>
                        <w:t xml:space="preserve"> </w:t>
                      </w:r>
                      <w:r>
                        <w:t>leased</w:t>
                      </w:r>
                      <w:r>
                        <w:rPr>
                          <w:spacing w:val="-4"/>
                        </w:rPr>
                        <w:t xml:space="preserve"> </w:t>
                      </w:r>
                      <w:r>
                        <w:t>assets</w:t>
                      </w:r>
                      <w:r>
                        <w:tab/>
                        <w:t>4</w:t>
                      </w:r>
                      <w:r>
                        <w:tab/>
                        <w:t>5</w:t>
                      </w:r>
                    </w:p>
                  </w:txbxContent>
                </v:textbox>
                <w10:wrap type="topAndBottom" anchorx="page"/>
              </v:shape>
            </w:pict>
          </mc:Fallback>
        </mc:AlternateContent>
      </w:r>
      <w:r>
        <w:t>Finance lease cost</w:t>
      </w:r>
    </w:p>
    <w:p w14:paraId="7326CDD3" w14:textId="77777777" w:rsidR="00EF3DFB" w:rsidRDefault="00EF3DFB">
      <w:pPr>
        <w:pStyle w:val="BodyText"/>
        <w:spacing w:before="4"/>
        <w:rPr>
          <w:b/>
          <w:sz w:val="6"/>
        </w:rPr>
      </w:pPr>
    </w:p>
    <w:p w14:paraId="7326CDD4" w14:textId="77777777" w:rsidR="00EF3DFB" w:rsidRDefault="00D27C17">
      <w:pPr>
        <w:pStyle w:val="ListParagraph"/>
        <w:numPr>
          <w:ilvl w:val="0"/>
          <w:numId w:val="19"/>
        </w:numPr>
        <w:tabs>
          <w:tab w:val="left" w:pos="910"/>
        </w:tabs>
        <w:spacing w:before="93"/>
        <w:rPr>
          <w:sz w:val="16"/>
        </w:rPr>
      </w:pPr>
      <w:r>
        <w:rPr>
          <w:sz w:val="16"/>
        </w:rPr>
        <w:t>Includes short-term leases, which are</w:t>
      </w:r>
      <w:r>
        <w:rPr>
          <w:spacing w:val="-2"/>
          <w:sz w:val="16"/>
        </w:rPr>
        <w:t xml:space="preserve"> </w:t>
      </w:r>
      <w:r>
        <w:rPr>
          <w:sz w:val="16"/>
        </w:rPr>
        <w:t>immaterial.</w:t>
      </w:r>
    </w:p>
    <w:p w14:paraId="7326CDD5" w14:textId="77777777" w:rsidR="00EF3DFB" w:rsidRDefault="00D27C17">
      <w:pPr>
        <w:pStyle w:val="ListParagraph"/>
        <w:numPr>
          <w:ilvl w:val="0"/>
          <w:numId w:val="19"/>
        </w:numPr>
        <w:tabs>
          <w:tab w:val="left" w:pos="910"/>
        </w:tabs>
        <w:spacing w:before="128" w:line="249" w:lineRule="auto"/>
        <w:ind w:right="164"/>
        <w:rPr>
          <w:sz w:val="16"/>
        </w:rPr>
      </w:pPr>
      <w:r>
        <w:rPr>
          <w:sz w:val="16"/>
        </w:rPr>
        <w:t>Consists primarily of additional payments for non-lease components, such as maintenance costs, payments of taxes and additional rent based on a level of the Company’s retail store</w:t>
      </w:r>
      <w:r>
        <w:rPr>
          <w:spacing w:val="-2"/>
          <w:sz w:val="16"/>
        </w:rPr>
        <w:t xml:space="preserve"> </w:t>
      </w:r>
      <w:r>
        <w:rPr>
          <w:sz w:val="16"/>
        </w:rPr>
        <w:t>sales.</w:t>
      </w:r>
    </w:p>
    <w:p w14:paraId="7326CDD6" w14:textId="77777777" w:rsidR="00EF3DFB" w:rsidRDefault="00D27C17">
      <w:pPr>
        <w:pStyle w:val="BodyText"/>
        <w:spacing w:before="112"/>
        <w:ind w:left="190"/>
      </w:pPr>
      <w:r>
        <w:t>Rent expense for continuing operations for the year ended December 31, 2018 was $227 million.</w:t>
      </w:r>
    </w:p>
    <w:p w14:paraId="7326CDD7" w14:textId="77777777" w:rsidR="00EF3DFB" w:rsidRDefault="00EF3DFB">
      <w:pPr>
        <w:pStyle w:val="BodyText"/>
        <w:spacing w:before="5"/>
        <w:rPr>
          <w:sz w:val="22"/>
        </w:rPr>
      </w:pPr>
    </w:p>
    <w:tbl>
      <w:tblPr>
        <w:tblW w:w="0" w:type="auto"/>
        <w:tblInd w:w="190" w:type="dxa"/>
        <w:tblLayout w:type="fixed"/>
        <w:tblCellMar>
          <w:left w:w="0" w:type="dxa"/>
          <w:right w:w="0" w:type="dxa"/>
        </w:tblCellMar>
        <w:tblLook w:val="01E0" w:firstRow="1" w:lastRow="1" w:firstColumn="1" w:lastColumn="1" w:noHBand="0" w:noVBand="0"/>
      </w:tblPr>
      <w:tblGrid>
        <w:gridCol w:w="7192"/>
        <w:gridCol w:w="2216"/>
        <w:gridCol w:w="1211"/>
      </w:tblGrid>
      <w:tr w:rsidR="00EF3DFB" w14:paraId="7326CDDA" w14:textId="77777777">
        <w:trPr>
          <w:trHeight w:val="324"/>
        </w:trPr>
        <w:tc>
          <w:tcPr>
            <w:tcW w:w="7192" w:type="dxa"/>
          </w:tcPr>
          <w:p w14:paraId="7326CDD8" w14:textId="77777777" w:rsidR="00EF3DFB" w:rsidRDefault="00D27C17">
            <w:pPr>
              <w:pStyle w:val="TableParagraph"/>
              <w:spacing w:line="221" w:lineRule="exact"/>
              <w:rPr>
                <w:sz w:val="20"/>
              </w:rPr>
            </w:pPr>
            <w:r>
              <w:rPr>
                <w:sz w:val="20"/>
              </w:rPr>
              <w:t>Remaining lease term and discount rates at December 31, are as follows:</w:t>
            </w:r>
          </w:p>
        </w:tc>
        <w:tc>
          <w:tcPr>
            <w:tcW w:w="3427" w:type="dxa"/>
            <w:gridSpan w:val="2"/>
          </w:tcPr>
          <w:p w14:paraId="7326CDD9" w14:textId="77777777" w:rsidR="00EF3DFB" w:rsidRDefault="00EF3DFB">
            <w:pPr>
              <w:pStyle w:val="TableParagraph"/>
              <w:rPr>
                <w:sz w:val="18"/>
              </w:rPr>
            </w:pPr>
          </w:p>
        </w:tc>
      </w:tr>
      <w:tr w:rsidR="00EF3DFB" w14:paraId="7326CDDE" w14:textId="77777777">
        <w:trPr>
          <w:trHeight w:val="300"/>
        </w:trPr>
        <w:tc>
          <w:tcPr>
            <w:tcW w:w="7192" w:type="dxa"/>
          </w:tcPr>
          <w:p w14:paraId="7326CDDB" w14:textId="77777777" w:rsidR="00EF3DFB" w:rsidRDefault="00EF3DFB">
            <w:pPr>
              <w:pStyle w:val="TableParagraph"/>
              <w:rPr>
                <w:sz w:val="18"/>
              </w:rPr>
            </w:pPr>
          </w:p>
        </w:tc>
        <w:tc>
          <w:tcPr>
            <w:tcW w:w="2216" w:type="dxa"/>
            <w:tcBorders>
              <w:bottom w:val="single" w:sz="8" w:space="0" w:color="000000"/>
            </w:tcBorders>
          </w:tcPr>
          <w:p w14:paraId="7326CDDC" w14:textId="77777777" w:rsidR="00EF3DFB" w:rsidRDefault="00D27C17">
            <w:pPr>
              <w:pStyle w:val="TableParagraph"/>
              <w:spacing w:before="96" w:line="184" w:lineRule="exact"/>
              <w:ind w:left="1358" w:right="398"/>
              <w:jc w:val="center"/>
              <w:rPr>
                <w:b/>
                <w:sz w:val="16"/>
              </w:rPr>
            </w:pPr>
            <w:r>
              <w:rPr>
                <w:b/>
                <w:sz w:val="16"/>
              </w:rPr>
              <w:t>2020</w:t>
            </w:r>
          </w:p>
        </w:tc>
        <w:tc>
          <w:tcPr>
            <w:tcW w:w="1211" w:type="dxa"/>
            <w:tcBorders>
              <w:bottom w:val="single" w:sz="8" w:space="0" w:color="000000"/>
            </w:tcBorders>
          </w:tcPr>
          <w:p w14:paraId="7326CDDD" w14:textId="77777777" w:rsidR="00EF3DFB" w:rsidRDefault="00D27C17">
            <w:pPr>
              <w:pStyle w:val="TableParagraph"/>
              <w:spacing w:before="96" w:line="184" w:lineRule="exact"/>
              <w:ind w:left="402" w:right="349"/>
              <w:jc w:val="center"/>
              <w:rPr>
                <w:b/>
                <w:sz w:val="16"/>
              </w:rPr>
            </w:pPr>
            <w:r>
              <w:rPr>
                <w:b/>
                <w:sz w:val="16"/>
              </w:rPr>
              <w:t>2019</w:t>
            </w:r>
          </w:p>
        </w:tc>
      </w:tr>
      <w:tr w:rsidR="00EF3DFB" w14:paraId="7326CDE2" w14:textId="77777777">
        <w:trPr>
          <w:trHeight w:val="245"/>
        </w:trPr>
        <w:tc>
          <w:tcPr>
            <w:tcW w:w="7192" w:type="dxa"/>
            <w:shd w:val="clear" w:color="auto" w:fill="CCEDFF"/>
          </w:tcPr>
          <w:p w14:paraId="7326CDDF" w14:textId="77777777" w:rsidR="00EF3DFB" w:rsidRDefault="00D27C17">
            <w:pPr>
              <w:pStyle w:val="TableParagraph"/>
              <w:spacing w:line="215" w:lineRule="exact"/>
              <w:ind w:left="52"/>
              <w:rPr>
                <w:b/>
                <w:sz w:val="20"/>
              </w:rPr>
            </w:pPr>
            <w:r>
              <w:rPr>
                <w:b/>
                <w:sz w:val="20"/>
              </w:rPr>
              <w:t>Weighted-average remaining lease term (years):</w:t>
            </w:r>
          </w:p>
        </w:tc>
        <w:tc>
          <w:tcPr>
            <w:tcW w:w="2216" w:type="dxa"/>
            <w:tcBorders>
              <w:top w:val="single" w:sz="8" w:space="0" w:color="000000"/>
            </w:tcBorders>
            <w:shd w:val="clear" w:color="auto" w:fill="CCEDFF"/>
          </w:tcPr>
          <w:p w14:paraId="7326CDE0" w14:textId="77777777" w:rsidR="00EF3DFB" w:rsidRDefault="00EF3DFB">
            <w:pPr>
              <w:pStyle w:val="TableParagraph"/>
              <w:rPr>
                <w:sz w:val="16"/>
              </w:rPr>
            </w:pPr>
          </w:p>
        </w:tc>
        <w:tc>
          <w:tcPr>
            <w:tcW w:w="1211" w:type="dxa"/>
            <w:tcBorders>
              <w:top w:val="single" w:sz="8" w:space="0" w:color="000000"/>
            </w:tcBorders>
            <w:shd w:val="clear" w:color="auto" w:fill="CCEDFF"/>
          </w:tcPr>
          <w:p w14:paraId="7326CDE1" w14:textId="77777777" w:rsidR="00EF3DFB" w:rsidRDefault="00EF3DFB">
            <w:pPr>
              <w:pStyle w:val="TableParagraph"/>
              <w:rPr>
                <w:sz w:val="16"/>
              </w:rPr>
            </w:pPr>
          </w:p>
        </w:tc>
      </w:tr>
      <w:tr w:rsidR="00EF3DFB" w14:paraId="7326CDE6" w14:textId="77777777">
        <w:trPr>
          <w:trHeight w:val="255"/>
        </w:trPr>
        <w:tc>
          <w:tcPr>
            <w:tcW w:w="7192" w:type="dxa"/>
          </w:tcPr>
          <w:p w14:paraId="7326CDE3" w14:textId="77777777" w:rsidR="00EF3DFB" w:rsidRDefault="00D27C17">
            <w:pPr>
              <w:pStyle w:val="TableParagraph"/>
              <w:spacing w:line="225" w:lineRule="exact"/>
              <w:ind w:left="307"/>
              <w:rPr>
                <w:sz w:val="20"/>
              </w:rPr>
            </w:pPr>
            <w:r>
              <w:rPr>
                <w:sz w:val="20"/>
              </w:rPr>
              <w:t>Operating leases</w:t>
            </w:r>
          </w:p>
        </w:tc>
        <w:tc>
          <w:tcPr>
            <w:tcW w:w="2216" w:type="dxa"/>
          </w:tcPr>
          <w:p w14:paraId="7326CDE4" w14:textId="77777777" w:rsidR="00EF3DFB" w:rsidRDefault="00D27C17">
            <w:pPr>
              <w:pStyle w:val="TableParagraph"/>
              <w:spacing w:line="225" w:lineRule="exact"/>
              <w:ind w:left="920"/>
              <w:jc w:val="center"/>
              <w:rPr>
                <w:sz w:val="20"/>
              </w:rPr>
            </w:pPr>
            <w:r>
              <w:rPr>
                <w:sz w:val="20"/>
              </w:rPr>
              <w:t>6</w:t>
            </w:r>
          </w:p>
        </w:tc>
        <w:tc>
          <w:tcPr>
            <w:tcW w:w="1211" w:type="dxa"/>
          </w:tcPr>
          <w:p w14:paraId="7326CDE5" w14:textId="77777777" w:rsidR="00EF3DFB" w:rsidRDefault="00D27C17">
            <w:pPr>
              <w:pStyle w:val="TableParagraph"/>
              <w:spacing w:line="225" w:lineRule="exact"/>
              <w:ind w:left="13"/>
              <w:jc w:val="center"/>
              <w:rPr>
                <w:sz w:val="20"/>
              </w:rPr>
            </w:pPr>
            <w:r>
              <w:rPr>
                <w:sz w:val="20"/>
              </w:rPr>
              <w:t>7</w:t>
            </w:r>
          </w:p>
        </w:tc>
      </w:tr>
      <w:tr w:rsidR="00EF3DFB" w14:paraId="7326CDEA" w14:textId="77777777">
        <w:trPr>
          <w:trHeight w:val="255"/>
        </w:trPr>
        <w:tc>
          <w:tcPr>
            <w:tcW w:w="7192" w:type="dxa"/>
            <w:shd w:val="clear" w:color="auto" w:fill="CCEDFF"/>
          </w:tcPr>
          <w:p w14:paraId="7326CDE7" w14:textId="77777777" w:rsidR="00EF3DFB" w:rsidRDefault="00D27C17">
            <w:pPr>
              <w:pStyle w:val="TableParagraph"/>
              <w:spacing w:line="225" w:lineRule="exact"/>
              <w:ind w:left="307"/>
              <w:rPr>
                <w:sz w:val="20"/>
              </w:rPr>
            </w:pPr>
            <w:r>
              <w:rPr>
                <w:sz w:val="20"/>
              </w:rPr>
              <w:t>Finance leases</w:t>
            </w:r>
          </w:p>
        </w:tc>
        <w:tc>
          <w:tcPr>
            <w:tcW w:w="2216" w:type="dxa"/>
            <w:shd w:val="clear" w:color="auto" w:fill="CCEDFF"/>
          </w:tcPr>
          <w:p w14:paraId="7326CDE8" w14:textId="77777777" w:rsidR="00EF3DFB" w:rsidRDefault="00D27C17">
            <w:pPr>
              <w:pStyle w:val="TableParagraph"/>
              <w:spacing w:line="225" w:lineRule="exact"/>
              <w:ind w:left="920"/>
              <w:jc w:val="center"/>
              <w:rPr>
                <w:sz w:val="20"/>
              </w:rPr>
            </w:pPr>
            <w:r>
              <w:rPr>
                <w:sz w:val="20"/>
              </w:rPr>
              <w:t>2</w:t>
            </w:r>
          </w:p>
        </w:tc>
        <w:tc>
          <w:tcPr>
            <w:tcW w:w="1211" w:type="dxa"/>
            <w:shd w:val="clear" w:color="auto" w:fill="CCEDFF"/>
          </w:tcPr>
          <w:p w14:paraId="7326CDE9" w14:textId="77777777" w:rsidR="00EF3DFB" w:rsidRDefault="00D27C17">
            <w:pPr>
              <w:pStyle w:val="TableParagraph"/>
              <w:spacing w:line="225" w:lineRule="exact"/>
              <w:ind w:left="13"/>
              <w:jc w:val="center"/>
              <w:rPr>
                <w:sz w:val="20"/>
              </w:rPr>
            </w:pPr>
            <w:r>
              <w:rPr>
                <w:sz w:val="20"/>
              </w:rPr>
              <w:t>3</w:t>
            </w:r>
          </w:p>
        </w:tc>
      </w:tr>
      <w:tr w:rsidR="00EF3DFB" w14:paraId="7326CDEE" w14:textId="77777777">
        <w:trPr>
          <w:trHeight w:val="255"/>
        </w:trPr>
        <w:tc>
          <w:tcPr>
            <w:tcW w:w="7192" w:type="dxa"/>
          </w:tcPr>
          <w:p w14:paraId="7326CDEB" w14:textId="77777777" w:rsidR="00EF3DFB" w:rsidRDefault="00D27C17">
            <w:pPr>
              <w:pStyle w:val="TableParagraph"/>
              <w:spacing w:line="225" w:lineRule="exact"/>
              <w:ind w:left="52"/>
              <w:rPr>
                <w:b/>
                <w:sz w:val="20"/>
              </w:rPr>
            </w:pPr>
            <w:r>
              <w:rPr>
                <w:b/>
                <w:sz w:val="20"/>
              </w:rPr>
              <w:t>Weighted-average discount rate:</w:t>
            </w:r>
          </w:p>
        </w:tc>
        <w:tc>
          <w:tcPr>
            <w:tcW w:w="2216" w:type="dxa"/>
          </w:tcPr>
          <w:p w14:paraId="7326CDEC" w14:textId="77777777" w:rsidR="00EF3DFB" w:rsidRDefault="00EF3DFB">
            <w:pPr>
              <w:pStyle w:val="TableParagraph"/>
              <w:rPr>
                <w:sz w:val="18"/>
              </w:rPr>
            </w:pPr>
          </w:p>
        </w:tc>
        <w:tc>
          <w:tcPr>
            <w:tcW w:w="1211" w:type="dxa"/>
          </w:tcPr>
          <w:p w14:paraId="7326CDED" w14:textId="77777777" w:rsidR="00EF3DFB" w:rsidRDefault="00EF3DFB">
            <w:pPr>
              <w:pStyle w:val="TableParagraph"/>
              <w:rPr>
                <w:sz w:val="18"/>
              </w:rPr>
            </w:pPr>
          </w:p>
        </w:tc>
      </w:tr>
      <w:tr w:rsidR="00EF3DFB" w14:paraId="7326CDF2" w14:textId="77777777">
        <w:trPr>
          <w:trHeight w:val="255"/>
        </w:trPr>
        <w:tc>
          <w:tcPr>
            <w:tcW w:w="7192" w:type="dxa"/>
            <w:shd w:val="clear" w:color="auto" w:fill="CCEDFF"/>
          </w:tcPr>
          <w:p w14:paraId="7326CDEF" w14:textId="77777777" w:rsidR="00EF3DFB" w:rsidRDefault="00D27C17">
            <w:pPr>
              <w:pStyle w:val="TableParagraph"/>
              <w:spacing w:line="225" w:lineRule="exact"/>
              <w:ind w:left="307"/>
              <w:rPr>
                <w:sz w:val="20"/>
              </w:rPr>
            </w:pPr>
            <w:r>
              <w:rPr>
                <w:sz w:val="20"/>
              </w:rPr>
              <w:t>Operating leases</w:t>
            </w:r>
          </w:p>
        </w:tc>
        <w:tc>
          <w:tcPr>
            <w:tcW w:w="2216" w:type="dxa"/>
            <w:shd w:val="clear" w:color="auto" w:fill="CCEDFF"/>
          </w:tcPr>
          <w:p w14:paraId="7326CDF0" w14:textId="77777777" w:rsidR="00EF3DFB" w:rsidRDefault="00D27C17">
            <w:pPr>
              <w:pStyle w:val="TableParagraph"/>
              <w:spacing w:line="225" w:lineRule="exact"/>
              <w:ind w:left="1358" w:right="401"/>
              <w:jc w:val="center"/>
              <w:rPr>
                <w:sz w:val="20"/>
              </w:rPr>
            </w:pPr>
            <w:r>
              <w:rPr>
                <w:sz w:val="20"/>
              </w:rPr>
              <w:t>4.2%</w:t>
            </w:r>
          </w:p>
        </w:tc>
        <w:tc>
          <w:tcPr>
            <w:tcW w:w="1211" w:type="dxa"/>
            <w:shd w:val="clear" w:color="auto" w:fill="CCEDFF"/>
          </w:tcPr>
          <w:p w14:paraId="7326CDF1" w14:textId="77777777" w:rsidR="00EF3DFB" w:rsidRDefault="00D27C17">
            <w:pPr>
              <w:pStyle w:val="TableParagraph"/>
              <w:spacing w:line="225" w:lineRule="exact"/>
              <w:ind w:left="402" w:right="352"/>
              <w:jc w:val="center"/>
              <w:rPr>
                <w:sz w:val="20"/>
              </w:rPr>
            </w:pPr>
            <w:r>
              <w:rPr>
                <w:sz w:val="20"/>
              </w:rPr>
              <w:t>4.3%</w:t>
            </w:r>
          </w:p>
        </w:tc>
      </w:tr>
      <w:tr w:rsidR="00EF3DFB" w14:paraId="7326CDF6" w14:textId="77777777">
        <w:trPr>
          <w:trHeight w:val="225"/>
        </w:trPr>
        <w:tc>
          <w:tcPr>
            <w:tcW w:w="7192" w:type="dxa"/>
          </w:tcPr>
          <w:p w14:paraId="7326CDF3" w14:textId="77777777" w:rsidR="00EF3DFB" w:rsidRDefault="00D27C17">
            <w:pPr>
              <w:pStyle w:val="TableParagraph"/>
              <w:spacing w:line="205" w:lineRule="exact"/>
              <w:ind w:left="307"/>
              <w:rPr>
                <w:sz w:val="20"/>
              </w:rPr>
            </w:pPr>
            <w:r>
              <w:rPr>
                <w:sz w:val="20"/>
              </w:rPr>
              <w:t>Finance leases</w:t>
            </w:r>
          </w:p>
        </w:tc>
        <w:tc>
          <w:tcPr>
            <w:tcW w:w="2216" w:type="dxa"/>
          </w:tcPr>
          <w:p w14:paraId="7326CDF4" w14:textId="77777777" w:rsidR="00EF3DFB" w:rsidRDefault="00D27C17">
            <w:pPr>
              <w:pStyle w:val="TableParagraph"/>
              <w:spacing w:line="205" w:lineRule="exact"/>
              <w:ind w:left="1358" w:right="401"/>
              <w:jc w:val="center"/>
              <w:rPr>
                <w:sz w:val="20"/>
              </w:rPr>
            </w:pPr>
            <w:r>
              <w:rPr>
                <w:sz w:val="20"/>
              </w:rPr>
              <w:t>3.4%</w:t>
            </w:r>
          </w:p>
        </w:tc>
        <w:tc>
          <w:tcPr>
            <w:tcW w:w="1211" w:type="dxa"/>
          </w:tcPr>
          <w:p w14:paraId="7326CDF5" w14:textId="77777777" w:rsidR="00EF3DFB" w:rsidRDefault="00D27C17">
            <w:pPr>
              <w:pStyle w:val="TableParagraph"/>
              <w:spacing w:line="205" w:lineRule="exact"/>
              <w:ind w:left="402" w:right="352"/>
              <w:jc w:val="center"/>
              <w:rPr>
                <w:sz w:val="20"/>
              </w:rPr>
            </w:pPr>
            <w:r>
              <w:rPr>
                <w:sz w:val="20"/>
              </w:rPr>
              <w:t>3.5%</w:t>
            </w:r>
          </w:p>
        </w:tc>
      </w:tr>
    </w:tbl>
    <w:p w14:paraId="7326CDF7" w14:textId="77777777" w:rsidR="00EF3DFB" w:rsidRDefault="00EF3DFB">
      <w:pPr>
        <w:pStyle w:val="BodyText"/>
        <w:spacing w:before="11"/>
        <w:rPr>
          <w:sz w:val="27"/>
        </w:rPr>
      </w:pPr>
    </w:p>
    <w:p w14:paraId="7326CDF8" w14:textId="77777777" w:rsidR="00EF3DFB" w:rsidRDefault="00D27C17">
      <w:pPr>
        <w:pStyle w:val="BodyText"/>
        <w:ind w:left="190"/>
      </w:pPr>
      <w:r>
        <w:t>Supplemental cash flow information related to leases for the years ended December 31, are as follows (in millions):</w:t>
      </w:r>
    </w:p>
    <w:p w14:paraId="7326CDF9" w14:textId="34764D16" w:rsidR="00EF3DFB" w:rsidRDefault="00D27C17">
      <w:pPr>
        <w:tabs>
          <w:tab w:val="left" w:pos="1259"/>
        </w:tabs>
        <w:spacing w:before="159"/>
        <w:ind w:right="589"/>
        <w:jc w:val="right"/>
        <w:rPr>
          <w:b/>
          <w:sz w:val="16"/>
        </w:rPr>
      </w:pPr>
      <w:r>
        <w:rPr>
          <w:noProof/>
        </w:rPr>
        <mc:AlternateContent>
          <mc:Choice Requires="wps">
            <w:drawing>
              <wp:anchor distT="0" distB="0" distL="0" distR="0" simplePos="0" relativeHeight="3976" behindDoc="0" locked="0" layoutInCell="1" allowOverlap="1" wp14:anchorId="7326D76C" wp14:editId="2438DCAB">
                <wp:simplePos x="0" y="0"/>
                <wp:positionH relativeFrom="page">
                  <wp:posOffset>514350</wp:posOffset>
                </wp:positionH>
                <wp:positionV relativeFrom="paragraph">
                  <wp:posOffset>243205</wp:posOffset>
                </wp:positionV>
                <wp:extent cx="6743700" cy="193675"/>
                <wp:effectExtent l="0" t="2540" r="0" b="3810"/>
                <wp:wrapTopAndBottom/>
                <wp:docPr id="24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6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D93B" w14:textId="77777777" w:rsidR="00EF3DFB" w:rsidRDefault="00D27C17">
                            <w:pPr>
                              <w:spacing w:before="45"/>
                              <w:ind w:left="52"/>
                              <w:rPr>
                                <w:b/>
                                <w:sz w:val="20"/>
                              </w:rPr>
                            </w:pPr>
                            <w:r>
                              <w:rPr>
                                <w:b/>
                                <w:sz w:val="20"/>
                              </w:rPr>
                              <w:t>Cash paid for amounts included in the measurement of lease 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6C" id="Text Box 223" o:spid="_x0000_s1039" type="#_x0000_t202" style="position:absolute;left:0;text-align:left;margin-left:40.5pt;margin-top:19.15pt;width:531pt;height:15.25pt;z-index:3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" fillcolor="#ccedff" stroked="f">
                <v:textbox inset="0,0,0,0">
                  <w:txbxContent>
                    <w:p w14:paraId="7326D93B" w14:textId="77777777" w:rsidR="00EF3DFB" w:rsidRDefault="00D27C17">
                      <w:pPr>
                        <w:spacing w:before="45"/>
                        <w:ind w:left="52"/>
                        <w:rPr>
                          <w:b/>
                          <w:sz w:val="20"/>
                        </w:rPr>
                      </w:pPr>
                      <w:r>
                        <w:rPr>
                          <w:b/>
                          <w:sz w:val="20"/>
                        </w:rPr>
                        <w:t>Cash paid for amounts included in the measurement of lease liabilities:</w:t>
                      </w:r>
                    </w:p>
                  </w:txbxContent>
                </v:textbox>
                <w10:wrap type="topAndBottom" anchorx="page"/>
              </v:shape>
            </w:pict>
          </mc:Fallback>
        </mc:AlternateContent>
      </w:r>
      <w:r>
        <w:rPr>
          <w:noProof/>
        </w:rPr>
        <mc:AlternateContent>
          <mc:Choice Requires="wpg">
            <w:drawing>
              <wp:anchor distT="0" distB="0" distL="114300" distR="114300" simplePos="0" relativeHeight="4048" behindDoc="0" locked="0" layoutInCell="1" allowOverlap="1" wp14:anchorId="7326D76D" wp14:editId="41228153">
                <wp:simplePos x="0" y="0"/>
                <wp:positionH relativeFrom="page">
                  <wp:posOffset>5695950</wp:posOffset>
                </wp:positionH>
                <wp:positionV relativeFrom="paragraph">
                  <wp:posOffset>230505</wp:posOffset>
                </wp:positionV>
                <wp:extent cx="1562100" cy="12700"/>
                <wp:effectExtent l="9525" t="8890" r="9525" b="6985"/>
                <wp:wrapNone/>
                <wp:docPr id="23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2700"/>
                          <a:chOff x="8970" y="363"/>
                          <a:chExt cx="2460" cy="20"/>
                        </a:xfrm>
                      </wpg:grpSpPr>
                      <wps:wsp>
                        <wps:cNvPr id="236" name="Line 222"/>
                        <wps:cNvCnPr>
                          <a:cxnSpLocks noChangeShapeType="1"/>
                        </wps:cNvCnPr>
                        <wps:spPr bwMode="auto">
                          <a:xfrm>
                            <a:off x="8970" y="373"/>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21"/>
                        <wps:cNvCnPr>
                          <a:cxnSpLocks noChangeShapeType="1"/>
                        </wps:cNvCnPr>
                        <wps:spPr bwMode="auto">
                          <a:xfrm>
                            <a:off x="8970" y="373"/>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20"/>
                        <wps:cNvCnPr>
                          <a:cxnSpLocks noChangeShapeType="1"/>
                        </wps:cNvCnPr>
                        <wps:spPr bwMode="auto">
                          <a:xfrm>
                            <a:off x="10230" y="373"/>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19"/>
                        <wps:cNvCnPr>
                          <a:cxnSpLocks noChangeShapeType="1"/>
                        </wps:cNvCnPr>
                        <wps:spPr bwMode="auto">
                          <a:xfrm>
                            <a:off x="10230" y="373"/>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910AF" id="Group 218" o:spid="_x0000_s1026" style="position:absolute;margin-left:448.5pt;margin-top:18.15pt;width:123pt;height:1pt;z-index:4048;mso-position-horizontal-relative:page" coordorigin="8970,363" coordsize="2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">
                <v:line id="Line 222" o:spid="_x0000_s1027" style="position:absolute;visibility:visible;mso-wrap-style:square" from="8970,373" to="1017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iuxAAAANwAAAAPAAAAZHJzL2Rvd25yZXYueG1sRI9Ba8JA&#10;FITvBf/D8gq96UaL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Mtq6K7EAAAA3AAAAA8A&#10;AAAAAAAAAAAAAAAABwIAAGRycy9kb3ducmV2LnhtbFBLBQYAAAAAAwADALcAAAD4AgAAAAA=&#10;" strokeweight="0"/>
                <v:line id="Line 221" o:spid="_x0000_s1028" style="position:absolute;visibility:visible;mso-wrap-style:square" from="8970,373" to="1017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XSxQAAANwAAAAPAAAAZHJzL2Rvd25yZXYueG1sRI/dagIx&#10;FITvBd8hHKF3NauF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B6YJXSxQAAANwAAAAP&#10;AAAAAAAAAAAAAAAAAAcCAABkcnMvZG93bnJldi54bWxQSwUGAAAAAAMAAwC3AAAA+QIAAAAA&#10;" strokeweight="1pt"/>
                <v:line id="Line 220" o:spid="_x0000_s1029" style="position:absolute;visibility:visible;mso-wrap-style:square" from="10230,373" to="1143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lHwgAAANwAAAAPAAAAZHJzL2Rvd25yZXYueG1sRE/Pa8Iw&#10;FL4P/B/CE3abaZ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DVudlHwgAAANwAAAAPAAAA&#10;AAAAAAAAAAAAAAcCAABkcnMvZG93bnJldi54bWxQSwUGAAAAAAMAAwC3AAAA9gIAAAAA&#10;" strokeweight="0"/>
                <v:line id="Line 219" o:spid="_x0000_s1030" style="position:absolute;visibility:visible;mso-wrap-style:square" from="10230,373" to="1143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Q7xQAAANwAAAAPAAAAZHJzL2Rvd25yZXYueG1sRI/dagIx&#10;FITvC75DOELvalYL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Bks6Q7xQAAANwAAAAP&#10;AAAAAAAAAAAAAAAAAAcCAABkcnMvZG93bnJldi54bWxQSwUGAAAAAAMAAwC3AAAA+QIAAAAA&#10;" strokeweight="1pt"/>
                <w10:wrap anchorx="page"/>
              </v:group>
            </w:pict>
          </mc:Fallback>
        </mc:AlternateContent>
      </w:r>
      <w:r>
        <w:rPr>
          <w:b/>
          <w:sz w:val="16"/>
        </w:rPr>
        <w:t>2020</w:t>
      </w:r>
      <w:r>
        <w:rPr>
          <w:b/>
          <w:sz w:val="16"/>
        </w:rPr>
        <w:tab/>
        <w:t>2019</w:t>
      </w:r>
    </w:p>
    <w:p w14:paraId="7326CDFA" w14:textId="77777777" w:rsidR="00EF3DFB" w:rsidRDefault="00EF3DFB">
      <w:pPr>
        <w:pStyle w:val="BodyText"/>
        <w:spacing w:before="2"/>
        <w:rPr>
          <w:b/>
          <w:sz w:val="4"/>
        </w:rPr>
      </w:pPr>
    </w:p>
    <w:tbl>
      <w:tblPr>
        <w:tblW w:w="0" w:type="auto"/>
        <w:tblInd w:w="190" w:type="dxa"/>
        <w:tblLayout w:type="fixed"/>
        <w:tblCellMar>
          <w:left w:w="0" w:type="dxa"/>
          <w:right w:w="0" w:type="dxa"/>
        </w:tblCellMar>
        <w:tblLook w:val="01E0" w:firstRow="1" w:lastRow="1" w:firstColumn="1" w:lastColumn="1" w:noHBand="0" w:noVBand="0"/>
      </w:tblPr>
      <w:tblGrid>
        <w:gridCol w:w="7300"/>
        <w:gridCol w:w="2101"/>
        <w:gridCol w:w="1219"/>
      </w:tblGrid>
      <w:tr w:rsidR="00EF3DFB" w14:paraId="7326CDFE" w14:textId="77777777">
        <w:trPr>
          <w:trHeight w:val="251"/>
        </w:trPr>
        <w:tc>
          <w:tcPr>
            <w:tcW w:w="7300" w:type="dxa"/>
          </w:tcPr>
          <w:p w14:paraId="7326CDFB" w14:textId="77777777" w:rsidR="00EF3DFB" w:rsidRDefault="00D27C17">
            <w:pPr>
              <w:pStyle w:val="TableParagraph"/>
              <w:spacing w:line="221" w:lineRule="exact"/>
              <w:ind w:left="292"/>
              <w:rPr>
                <w:sz w:val="20"/>
              </w:rPr>
            </w:pPr>
            <w:r>
              <w:rPr>
                <w:sz w:val="20"/>
              </w:rPr>
              <w:t>Operating cash flows from operating leases</w:t>
            </w:r>
          </w:p>
        </w:tc>
        <w:tc>
          <w:tcPr>
            <w:tcW w:w="2101" w:type="dxa"/>
          </w:tcPr>
          <w:p w14:paraId="7326CDFC" w14:textId="77777777" w:rsidR="00EF3DFB" w:rsidRDefault="00D27C17">
            <w:pPr>
              <w:pStyle w:val="TableParagraph"/>
              <w:tabs>
                <w:tab w:val="left" w:pos="765"/>
              </w:tabs>
              <w:spacing w:line="221" w:lineRule="exact"/>
              <w:ind w:right="120"/>
              <w:jc w:val="right"/>
              <w:rPr>
                <w:sz w:val="20"/>
              </w:rPr>
            </w:pPr>
            <w:r>
              <w:rPr>
                <w:sz w:val="20"/>
              </w:rPr>
              <w:t>$</w:t>
            </w:r>
            <w:r>
              <w:rPr>
                <w:sz w:val="20"/>
              </w:rPr>
              <w:tab/>
              <w:t>177</w:t>
            </w:r>
          </w:p>
        </w:tc>
        <w:tc>
          <w:tcPr>
            <w:tcW w:w="1219" w:type="dxa"/>
          </w:tcPr>
          <w:p w14:paraId="7326CDFD" w14:textId="77777777" w:rsidR="00EF3DFB" w:rsidRDefault="00D27C17">
            <w:pPr>
              <w:pStyle w:val="TableParagraph"/>
              <w:tabs>
                <w:tab w:val="left" w:pos="765"/>
              </w:tabs>
              <w:spacing w:line="221" w:lineRule="exact"/>
              <w:ind w:right="79"/>
              <w:jc w:val="right"/>
              <w:rPr>
                <w:sz w:val="20"/>
              </w:rPr>
            </w:pPr>
            <w:r>
              <w:rPr>
                <w:sz w:val="20"/>
              </w:rPr>
              <w:t>$</w:t>
            </w:r>
            <w:r>
              <w:rPr>
                <w:sz w:val="20"/>
              </w:rPr>
              <w:tab/>
              <w:t>201</w:t>
            </w:r>
          </w:p>
        </w:tc>
      </w:tr>
      <w:tr w:rsidR="00EF3DFB" w14:paraId="7326CE02" w14:textId="77777777">
        <w:trPr>
          <w:trHeight w:val="315"/>
        </w:trPr>
        <w:tc>
          <w:tcPr>
            <w:tcW w:w="7300" w:type="dxa"/>
            <w:shd w:val="clear" w:color="auto" w:fill="CCEDFF"/>
          </w:tcPr>
          <w:p w14:paraId="7326CDFF" w14:textId="77777777" w:rsidR="00EF3DFB" w:rsidRDefault="00D27C17">
            <w:pPr>
              <w:pStyle w:val="TableParagraph"/>
              <w:spacing w:before="55"/>
              <w:ind w:left="292"/>
              <w:rPr>
                <w:sz w:val="20"/>
              </w:rPr>
            </w:pPr>
            <w:r>
              <w:rPr>
                <w:sz w:val="20"/>
              </w:rPr>
              <w:t>Operating cash flows from finance leases</w:t>
            </w:r>
          </w:p>
        </w:tc>
        <w:tc>
          <w:tcPr>
            <w:tcW w:w="2101" w:type="dxa"/>
            <w:shd w:val="clear" w:color="auto" w:fill="CCEDFF"/>
          </w:tcPr>
          <w:p w14:paraId="7326CE00" w14:textId="77777777" w:rsidR="00EF3DFB" w:rsidRDefault="00D27C17">
            <w:pPr>
              <w:pStyle w:val="TableParagraph"/>
              <w:spacing w:before="55"/>
              <w:ind w:right="120"/>
              <w:jc w:val="right"/>
              <w:rPr>
                <w:sz w:val="20"/>
              </w:rPr>
            </w:pPr>
            <w:r>
              <w:rPr>
                <w:sz w:val="20"/>
              </w:rPr>
              <w:t>—</w:t>
            </w:r>
          </w:p>
        </w:tc>
        <w:tc>
          <w:tcPr>
            <w:tcW w:w="1219" w:type="dxa"/>
            <w:shd w:val="clear" w:color="auto" w:fill="CCEDFF"/>
          </w:tcPr>
          <w:p w14:paraId="7326CE01" w14:textId="77777777" w:rsidR="00EF3DFB" w:rsidRDefault="00D27C17">
            <w:pPr>
              <w:pStyle w:val="TableParagraph"/>
              <w:spacing w:before="55"/>
              <w:ind w:right="79"/>
              <w:jc w:val="right"/>
              <w:rPr>
                <w:sz w:val="20"/>
              </w:rPr>
            </w:pPr>
            <w:r>
              <w:rPr>
                <w:sz w:val="20"/>
              </w:rPr>
              <w:t>1</w:t>
            </w:r>
          </w:p>
        </w:tc>
      </w:tr>
      <w:tr w:rsidR="00EF3DFB" w14:paraId="7326CE06" w14:textId="77777777">
        <w:trPr>
          <w:trHeight w:val="315"/>
        </w:trPr>
        <w:tc>
          <w:tcPr>
            <w:tcW w:w="7300" w:type="dxa"/>
          </w:tcPr>
          <w:p w14:paraId="7326CE03" w14:textId="77777777" w:rsidR="00EF3DFB" w:rsidRDefault="00D27C17">
            <w:pPr>
              <w:pStyle w:val="TableParagraph"/>
              <w:spacing w:before="55"/>
              <w:ind w:left="292"/>
              <w:rPr>
                <w:sz w:val="20"/>
              </w:rPr>
            </w:pPr>
            <w:r>
              <w:rPr>
                <w:sz w:val="20"/>
              </w:rPr>
              <w:t>Financing cash flows from finance leases</w:t>
            </w:r>
          </w:p>
        </w:tc>
        <w:tc>
          <w:tcPr>
            <w:tcW w:w="2101" w:type="dxa"/>
          </w:tcPr>
          <w:p w14:paraId="7326CE04" w14:textId="77777777" w:rsidR="00EF3DFB" w:rsidRDefault="00D27C17">
            <w:pPr>
              <w:pStyle w:val="TableParagraph"/>
              <w:spacing w:before="55"/>
              <w:ind w:right="120"/>
              <w:jc w:val="right"/>
              <w:rPr>
                <w:sz w:val="20"/>
              </w:rPr>
            </w:pPr>
            <w:r>
              <w:rPr>
                <w:sz w:val="20"/>
              </w:rPr>
              <w:t>4</w:t>
            </w:r>
          </w:p>
        </w:tc>
        <w:tc>
          <w:tcPr>
            <w:tcW w:w="1219" w:type="dxa"/>
          </w:tcPr>
          <w:p w14:paraId="7326CE05" w14:textId="77777777" w:rsidR="00EF3DFB" w:rsidRDefault="00D27C17">
            <w:pPr>
              <w:pStyle w:val="TableParagraph"/>
              <w:spacing w:before="55"/>
              <w:ind w:right="79"/>
              <w:jc w:val="right"/>
              <w:rPr>
                <w:sz w:val="20"/>
              </w:rPr>
            </w:pPr>
            <w:r>
              <w:rPr>
                <w:sz w:val="20"/>
              </w:rPr>
              <w:t>4</w:t>
            </w:r>
          </w:p>
        </w:tc>
      </w:tr>
      <w:tr w:rsidR="00EF3DFB" w14:paraId="7326CE0A" w14:textId="77777777">
        <w:trPr>
          <w:trHeight w:val="315"/>
        </w:trPr>
        <w:tc>
          <w:tcPr>
            <w:tcW w:w="7300" w:type="dxa"/>
            <w:shd w:val="clear" w:color="auto" w:fill="CCEDFF"/>
          </w:tcPr>
          <w:p w14:paraId="7326CE07" w14:textId="77777777" w:rsidR="00EF3DFB" w:rsidRDefault="00EF3DFB">
            <w:pPr>
              <w:pStyle w:val="TableParagraph"/>
              <w:rPr>
                <w:sz w:val="18"/>
              </w:rPr>
            </w:pPr>
          </w:p>
        </w:tc>
        <w:tc>
          <w:tcPr>
            <w:tcW w:w="2101" w:type="dxa"/>
            <w:shd w:val="clear" w:color="auto" w:fill="CCEDFF"/>
          </w:tcPr>
          <w:p w14:paraId="7326CE08" w14:textId="77777777" w:rsidR="00EF3DFB" w:rsidRDefault="00EF3DFB">
            <w:pPr>
              <w:pStyle w:val="TableParagraph"/>
              <w:rPr>
                <w:sz w:val="18"/>
              </w:rPr>
            </w:pPr>
          </w:p>
        </w:tc>
        <w:tc>
          <w:tcPr>
            <w:tcW w:w="1219" w:type="dxa"/>
            <w:shd w:val="clear" w:color="auto" w:fill="CCEDFF"/>
          </w:tcPr>
          <w:p w14:paraId="7326CE09" w14:textId="77777777" w:rsidR="00EF3DFB" w:rsidRDefault="00EF3DFB">
            <w:pPr>
              <w:pStyle w:val="TableParagraph"/>
              <w:rPr>
                <w:sz w:val="18"/>
              </w:rPr>
            </w:pPr>
          </w:p>
        </w:tc>
      </w:tr>
      <w:tr w:rsidR="00EF3DFB" w14:paraId="7326CE0E" w14:textId="77777777">
        <w:trPr>
          <w:trHeight w:val="315"/>
        </w:trPr>
        <w:tc>
          <w:tcPr>
            <w:tcW w:w="7300" w:type="dxa"/>
          </w:tcPr>
          <w:p w14:paraId="7326CE0B" w14:textId="77777777" w:rsidR="00EF3DFB" w:rsidRDefault="00D27C17">
            <w:pPr>
              <w:pStyle w:val="TableParagraph"/>
              <w:spacing w:before="55"/>
              <w:ind w:left="52"/>
              <w:rPr>
                <w:b/>
                <w:sz w:val="20"/>
              </w:rPr>
            </w:pPr>
            <w:r>
              <w:rPr>
                <w:b/>
                <w:sz w:val="20"/>
              </w:rPr>
              <w:t>Right of use assets obtained in exchange for lease liabilities:</w:t>
            </w:r>
          </w:p>
        </w:tc>
        <w:tc>
          <w:tcPr>
            <w:tcW w:w="2101" w:type="dxa"/>
          </w:tcPr>
          <w:p w14:paraId="7326CE0C" w14:textId="77777777" w:rsidR="00EF3DFB" w:rsidRDefault="00EF3DFB">
            <w:pPr>
              <w:pStyle w:val="TableParagraph"/>
              <w:rPr>
                <w:sz w:val="18"/>
              </w:rPr>
            </w:pPr>
          </w:p>
        </w:tc>
        <w:tc>
          <w:tcPr>
            <w:tcW w:w="1219" w:type="dxa"/>
          </w:tcPr>
          <w:p w14:paraId="7326CE0D" w14:textId="77777777" w:rsidR="00EF3DFB" w:rsidRDefault="00EF3DFB">
            <w:pPr>
              <w:pStyle w:val="TableParagraph"/>
              <w:rPr>
                <w:sz w:val="18"/>
              </w:rPr>
            </w:pPr>
          </w:p>
        </w:tc>
      </w:tr>
      <w:tr w:rsidR="00EF3DFB" w14:paraId="7326CE12" w14:textId="77777777">
        <w:trPr>
          <w:trHeight w:val="315"/>
        </w:trPr>
        <w:tc>
          <w:tcPr>
            <w:tcW w:w="7300" w:type="dxa"/>
            <w:shd w:val="clear" w:color="auto" w:fill="CCEDFF"/>
          </w:tcPr>
          <w:p w14:paraId="7326CE0F" w14:textId="77777777" w:rsidR="00EF3DFB" w:rsidRDefault="00D27C17">
            <w:pPr>
              <w:pStyle w:val="TableParagraph"/>
              <w:spacing w:before="55"/>
              <w:ind w:left="292"/>
              <w:rPr>
                <w:sz w:val="20"/>
              </w:rPr>
            </w:pPr>
            <w:r>
              <w:rPr>
                <w:sz w:val="20"/>
              </w:rPr>
              <w:t>Operating leases</w:t>
            </w:r>
          </w:p>
        </w:tc>
        <w:tc>
          <w:tcPr>
            <w:tcW w:w="2101" w:type="dxa"/>
            <w:shd w:val="clear" w:color="auto" w:fill="CCEDFF"/>
          </w:tcPr>
          <w:p w14:paraId="7326CE10" w14:textId="77777777" w:rsidR="00EF3DFB" w:rsidRDefault="00D27C17">
            <w:pPr>
              <w:pStyle w:val="TableParagraph"/>
              <w:spacing w:before="55"/>
              <w:ind w:right="120"/>
              <w:jc w:val="right"/>
              <w:rPr>
                <w:sz w:val="20"/>
              </w:rPr>
            </w:pPr>
            <w:r>
              <w:rPr>
                <w:sz w:val="20"/>
              </w:rPr>
              <w:t>75</w:t>
            </w:r>
          </w:p>
        </w:tc>
        <w:tc>
          <w:tcPr>
            <w:tcW w:w="1219" w:type="dxa"/>
            <w:shd w:val="clear" w:color="auto" w:fill="CCEDFF"/>
          </w:tcPr>
          <w:p w14:paraId="7326CE11" w14:textId="77777777" w:rsidR="00EF3DFB" w:rsidRDefault="00D27C17">
            <w:pPr>
              <w:pStyle w:val="TableParagraph"/>
              <w:spacing w:before="55"/>
              <w:ind w:right="79"/>
              <w:jc w:val="right"/>
              <w:rPr>
                <w:sz w:val="20"/>
              </w:rPr>
            </w:pPr>
            <w:r>
              <w:rPr>
                <w:sz w:val="20"/>
              </w:rPr>
              <w:t>130</w:t>
            </w:r>
          </w:p>
        </w:tc>
      </w:tr>
      <w:tr w:rsidR="00EF3DFB" w14:paraId="7326CE16" w14:textId="77777777">
        <w:trPr>
          <w:trHeight w:val="450"/>
        </w:trPr>
        <w:tc>
          <w:tcPr>
            <w:tcW w:w="7300" w:type="dxa"/>
          </w:tcPr>
          <w:p w14:paraId="7326CE13" w14:textId="77777777" w:rsidR="00EF3DFB" w:rsidRDefault="00D27C17">
            <w:pPr>
              <w:pStyle w:val="TableParagraph"/>
              <w:spacing w:before="55"/>
              <w:ind w:left="292"/>
              <w:rPr>
                <w:sz w:val="20"/>
              </w:rPr>
            </w:pPr>
            <w:r>
              <w:rPr>
                <w:sz w:val="20"/>
              </w:rPr>
              <w:t>Finance leases</w:t>
            </w:r>
          </w:p>
        </w:tc>
        <w:tc>
          <w:tcPr>
            <w:tcW w:w="2101" w:type="dxa"/>
          </w:tcPr>
          <w:p w14:paraId="7326CE14" w14:textId="77777777" w:rsidR="00EF3DFB" w:rsidRDefault="00D27C17">
            <w:pPr>
              <w:pStyle w:val="TableParagraph"/>
              <w:spacing w:before="55"/>
              <w:ind w:right="120"/>
              <w:jc w:val="right"/>
              <w:rPr>
                <w:sz w:val="20"/>
              </w:rPr>
            </w:pPr>
            <w:r>
              <w:rPr>
                <w:sz w:val="20"/>
              </w:rPr>
              <w:t>—</w:t>
            </w:r>
          </w:p>
        </w:tc>
        <w:tc>
          <w:tcPr>
            <w:tcW w:w="1219" w:type="dxa"/>
          </w:tcPr>
          <w:p w14:paraId="7326CE15" w14:textId="77777777" w:rsidR="00EF3DFB" w:rsidRDefault="00D27C17">
            <w:pPr>
              <w:pStyle w:val="TableParagraph"/>
              <w:spacing w:before="55"/>
              <w:ind w:right="79"/>
              <w:jc w:val="right"/>
              <w:rPr>
                <w:sz w:val="20"/>
              </w:rPr>
            </w:pPr>
            <w:r>
              <w:rPr>
                <w:sz w:val="20"/>
              </w:rPr>
              <w:t>7</w:t>
            </w:r>
          </w:p>
        </w:tc>
      </w:tr>
      <w:tr w:rsidR="00EF3DFB" w14:paraId="7326CE1A" w14:textId="77777777">
        <w:trPr>
          <w:trHeight w:val="433"/>
        </w:trPr>
        <w:tc>
          <w:tcPr>
            <w:tcW w:w="7300" w:type="dxa"/>
          </w:tcPr>
          <w:p w14:paraId="7326CE17" w14:textId="77777777" w:rsidR="00EF3DFB" w:rsidRDefault="00D27C17">
            <w:pPr>
              <w:pStyle w:val="TableParagraph"/>
              <w:spacing w:before="156"/>
              <w:rPr>
                <w:sz w:val="20"/>
              </w:rPr>
            </w:pPr>
            <w:r>
              <w:rPr>
                <w:sz w:val="20"/>
              </w:rPr>
              <w:t>Maturities of lease liabilities at December 31, 2020, are as follows (in millions):</w:t>
            </w:r>
          </w:p>
        </w:tc>
        <w:tc>
          <w:tcPr>
            <w:tcW w:w="2101" w:type="dxa"/>
          </w:tcPr>
          <w:p w14:paraId="7326CE18" w14:textId="77777777" w:rsidR="00EF3DFB" w:rsidRDefault="00EF3DFB">
            <w:pPr>
              <w:pStyle w:val="TableParagraph"/>
              <w:rPr>
                <w:sz w:val="18"/>
              </w:rPr>
            </w:pPr>
          </w:p>
        </w:tc>
        <w:tc>
          <w:tcPr>
            <w:tcW w:w="1219" w:type="dxa"/>
          </w:tcPr>
          <w:p w14:paraId="7326CE19" w14:textId="77777777" w:rsidR="00EF3DFB" w:rsidRDefault="00EF3DFB">
            <w:pPr>
              <w:pStyle w:val="TableParagraph"/>
              <w:rPr>
                <w:sz w:val="18"/>
              </w:rPr>
            </w:pPr>
          </w:p>
        </w:tc>
      </w:tr>
      <w:tr w:rsidR="00EF3DFB" w14:paraId="7326CE1E" w14:textId="77777777">
        <w:trPr>
          <w:trHeight w:val="481"/>
        </w:trPr>
        <w:tc>
          <w:tcPr>
            <w:tcW w:w="7300" w:type="dxa"/>
          </w:tcPr>
          <w:p w14:paraId="7326CE1B" w14:textId="77777777" w:rsidR="00EF3DFB" w:rsidRDefault="00EF3DFB">
            <w:pPr>
              <w:pStyle w:val="TableParagraph"/>
              <w:rPr>
                <w:sz w:val="18"/>
              </w:rPr>
            </w:pPr>
          </w:p>
        </w:tc>
        <w:tc>
          <w:tcPr>
            <w:tcW w:w="2101" w:type="dxa"/>
            <w:tcBorders>
              <w:bottom w:val="single" w:sz="8" w:space="0" w:color="000000"/>
            </w:tcBorders>
          </w:tcPr>
          <w:p w14:paraId="7326CE1C" w14:textId="77777777" w:rsidR="00EF3DFB" w:rsidRDefault="00D27C17">
            <w:pPr>
              <w:pStyle w:val="TableParagraph"/>
              <w:spacing w:before="36" w:line="210" w:lineRule="atLeast"/>
              <w:ind w:left="1190" w:right="241" w:hanging="140"/>
              <w:rPr>
                <w:b/>
                <w:sz w:val="18"/>
              </w:rPr>
            </w:pPr>
            <w:r>
              <w:rPr>
                <w:b/>
                <w:sz w:val="18"/>
              </w:rPr>
              <w:t>Operating Leases</w:t>
            </w:r>
          </w:p>
        </w:tc>
        <w:tc>
          <w:tcPr>
            <w:tcW w:w="1219" w:type="dxa"/>
            <w:tcBorders>
              <w:bottom w:val="single" w:sz="8" w:space="0" w:color="000000"/>
            </w:tcBorders>
          </w:tcPr>
          <w:p w14:paraId="7326CE1D" w14:textId="77777777" w:rsidR="00EF3DFB" w:rsidRDefault="00D27C17">
            <w:pPr>
              <w:pStyle w:val="TableParagraph"/>
              <w:spacing w:before="36" w:line="210" w:lineRule="atLeast"/>
              <w:ind w:left="364" w:right="275" w:hanging="50"/>
              <w:rPr>
                <w:b/>
                <w:sz w:val="18"/>
              </w:rPr>
            </w:pPr>
            <w:r>
              <w:rPr>
                <w:b/>
                <w:sz w:val="18"/>
              </w:rPr>
              <w:t>Finance Leases</w:t>
            </w:r>
          </w:p>
        </w:tc>
      </w:tr>
      <w:tr w:rsidR="00EF3DFB" w14:paraId="7326CE22" w14:textId="77777777">
        <w:trPr>
          <w:trHeight w:val="245"/>
        </w:trPr>
        <w:tc>
          <w:tcPr>
            <w:tcW w:w="7300" w:type="dxa"/>
            <w:shd w:val="clear" w:color="auto" w:fill="CCEDFF"/>
          </w:tcPr>
          <w:p w14:paraId="7326CE1F" w14:textId="77777777" w:rsidR="00EF3DFB" w:rsidRDefault="00D27C17">
            <w:pPr>
              <w:pStyle w:val="TableParagraph"/>
              <w:spacing w:line="215" w:lineRule="exact"/>
              <w:ind w:left="52"/>
              <w:rPr>
                <w:sz w:val="20"/>
              </w:rPr>
            </w:pPr>
            <w:r>
              <w:rPr>
                <w:sz w:val="20"/>
              </w:rPr>
              <w:t>2021</w:t>
            </w:r>
          </w:p>
        </w:tc>
        <w:tc>
          <w:tcPr>
            <w:tcW w:w="2101" w:type="dxa"/>
            <w:tcBorders>
              <w:top w:val="single" w:sz="8" w:space="0" w:color="000000"/>
            </w:tcBorders>
            <w:shd w:val="clear" w:color="auto" w:fill="CCEDFF"/>
          </w:tcPr>
          <w:p w14:paraId="7326CE20" w14:textId="77777777" w:rsidR="00EF3DFB" w:rsidRDefault="00D27C17">
            <w:pPr>
              <w:pStyle w:val="TableParagraph"/>
              <w:tabs>
                <w:tab w:val="left" w:pos="765"/>
              </w:tabs>
              <w:spacing w:line="215" w:lineRule="exact"/>
              <w:ind w:right="135"/>
              <w:jc w:val="right"/>
              <w:rPr>
                <w:sz w:val="20"/>
              </w:rPr>
            </w:pPr>
            <w:r>
              <w:rPr>
                <w:sz w:val="20"/>
              </w:rPr>
              <w:t>$</w:t>
            </w:r>
            <w:r>
              <w:rPr>
                <w:sz w:val="20"/>
              </w:rPr>
              <w:tab/>
              <w:t>155</w:t>
            </w:r>
          </w:p>
        </w:tc>
        <w:tc>
          <w:tcPr>
            <w:tcW w:w="1219" w:type="dxa"/>
            <w:tcBorders>
              <w:top w:val="single" w:sz="8" w:space="0" w:color="000000"/>
            </w:tcBorders>
            <w:shd w:val="clear" w:color="auto" w:fill="CCEDFF"/>
          </w:tcPr>
          <w:p w14:paraId="7326CE21" w14:textId="77777777" w:rsidR="00EF3DFB" w:rsidRDefault="00D27C17">
            <w:pPr>
              <w:pStyle w:val="TableParagraph"/>
              <w:tabs>
                <w:tab w:val="left" w:pos="965"/>
              </w:tabs>
              <w:spacing w:line="215" w:lineRule="exact"/>
              <w:ind w:right="79"/>
              <w:jc w:val="right"/>
              <w:rPr>
                <w:sz w:val="20"/>
              </w:rPr>
            </w:pPr>
            <w:r>
              <w:rPr>
                <w:sz w:val="20"/>
              </w:rPr>
              <w:t>$</w:t>
            </w:r>
            <w:r>
              <w:rPr>
                <w:sz w:val="20"/>
              </w:rPr>
              <w:tab/>
              <w:t>4</w:t>
            </w:r>
          </w:p>
        </w:tc>
      </w:tr>
      <w:tr w:rsidR="00EF3DFB" w14:paraId="7326CE26" w14:textId="77777777">
        <w:trPr>
          <w:trHeight w:val="255"/>
        </w:trPr>
        <w:tc>
          <w:tcPr>
            <w:tcW w:w="7300" w:type="dxa"/>
          </w:tcPr>
          <w:p w14:paraId="7326CE23" w14:textId="77777777" w:rsidR="00EF3DFB" w:rsidRDefault="00D27C17">
            <w:pPr>
              <w:pStyle w:val="TableParagraph"/>
              <w:spacing w:line="225" w:lineRule="exact"/>
              <w:ind w:left="52"/>
              <w:rPr>
                <w:sz w:val="20"/>
              </w:rPr>
            </w:pPr>
            <w:r>
              <w:rPr>
                <w:sz w:val="20"/>
              </w:rPr>
              <w:t>2022</w:t>
            </w:r>
          </w:p>
        </w:tc>
        <w:tc>
          <w:tcPr>
            <w:tcW w:w="2101" w:type="dxa"/>
          </w:tcPr>
          <w:p w14:paraId="7326CE24" w14:textId="77777777" w:rsidR="00EF3DFB" w:rsidRDefault="00D27C17">
            <w:pPr>
              <w:pStyle w:val="TableParagraph"/>
              <w:spacing w:line="225" w:lineRule="exact"/>
              <w:ind w:right="135"/>
              <w:jc w:val="right"/>
              <w:rPr>
                <w:sz w:val="20"/>
              </w:rPr>
            </w:pPr>
            <w:r>
              <w:rPr>
                <w:sz w:val="20"/>
              </w:rPr>
              <w:t>135</w:t>
            </w:r>
          </w:p>
        </w:tc>
        <w:tc>
          <w:tcPr>
            <w:tcW w:w="1219" w:type="dxa"/>
          </w:tcPr>
          <w:p w14:paraId="7326CE25" w14:textId="77777777" w:rsidR="00EF3DFB" w:rsidRDefault="00D27C17">
            <w:pPr>
              <w:pStyle w:val="TableParagraph"/>
              <w:spacing w:line="225" w:lineRule="exact"/>
              <w:ind w:right="79"/>
              <w:jc w:val="right"/>
              <w:rPr>
                <w:sz w:val="20"/>
              </w:rPr>
            </w:pPr>
            <w:r>
              <w:rPr>
                <w:sz w:val="20"/>
              </w:rPr>
              <w:t>3</w:t>
            </w:r>
          </w:p>
        </w:tc>
      </w:tr>
      <w:tr w:rsidR="00EF3DFB" w14:paraId="7326CE2A" w14:textId="77777777">
        <w:trPr>
          <w:trHeight w:val="255"/>
        </w:trPr>
        <w:tc>
          <w:tcPr>
            <w:tcW w:w="7300" w:type="dxa"/>
            <w:shd w:val="clear" w:color="auto" w:fill="CCEDFF"/>
          </w:tcPr>
          <w:p w14:paraId="7326CE27" w14:textId="77777777" w:rsidR="00EF3DFB" w:rsidRDefault="00D27C17">
            <w:pPr>
              <w:pStyle w:val="TableParagraph"/>
              <w:spacing w:line="225" w:lineRule="exact"/>
              <w:ind w:left="52"/>
              <w:rPr>
                <w:sz w:val="20"/>
              </w:rPr>
            </w:pPr>
            <w:r>
              <w:rPr>
                <w:sz w:val="20"/>
              </w:rPr>
              <w:t>2023</w:t>
            </w:r>
          </w:p>
        </w:tc>
        <w:tc>
          <w:tcPr>
            <w:tcW w:w="2101" w:type="dxa"/>
            <w:shd w:val="clear" w:color="auto" w:fill="CCEDFF"/>
          </w:tcPr>
          <w:p w14:paraId="7326CE28" w14:textId="77777777" w:rsidR="00EF3DFB" w:rsidRDefault="00D27C17">
            <w:pPr>
              <w:pStyle w:val="TableParagraph"/>
              <w:spacing w:line="225" w:lineRule="exact"/>
              <w:ind w:right="135"/>
              <w:jc w:val="right"/>
              <w:rPr>
                <w:sz w:val="20"/>
              </w:rPr>
            </w:pPr>
            <w:r>
              <w:rPr>
                <w:sz w:val="20"/>
              </w:rPr>
              <w:t>102</w:t>
            </w:r>
          </w:p>
        </w:tc>
        <w:tc>
          <w:tcPr>
            <w:tcW w:w="1219" w:type="dxa"/>
            <w:shd w:val="clear" w:color="auto" w:fill="CCEDFF"/>
          </w:tcPr>
          <w:p w14:paraId="7326CE29" w14:textId="77777777" w:rsidR="00EF3DFB" w:rsidRDefault="00D27C17">
            <w:pPr>
              <w:pStyle w:val="TableParagraph"/>
              <w:spacing w:line="225" w:lineRule="exact"/>
              <w:ind w:right="79"/>
              <w:jc w:val="right"/>
              <w:rPr>
                <w:sz w:val="20"/>
              </w:rPr>
            </w:pPr>
            <w:r>
              <w:rPr>
                <w:sz w:val="20"/>
              </w:rPr>
              <w:t>1</w:t>
            </w:r>
          </w:p>
        </w:tc>
      </w:tr>
      <w:tr w:rsidR="00EF3DFB" w14:paraId="7326CE2E" w14:textId="77777777">
        <w:trPr>
          <w:trHeight w:val="255"/>
        </w:trPr>
        <w:tc>
          <w:tcPr>
            <w:tcW w:w="7300" w:type="dxa"/>
          </w:tcPr>
          <w:p w14:paraId="7326CE2B" w14:textId="77777777" w:rsidR="00EF3DFB" w:rsidRDefault="00D27C17">
            <w:pPr>
              <w:pStyle w:val="TableParagraph"/>
              <w:spacing w:line="225" w:lineRule="exact"/>
              <w:ind w:left="52"/>
              <w:rPr>
                <w:sz w:val="20"/>
              </w:rPr>
            </w:pPr>
            <w:r>
              <w:rPr>
                <w:sz w:val="20"/>
              </w:rPr>
              <w:t>2024</w:t>
            </w:r>
          </w:p>
        </w:tc>
        <w:tc>
          <w:tcPr>
            <w:tcW w:w="2101" w:type="dxa"/>
          </w:tcPr>
          <w:p w14:paraId="7326CE2C" w14:textId="77777777" w:rsidR="00EF3DFB" w:rsidRDefault="00D27C17">
            <w:pPr>
              <w:pStyle w:val="TableParagraph"/>
              <w:spacing w:line="225" w:lineRule="exact"/>
              <w:ind w:right="135"/>
              <w:jc w:val="right"/>
              <w:rPr>
                <w:sz w:val="20"/>
              </w:rPr>
            </w:pPr>
            <w:r>
              <w:rPr>
                <w:sz w:val="20"/>
              </w:rPr>
              <w:t>79</w:t>
            </w:r>
          </w:p>
        </w:tc>
        <w:tc>
          <w:tcPr>
            <w:tcW w:w="1219" w:type="dxa"/>
          </w:tcPr>
          <w:p w14:paraId="7326CE2D" w14:textId="77777777" w:rsidR="00EF3DFB" w:rsidRDefault="00D27C17">
            <w:pPr>
              <w:pStyle w:val="TableParagraph"/>
              <w:spacing w:line="225" w:lineRule="exact"/>
              <w:ind w:right="79"/>
              <w:jc w:val="right"/>
              <w:rPr>
                <w:sz w:val="20"/>
              </w:rPr>
            </w:pPr>
            <w:r>
              <w:rPr>
                <w:sz w:val="20"/>
              </w:rPr>
              <w:t>—</w:t>
            </w:r>
          </w:p>
        </w:tc>
      </w:tr>
      <w:tr w:rsidR="00EF3DFB" w14:paraId="7326CE32" w14:textId="77777777">
        <w:trPr>
          <w:trHeight w:val="255"/>
        </w:trPr>
        <w:tc>
          <w:tcPr>
            <w:tcW w:w="7300" w:type="dxa"/>
            <w:shd w:val="clear" w:color="auto" w:fill="CCEDFF"/>
          </w:tcPr>
          <w:p w14:paraId="7326CE2F" w14:textId="77777777" w:rsidR="00EF3DFB" w:rsidRDefault="00D27C17">
            <w:pPr>
              <w:pStyle w:val="TableParagraph"/>
              <w:spacing w:line="225" w:lineRule="exact"/>
              <w:ind w:left="52"/>
              <w:rPr>
                <w:sz w:val="20"/>
              </w:rPr>
            </w:pPr>
            <w:r>
              <w:rPr>
                <w:sz w:val="20"/>
              </w:rPr>
              <w:t>2025</w:t>
            </w:r>
          </w:p>
        </w:tc>
        <w:tc>
          <w:tcPr>
            <w:tcW w:w="2101" w:type="dxa"/>
            <w:shd w:val="clear" w:color="auto" w:fill="CCEDFF"/>
          </w:tcPr>
          <w:p w14:paraId="7326CE30" w14:textId="77777777" w:rsidR="00EF3DFB" w:rsidRDefault="00D27C17">
            <w:pPr>
              <w:pStyle w:val="TableParagraph"/>
              <w:spacing w:line="225" w:lineRule="exact"/>
              <w:ind w:right="135"/>
              <w:jc w:val="right"/>
              <w:rPr>
                <w:sz w:val="20"/>
              </w:rPr>
            </w:pPr>
            <w:r>
              <w:rPr>
                <w:sz w:val="20"/>
              </w:rPr>
              <w:t>62</w:t>
            </w:r>
          </w:p>
        </w:tc>
        <w:tc>
          <w:tcPr>
            <w:tcW w:w="1219" w:type="dxa"/>
            <w:shd w:val="clear" w:color="auto" w:fill="CCEDFF"/>
          </w:tcPr>
          <w:p w14:paraId="7326CE31" w14:textId="77777777" w:rsidR="00EF3DFB" w:rsidRDefault="00D27C17">
            <w:pPr>
              <w:pStyle w:val="TableParagraph"/>
              <w:spacing w:line="225" w:lineRule="exact"/>
              <w:ind w:right="79"/>
              <w:jc w:val="right"/>
              <w:rPr>
                <w:sz w:val="20"/>
              </w:rPr>
            </w:pPr>
            <w:r>
              <w:rPr>
                <w:sz w:val="20"/>
              </w:rPr>
              <w:t>—</w:t>
            </w:r>
          </w:p>
        </w:tc>
      </w:tr>
      <w:tr w:rsidR="00EF3DFB" w14:paraId="7326CE36" w14:textId="77777777">
        <w:trPr>
          <w:trHeight w:val="245"/>
        </w:trPr>
        <w:tc>
          <w:tcPr>
            <w:tcW w:w="7300" w:type="dxa"/>
          </w:tcPr>
          <w:p w14:paraId="7326CE33" w14:textId="77777777" w:rsidR="00EF3DFB" w:rsidRDefault="00D27C17">
            <w:pPr>
              <w:pStyle w:val="TableParagraph"/>
              <w:spacing w:line="225" w:lineRule="exact"/>
              <w:ind w:left="52"/>
              <w:rPr>
                <w:sz w:val="20"/>
              </w:rPr>
            </w:pPr>
            <w:r>
              <w:rPr>
                <w:sz w:val="20"/>
              </w:rPr>
              <w:t>Thereafter</w:t>
            </w:r>
          </w:p>
        </w:tc>
        <w:tc>
          <w:tcPr>
            <w:tcW w:w="2101" w:type="dxa"/>
            <w:tcBorders>
              <w:bottom w:val="single" w:sz="8" w:space="0" w:color="000000"/>
            </w:tcBorders>
          </w:tcPr>
          <w:p w14:paraId="7326CE34" w14:textId="77777777" w:rsidR="00EF3DFB" w:rsidRDefault="00D27C17">
            <w:pPr>
              <w:pStyle w:val="TableParagraph"/>
              <w:spacing w:line="225" w:lineRule="exact"/>
              <w:ind w:right="135"/>
              <w:jc w:val="right"/>
              <w:rPr>
                <w:sz w:val="20"/>
              </w:rPr>
            </w:pPr>
            <w:r>
              <w:rPr>
                <w:sz w:val="20"/>
              </w:rPr>
              <w:t>168</w:t>
            </w:r>
          </w:p>
        </w:tc>
        <w:tc>
          <w:tcPr>
            <w:tcW w:w="1219" w:type="dxa"/>
            <w:tcBorders>
              <w:bottom w:val="single" w:sz="8" w:space="0" w:color="000000"/>
            </w:tcBorders>
          </w:tcPr>
          <w:p w14:paraId="7326CE35" w14:textId="77777777" w:rsidR="00EF3DFB" w:rsidRDefault="00D27C17">
            <w:pPr>
              <w:pStyle w:val="TableParagraph"/>
              <w:spacing w:line="225" w:lineRule="exact"/>
              <w:ind w:right="79"/>
              <w:jc w:val="right"/>
              <w:rPr>
                <w:sz w:val="20"/>
              </w:rPr>
            </w:pPr>
            <w:r>
              <w:rPr>
                <w:sz w:val="20"/>
              </w:rPr>
              <w:t>—</w:t>
            </w:r>
          </w:p>
        </w:tc>
      </w:tr>
      <w:tr w:rsidR="00EF3DFB" w14:paraId="7326CE3A" w14:textId="77777777">
        <w:trPr>
          <w:trHeight w:val="245"/>
        </w:trPr>
        <w:tc>
          <w:tcPr>
            <w:tcW w:w="7300" w:type="dxa"/>
            <w:shd w:val="clear" w:color="auto" w:fill="CCEDFF"/>
          </w:tcPr>
          <w:p w14:paraId="7326CE37" w14:textId="77777777" w:rsidR="00EF3DFB" w:rsidRDefault="00D27C17">
            <w:pPr>
              <w:pStyle w:val="TableParagraph"/>
              <w:spacing w:line="224" w:lineRule="exact"/>
              <w:ind w:left="187"/>
              <w:rPr>
                <w:sz w:val="20"/>
              </w:rPr>
            </w:pPr>
            <w:r>
              <w:rPr>
                <w:sz w:val="20"/>
              </w:rPr>
              <w:t>Total lease payments</w:t>
            </w:r>
          </w:p>
        </w:tc>
        <w:tc>
          <w:tcPr>
            <w:tcW w:w="2101" w:type="dxa"/>
            <w:tcBorders>
              <w:top w:val="single" w:sz="8" w:space="0" w:color="000000"/>
            </w:tcBorders>
            <w:shd w:val="clear" w:color="auto" w:fill="CCEDFF"/>
          </w:tcPr>
          <w:p w14:paraId="7326CE38" w14:textId="77777777" w:rsidR="00EF3DFB" w:rsidRDefault="00D27C17">
            <w:pPr>
              <w:pStyle w:val="TableParagraph"/>
              <w:spacing w:line="215" w:lineRule="exact"/>
              <w:ind w:right="135"/>
              <w:jc w:val="right"/>
              <w:rPr>
                <w:sz w:val="20"/>
              </w:rPr>
            </w:pPr>
            <w:r>
              <w:rPr>
                <w:sz w:val="20"/>
              </w:rPr>
              <w:t>701</w:t>
            </w:r>
          </w:p>
        </w:tc>
        <w:tc>
          <w:tcPr>
            <w:tcW w:w="1219" w:type="dxa"/>
            <w:tcBorders>
              <w:top w:val="single" w:sz="8" w:space="0" w:color="000000"/>
            </w:tcBorders>
            <w:shd w:val="clear" w:color="auto" w:fill="CCEDFF"/>
          </w:tcPr>
          <w:p w14:paraId="7326CE39" w14:textId="77777777" w:rsidR="00EF3DFB" w:rsidRDefault="00D27C17">
            <w:pPr>
              <w:pStyle w:val="TableParagraph"/>
              <w:spacing w:line="215" w:lineRule="exact"/>
              <w:ind w:right="79"/>
              <w:jc w:val="right"/>
              <w:rPr>
                <w:sz w:val="20"/>
              </w:rPr>
            </w:pPr>
            <w:r>
              <w:rPr>
                <w:sz w:val="20"/>
              </w:rPr>
              <w:t>8</w:t>
            </w:r>
          </w:p>
        </w:tc>
      </w:tr>
      <w:tr w:rsidR="00EF3DFB" w14:paraId="7326CE3E" w14:textId="77777777">
        <w:trPr>
          <w:trHeight w:val="245"/>
        </w:trPr>
        <w:tc>
          <w:tcPr>
            <w:tcW w:w="7300" w:type="dxa"/>
          </w:tcPr>
          <w:p w14:paraId="7326CE3B" w14:textId="77777777" w:rsidR="00EF3DFB" w:rsidRDefault="00D27C17">
            <w:pPr>
              <w:pStyle w:val="TableParagraph"/>
              <w:spacing w:line="225" w:lineRule="exact"/>
              <w:ind w:left="52"/>
              <w:rPr>
                <w:sz w:val="20"/>
              </w:rPr>
            </w:pPr>
            <w:r>
              <w:rPr>
                <w:sz w:val="20"/>
              </w:rPr>
              <w:t>Less: imputed interest</w:t>
            </w:r>
          </w:p>
        </w:tc>
        <w:tc>
          <w:tcPr>
            <w:tcW w:w="2101" w:type="dxa"/>
            <w:tcBorders>
              <w:bottom w:val="single" w:sz="8" w:space="0" w:color="000000"/>
            </w:tcBorders>
          </w:tcPr>
          <w:p w14:paraId="7326CE3C" w14:textId="77777777" w:rsidR="00EF3DFB" w:rsidRDefault="00D27C17">
            <w:pPr>
              <w:pStyle w:val="TableParagraph"/>
              <w:spacing w:line="225" w:lineRule="exact"/>
              <w:ind w:right="70"/>
              <w:jc w:val="right"/>
              <w:rPr>
                <w:sz w:val="20"/>
              </w:rPr>
            </w:pPr>
            <w:r>
              <w:rPr>
                <w:sz w:val="20"/>
              </w:rPr>
              <w:t>(100)</w:t>
            </w:r>
          </w:p>
        </w:tc>
        <w:tc>
          <w:tcPr>
            <w:tcW w:w="1219" w:type="dxa"/>
            <w:tcBorders>
              <w:bottom w:val="single" w:sz="8" w:space="0" w:color="000000"/>
            </w:tcBorders>
          </w:tcPr>
          <w:p w14:paraId="7326CE3D" w14:textId="77777777" w:rsidR="00EF3DFB" w:rsidRDefault="00D27C17">
            <w:pPr>
              <w:pStyle w:val="TableParagraph"/>
              <w:spacing w:line="225" w:lineRule="exact"/>
              <w:ind w:right="79"/>
              <w:jc w:val="right"/>
              <w:rPr>
                <w:sz w:val="20"/>
              </w:rPr>
            </w:pPr>
            <w:r>
              <w:rPr>
                <w:sz w:val="20"/>
              </w:rPr>
              <w:t>—</w:t>
            </w:r>
          </w:p>
        </w:tc>
      </w:tr>
      <w:tr w:rsidR="00EF3DFB" w14:paraId="7326CE42" w14:textId="77777777">
        <w:trPr>
          <w:trHeight w:val="245"/>
        </w:trPr>
        <w:tc>
          <w:tcPr>
            <w:tcW w:w="7300" w:type="dxa"/>
            <w:shd w:val="clear" w:color="auto" w:fill="CCEDFF"/>
          </w:tcPr>
          <w:p w14:paraId="7326CE3F" w14:textId="77777777" w:rsidR="00EF3DFB" w:rsidRDefault="00D27C17">
            <w:pPr>
              <w:pStyle w:val="TableParagraph"/>
              <w:spacing w:line="215" w:lineRule="exact"/>
              <w:ind w:left="187"/>
              <w:rPr>
                <w:sz w:val="20"/>
              </w:rPr>
            </w:pPr>
            <w:r>
              <w:rPr>
                <w:sz w:val="20"/>
              </w:rPr>
              <w:t>Present value of lease liabilities</w:t>
            </w:r>
          </w:p>
        </w:tc>
        <w:tc>
          <w:tcPr>
            <w:tcW w:w="2101" w:type="dxa"/>
            <w:tcBorders>
              <w:top w:val="single" w:sz="8" w:space="0" w:color="000000"/>
            </w:tcBorders>
            <w:shd w:val="clear" w:color="auto" w:fill="CCEDFF"/>
          </w:tcPr>
          <w:p w14:paraId="7326CE40" w14:textId="77777777" w:rsidR="00EF3DFB" w:rsidRDefault="00D27C17">
            <w:pPr>
              <w:pStyle w:val="TableParagraph"/>
              <w:tabs>
                <w:tab w:val="left" w:pos="765"/>
              </w:tabs>
              <w:spacing w:line="215" w:lineRule="exact"/>
              <w:ind w:right="135"/>
              <w:jc w:val="right"/>
              <w:rPr>
                <w:sz w:val="20"/>
              </w:rPr>
            </w:pPr>
            <w:r>
              <w:rPr>
                <w:sz w:val="20"/>
                <w:u w:val="single"/>
              </w:rPr>
              <w:t>$</w:t>
            </w:r>
            <w:r>
              <w:rPr>
                <w:sz w:val="20"/>
                <w:u w:val="single"/>
              </w:rPr>
              <w:tab/>
              <w:t>601</w:t>
            </w:r>
          </w:p>
        </w:tc>
        <w:tc>
          <w:tcPr>
            <w:tcW w:w="1219" w:type="dxa"/>
            <w:tcBorders>
              <w:top w:val="single" w:sz="8" w:space="0" w:color="000000"/>
            </w:tcBorders>
            <w:shd w:val="clear" w:color="auto" w:fill="CCEDFF"/>
          </w:tcPr>
          <w:p w14:paraId="7326CE41" w14:textId="77777777" w:rsidR="00EF3DFB" w:rsidRDefault="00D27C17">
            <w:pPr>
              <w:pStyle w:val="TableParagraph"/>
              <w:tabs>
                <w:tab w:val="left" w:pos="965"/>
              </w:tabs>
              <w:spacing w:line="215" w:lineRule="exact"/>
              <w:ind w:right="79"/>
              <w:jc w:val="right"/>
              <w:rPr>
                <w:sz w:val="20"/>
              </w:rPr>
            </w:pPr>
            <w:r>
              <w:rPr>
                <w:sz w:val="20"/>
                <w:u w:val="single"/>
              </w:rPr>
              <w:t>$</w:t>
            </w:r>
            <w:r>
              <w:rPr>
                <w:sz w:val="20"/>
                <w:u w:val="single"/>
              </w:rPr>
              <w:tab/>
              <w:t>8</w:t>
            </w:r>
          </w:p>
        </w:tc>
      </w:tr>
    </w:tbl>
    <w:p w14:paraId="7326CE43" w14:textId="52FB596B" w:rsidR="00EF3DFB" w:rsidRDefault="00D27C17">
      <w:pPr>
        <w:spacing w:line="20" w:lineRule="exact"/>
        <w:ind w:left="8325"/>
        <w:rPr>
          <w:sz w:val="2"/>
        </w:rPr>
      </w:pPr>
      <w:r>
        <w:rPr>
          <w:noProof/>
          <w:sz w:val="2"/>
        </w:rPr>
        <mc:AlternateContent>
          <mc:Choice Requires="wpg">
            <w:drawing>
              <wp:inline distT="0" distB="0" distL="0" distR="0" wp14:anchorId="7326D76E" wp14:editId="1AB954EA">
                <wp:extent cx="762000" cy="12700"/>
                <wp:effectExtent l="12700" t="3175" r="6350" b="3175"/>
                <wp:docPr id="233"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34" name="Line 217"/>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E2DA1" id="Group 216"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BdfCWqJwIAANsEAAAOAAAAAAAAAAAAAAAAAC4CAABkcnMvZTJvRG9jLnht&#10;bFBLAQItABQABgAIAAAAIQDqJm4U2QAAAAMBAAAPAAAAAAAAAAAAAAAAAIEEAABkcnMvZG93bnJl&#10;di54bWxQSwUGAAAAAAQABADzAAAAhwUAAAAA&#10;">
                <v:line id="Line 217"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ulxQAAANwAAAAPAAAAZHJzL2Rvd25yZXYueG1sRI/dagIx&#10;FITvBd8hHKF3Nast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Ksgul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70" wp14:editId="03CCB4C4">
                <wp:extent cx="762000" cy="12700"/>
                <wp:effectExtent l="12700" t="3175" r="6350" b="3175"/>
                <wp:docPr id="23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32" name="Line 215"/>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CD7E28" id="Group 214"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DQ6xtJJwIAANsEAAAOAAAAAAAAAAAAAAAAAC4CAABkcnMvZTJvRG9jLnht&#10;bFBLAQItABQABgAIAAAAIQDqJm4U2QAAAAMBAAAPAAAAAAAAAAAAAAAAAIEEAABkcnMvZG93bnJl&#10;di54bWxQSwUGAAAAAAQABADzAAAAhwUAAAAA&#10;">
                <v:line id="Line 215"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w10:anchorlock/>
              </v:group>
            </w:pict>
          </mc:Fallback>
        </mc:AlternateContent>
      </w:r>
    </w:p>
    <w:p w14:paraId="7326CE44" w14:textId="77777777" w:rsidR="00EF3DFB" w:rsidRDefault="00EF3DFB">
      <w:pPr>
        <w:spacing w:line="20" w:lineRule="exact"/>
        <w:rPr>
          <w:sz w:val="2"/>
        </w:rPr>
        <w:sectPr w:rsidR="00EF3DFB">
          <w:footerReference w:type="default" r:id="rId21"/>
          <w:pgSz w:w="12240" w:h="15840"/>
          <w:pgMar w:top="600" w:right="640" w:bottom="480" w:left="620" w:header="0" w:footer="291" w:gutter="0"/>
          <w:pgNumType w:start="86"/>
          <w:cols w:space="720"/>
        </w:sectPr>
      </w:pPr>
    </w:p>
    <w:p w14:paraId="7326CE45" w14:textId="77777777" w:rsidR="00EF3DFB" w:rsidRDefault="00D27C17">
      <w:pPr>
        <w:pStyle w:val="Heading2"/>
        <w:spacing w:before="68"/>
      </w:pPr>
      <w:bookmarkStart w:id="62" w:name="Footnote_14_—_Earnings_Per_Share"/>
      <w:bookmarkEnd w:id="62"/>
      <w:r>
        <w:lastRenderedPageBreak/>
        <w:t>Footnote 14 — Earnings Per Share</w:t>
      </w:r>
    </w:p>
    <w:p w14:paraId="7326CE46" w14:textId="77777777" w:rsidR="00EF3DFB" w:rsidRDefault="00EF3DFB">
      <w:pPr>
        <w:pStyle w:val="BodyText"/>
        <w:rPr>
          <w:b/>
          <w:sz w:val="22"/>
        </w:rPr>
      </w:pPr>
    </w:p>
    <w:p w14:paraId="7326CE47" w14:textId="77777777" w:rsidR="00EF3DFB" w:rsidRDefault="00D27C17">
      <w:pPr>
        <w:pStyle w:val="BodyText"/>
        <w:spacing w:before="1"/>
        <w:ind w:left="190"/>
        <w:jc w:val="both"/>
      </w:pPr>
      <w:r>
        <w:t>The computations of the weighted average shares outstanding for the years ended December 31, are as follows (in millions):</w:t>
      </w:r>
    </w:p>
    <w:p w14:paraId="7326CE48" w14:textId="77777777" w:rsidR="00EF3DFB" w:rsidRDefault="00EF3DFB">
      <w:pPr>
        <w:pStyle w:val="BodyText"/>
        <w:spacing w:before="10"/>
        <w:rPr>
          <w:sz w:val="7"/>
        </w:rPr>
      </w:pPr>
    </w:p>
    <w:tbl>
      <w:tblPr>
        <w:tblW w:w="0" w:type="auto"/>
        <w:tblInd w:w="190" w:type="dxa"/>
        <w:tblLayout w:type="fixed"/>
        <w:tblCellMar>
          <w:left w:w="0" w:type="dxa"/>
          <w:right w:w="0" w:type="dxa"/>
        </w:tblCellMar>
        <w:tblLook w:val="01E0" w:firstRow="1" w:lastRow="1" w:firstColumn="1" w:lastColumn="1" w:noHBand="0" w:noVBand="0"/>
      </w:tblPr>
      <w:tblGrid>
        <w:gridCol w:w="6069"/>
        <w:gridCol w:w="1998"/>
        <w:gridCol w:w="1275"/>
        <w:gridCol w:w="1278"/>
      </w:tblGrid>
      <w:tr w:rsidR="00EF3DFB" w14:paraId="7326CE4D" w14:textId="77777777">
        <w:trPr>
          <w:trHeight w:val="196"/>
        </w:trPr>
        <w:tc>
          <w:tcPr>
            <w:tcW w:w="6069" w:type="dxa"/>
          </w:tcPr>
          <w:p w14:paraId="7326CE49" w14:textId="77777777" w:rsidR="00EF3DFB" w:rsidRDefault="00EF3DFB">
            <w:pPr>
              <w:pStyle w:val="TableParagraph"/>
              <w:rPr>
                <w:sz w:val="12"/>
              </w:rPr>
            </w:pPr>
          </w:p>
        </w:tc>
        <w:tc>
          <w:tcPr>
            <w:tcW w:w="1998" w:type="dxa"/>
            <w:tcBorders>
              <w:bottom w:val="single" w:sz="8" w:space="0" w:color="000000"/>
            </w:tcBorders>
          </w:tcPr>
          <w:p w14:paraId="7326CE4A" w14:textId="77777777" w:rsidR="00EF3DFB" w:rsidRDefault="00D27C17">
            <w:pPr>
              <w:pStyle w:val="TableParagraph"/>
              <w:spacing w:line="177" w:lineRule="exact"/>
              <w:ind w:left="1241"/>
              <w:rPr>
                <w:b/>
                <w:sz w:val="16"/>
              </w:rPr>
            </w:pPr>
            <w:r>
              <w:rPr>
                <w:b/>
                <w:sz w:val="16"/>
              </w:rPr>
              <w:t>2020</w:t>
            </w:r>
          </w:p>
        </w:tc>
        <w:tc>
          <w:tcPr>
            <w:tcW w:w="1275" w:type="dxa"/>
            <w:tcBorders>
              <w:bottom w:val="single" w:sz="8" w:space="0" w:color="000000"/>
            </w:tcBorders>
          </w:tcPr>
          <w:p w14:paraId="7326CE4B" w14:textId="77777777" w:rsidR="00EF3DFB" w:rsidRDefault="00D27C17">
            <w:pPr>
              <w:pStyle w:val="TableParagraph"/>
              <w:spacing w:line="177" w:lineRule="exact"/>
              <w:ind w:left="408" w:right="327"/>
              <w:jc w:val="center"/>
              <w:rPr>
                <w:b/>
                <w:sz w:val="16"/>
              </w:rPr>
            </w:pPr>
            <w:r>
              <w:rPr>
                <w:b/>
                <w:sz w:val="16"/>
              </w:rPr>
              <w:t>2019</w:t>
            </w:r>
          </w:p>
        </w:tc>
        <w:tc>
          <w:tcPr>
            <w:tcW w:w="1278" w:type="dxa"/>
            <w:tcBorders>
              <w:bottom w:val="single" w:sz="8" w:space="0" w:color="000000"/>
            </w:tcBorders>
          </w:tcPr>
          <w:p w14:paraId="7326CE4C" w14:textId="77777777" w:rsidR="00EF3DFB" w:rsidRDefault="00D27C17">
            <w:pPr>
              <w:pStyle w:val="TableParagraph"/>
              <w:spacing w:line="177" w:lineRule="exact"/>
              <w:ind w:left="498" w:right="420"/>
              <w:jc w:val="center"/>
              <w:rPr>
                <w:b/>
                <w:sz w:val="16"/>
              </w:rPr>
            </w:pPr>
            <w:r>
              <w:rPr>
                <w:b/>
                <w:sz w:val="16"/>
              </w:rPr>
              <w:t>2018</w:t>
            </w:r>
          </w:p>
        </w:tc>
      </w:tr>
      <w:tr w:rsidR="00EF3DFB" w14:paraId="7326CE52" w14:textId="77777777">
        <w:trPr>
          <w:trHeight w:val="275"/>
        </w:trPr>
        <w:tc>
          <w:tcPr>
            <w:tcW w:w="6069" w:type="dxa"/>
            <w:shd w:val="clear" w:color="auto" w:fill="CCEDFF"/>
          </w:tcPr>
          <w:p w14:paraId="7326CE4E" w14:textId="77777777" w:rsidR="00EF3DFB" w:rsidRDefault="00D27C17">
            <w:pPr>
              <w:pStyle w:val="TableParagraph"/>
              <w:spacing w:line="224" w:lineRule="exact"/>
              <w:ind w:left="52"/>
              <w:rPr>
                <w:sz w:val="20"/>
              </w:rPr>
            </w:pPr>
            <w:r>
              <w:rPr>
                <w:sz w:val="20"/>
              </w:rPr>
              <w:t>Weighted-average shares outstanding</w:t>
            </w:r>
          </w:p>
        </w:tc>
        <w:tc>
          <w:tcPr>
            <w:tcW w:w="1998" w:type="dxa"/>
            <w:tcBorders>
              <w:top w:val="single" w:sz="8" w:space="0" w:color="000000"/>
            </w:tcBorders>
            <w:shd w:val="clear" w:color="auto" w:fill="CCEDFF"/>
          </w:tcPr>
          <w:p w14:paraId="7326CE4F" w14:textId="77777777" w:rsidR="00EF3DFB" w:rsidRDefault="00D27C17">
            <w:pPr>
              <w:pStyle w:val="TableParagraph"/>
              <w:spacing w:before="15"/>
              <w:ind w:right="76"/>
              <w:jc w:val="right"/>
              <w:rPr>
                <w:sz w:val="20"/>
              </w:rPr>
            </w:pPr>
            <w:r>
              <w:rPr>
                <w:sz w:val="20"/>
              </w:rPr>
              <w:t>424.1</w:t>
            </w:r>
          </w:p>
        </w:tc>
        <w:tc>
          <w:tcPr>
            <w:tcW w:w="1275" w:type="dxa"/>
            <w:tcBorders>
              <w:top w:val="single" w:sz="8" w:space="0" w:color="000000"/>
            </w:tcBorders>
            <w:shd w:val="clear" w:color="auto" w:fill="CCEDFF"/>
          </w:tcPr>
          <w:p w14:paraId="7326CE50" w14:textId="77777777" w:rsidR="00EF3DFB" w:rsidRDefault="00D27C17">
            <w:pPr>
              <w:pStyle w:val="TableParagraph"/>
              <w:spacing w:before="15"/>
              <w:ind w:right="76"/>
              <w:jc w:val="right"/>
              <w:rPr>
                <w:sz w:val="20"/>
              </w:rPr>
            </w:pPr>
            <w:r>
              <w:rPr>
                <w:sz w:val="20"/>
              </w:rPr>
              <w:t>423.2</w:t>
            </w:r>
          </w:p>
        </w:tc>
        <w:tc>
          <w:tcPr>
            <w:tcW w:w="1278" w:type="dxa"/>
            <w:tcBorders>
              <w:top w:val="single" w:sz="8" w:space="0" w:color="000000"/>
            </w:tcBorders>
            <w:shd w:val="clear" w:color="auto" w:fill="CCEDFF"/>
          </w:tcPr>
          <w:p w14:paraId="7326CE51" w14:textId="77777777" w:rsidR="00EF3DFB" w:rsidRDefault="00D27C17">
            <w:pPr>
              <w:pStyle w:val="TableParagraph"/>
              <w:spacing w:before="15"/>
              <w:ind w:right="79"/>
              <w:jc w:val="right"/>
              <w:rPr>
                <w:sz w:val="20"/>
              </w:rPr>
            </w:pPr>
            <w:r>
              <w:rPr>
                <w:sz w:val="20"/>
              </w:rPr>
              <w:t>473.3</w:t>
            </w:r>
          </w:p>
        </w:tc>
      </w:tr>
      <w:tr w:rsidR="00EF3DFB" w14:paraId="7326CE57" w14:textId="77777777">
        <w:trPr>
          <w:trHeight w:val="275"/>
        </w:trPr>
        <w:tc>
          <w:tcPr>
            <w:tcW w:w="6069" w:type="dxa"/>
          </w:tcPr>
          <w:p w14:paraId="7326CE53" w14:textId="77777777" w:rsidR="00EF3DFB" w:rsidRDefault="00D27C17">
            <w:pPr>
              <w:pStyle w:val="TableParagraph"/>
              <w:spacing w:before="4"/>
              <w:ind w:left="52"/>
              <w:rPr>
                <w:sz w:val="20"/>
              </w:rPr>
            </w:pPr>
            <w:r>
              <w:rPr>
                <w:sz w:val="20"/>
              </w:rPr>
              <w:t>Share-based payment awards classified as participating securities</w:t>
            </w:r>
          </w:p>
        </w:tc>
        <w:tc>
          <w:tcPr>
            <w:tcW w:w="1998" w:type="dxa"/>
            <w:tcBorders>
              <w:bottom w:val="single" w:sz="8" w:space="0" w:color="000000"/>
            </w:tcBorders>
          </w:tcPr>
          <w:p w14:paraId="7326CE54" w14:textId="77777777" w:rsidR="00EF3DFB" w:rsidRDefault="00D27C17">
            <w:pPr>
              <w:pStyle w:val="TableParagraph"/>
              <w:spacing w:before="25" w:line="230" w:lineRule="exact"/>
              <w:ind w:right="76"/>
              <w:jc w:val="right"/>
              <w:rPr>
                <w:sz w:val="20"/>
              </w:rPr>
            </w:pPr>
            <w:r>
              <w:rPr>
                <w:sz w:val="20"/>
              </w:rPr>
              <w:t>—</w:t>
            </w:r>
          </w:p>
        </w:tc>
        <w:tc>
          <w:tcPr>
            <w:tcW w:w="1275" w:type="dxa"/>
            <w:tcBorders>
              <w:bottom w:val="single" w:sz="8" w:space="0" w:color="000000"/>
            </w:tcBorders>
          </w:tcPr>
          <w:p w14:paraId="7326CE55" w14:textId="77777777" w:rsidR="00EF3DFB" w:rsidRDefault="00D27C17">
            <w:pPr>
              <w:pStyle w:val="TableParagraph"/>
              <w:spacing w:before="25" w:line="230" w:lineRule="exact"/>
              <w:ind w:right="76"/>
              <w:jc w:val="right"/>
              <w:rPr>
                <w:sz w:val="20"/>
              </w:rPr>
            </w:pPr>
            <w:r>
              <w:rPr>
                <w:sz w:val="20"/>
              </w:rPr>
              <w:t>0.1</w:t>
            </w:r>
          </w:p>
        </w:tc>
        <w:tc>
          <w:tcPr>
            <w:tcW w:w="1278" w:type="dxa"/>
            <w:tcBorders>
              <w:bottom w:val="single" w:sz="8" w:space="0" w:color="000000"/>
            </w:tcBorders>
          </w:tcPr>
          <w:p w14:paraId="7326CE56" w14:textId="77777777" w:rsidR="00EF3DFB" w:rsidRDefault="00D27C17">
            <w:pPr>
              <w:pStyle w:val="TableParagraph"/>
              <w:spacing w:before="25" w:line="230" w:lineRule="exact"/>
              <w:ind w:right="79"/>
              <w:jc w:val="right"/>
              <w:rPr>
                <w:sz w:val="20"/>
              </w:rPr>
            </w:pPr>
            <w:r>
              <w:rPr>
                <w:sz w:val="20"/>
              </w:rPr>
              <w:t>0.4</w:t>
            </w:r>
          </w:p>
        </w:tc>
      </w:tr>
      <w:tr w:rsidR="00EF3DFB" w14:paraId="7326CE5C" w14:textId="77777777">
        <w:trPr>
          <w:trHeight w:val="275"/>
        </w:trPr>
        <w:tc>
          <w:tcPr>
            <w:tcW w:w="6069" w:type="dxa"/>
            <w:shd w:val="clear" w:color="auto" w:fill="CCEDFF"/>
          </w:tcPr>
          <w:p w14:paraId="7326CE58" w14:textId="77777777" w:rsidR="00EF3DFB" w:rsidRDefault="00D27C17">
            <w:pPr>
              <w:pStyle w:val="TableParagraph"/>
              <w:spacing w:line="224" w:lineRule="exact"/>
              <w:ind w:left="52"/>
              <w:rPr>
                <w:sz w:val="20"/>
              </w:rPr>
            </w:pPr>
            <w:r>
              <w:rPr>
                <w:sz w:val="20"/>
              </w:rPr>
              <w:t>Basic weighted-average shares outstanding</w:t>
            </w:r>
          </w:p>
        </w:tc>
        <w:tc>
          <w:tcPr>
            <w:tcW w:w="1998" w:type="dxa"/>
            <w:tcBorders>
              <w:top w:val="single" w:sz="8" w:space="0" w:color="000000"/>
            </w:tcBorders>
            <w:shd w:val="clear" w:color="auto" w:fill="CCEDFF"/>
          </w:tcPr>
          <w:p w14:paraId="7326CE59" w14:textId="77777777" w:rsidR="00EF3DFB" w:rsidRDefault="00D27C17">
            <w:pPr>
              <w:pStyle w:val="TableParagraph"/>
              <w:spacing w:before="15"/>
              <w:ind w:right="76"/>
              <w:jc w:val="right"/>
              <w:rPr>
                <w:sz w:val="20"/>
              </w:rPr>
            </w:pPr>
            <w:r>
              <w:rPr>
                <w:sz w:val="20"/>
              </w:rPr>
              <w:t>424.1</w:t>
            </w:r>
          </w:p>
        </w:tc>
        <w:tc>
          <w:tcPr>
            <w:tcW w:w="1275" w:type="dxa"/>
            <w:tcBorders>
              <w:top w:val="single" w:sz="8" w:space="0" w:color="000000"/>
            </w:tcBorders>
            <w:shd w:val="clear" w:color="auto" w:fill="CCEDFF"/>
          </w:tcPr>
          <w:p w14:paraId="7326CE5A" w14:textId="77777777" w:rsidR="00EF3DFB" w:rsidRDefault="00D27C17">
            <w:pPr>
              <w:pStyle w:val="TableParagraph"/>
              <w:spacing w:before="15"/>
              <w:ind w:right="76"/>
              <w:jc w:val="right"/>
              <w:rPr>
                <w:sz w:val="20"/>
              </w:rPr>
            </w:pPr>
            <w:r>
              <w:rPr>
                <w:sz w:val="20"/>
              </w:rPr>
              <w:t>423.3</w:t>
            </w:r>
          </w:p>
        </w:tc>
        <w:tc>
          <w:tcPr>
            <w:tcW w:w="1278" w:type="dxa"/>
            <w:tcBorders>
              <w:top w:val="single" w:sz="8" w:space="0" w:color="000000"/>
            </w:tcBorders>
            <w:shd w:val="clear" w:color="auto" w:fill="CCEDFF"/>
          </w:tcPr>
          <w:p w14:paraId="7326CE5B" w14:textId="77777777" w:rsidR="00EF3DFB" w:rsidRDefault="00D27C17">
            <w:pPr>
              <w:pStyle w:val="TableParagraph"/>
              <w:spacing w:before="15"/>
              <w:ind w:right="79"/>
              <w:jc w:val="right"/>
              <w:rPr>
                <w:sz w:val="20"/>
              </w:rPr>
            </w:pPr>
            <w:r>
              <w:rPr>
                <w:sz w:val="20"/>
              </w:rPr>
              <w:t>473.7</w:t>
            </w:r>
          </w:p>
        </w:tc>
      </w:tr>
      <w:tr w:rsidR="00EF3DFB" w14:paraId="7326CE61" w14:textId="77777777">
        <w:trPr>
          <w:trHeight w:val="275"/>
        </w:trPr>
        <w:tc>
          <w:tcPr>
            <w:tcW w:w="6069" w:type="dxa"/>
          </w:tcPr>
          <w:p w14:paraId="7326CE5D" w14:textId="77777777" w:rsidR="00EF3DFB" w:rsidRDefault="00D27C17">
            <w:pPr>
              <w:pStyle w:val="TableParagraph"/>
              <w:spacing w:before="4"/>
              <w:ind w:left="52"/>
              <w:rPr>
                <w:sz w:val="20"/>
              </w:rPr>
            </w:pPr>
            <w:r>
              <w:rPr>
                <w:sz w:val="20"/>
              </w:rPr>
              <w:t>Dilutive securities (1)</w:t>
            </w:r>
          </w:p>
        </w:tc>
        <w:tc>
          <w:tcPr>
            <w:tcW w:w="1998" w:type="dxa"/>
            <w:tcBorders>
              <w:bottom w:val="single" w:sz="8" w:space="0" w:color="000000"/>
            </w:tcBorders>
          </w:tcPr>
          <w:p w14:paraId="7326CE5E" w14:textId="77777777" w:rsidR="00EF3DFB" w:rsidRDefault="00D27C17">
            <w:pPr>
              <w:pStyle w:val="TableParagraph"/>
              <w:spacing w:before="25" w:line="230" w:lineRule="exact"/>
              <w:ind w:right="76"/>
              <w:jc w:val="right"/>
              <w:rPr>
                <w:sz w:val="20"/>
              </w:rPr>
            </w:pPr>
            <w:r>
              <w:rPr>
                <w:sz w:val="20"/>
              </w:rPr>
              <w:t>—</w:t>
            </w:r>
          </w:p>
        </w:tc>
        <w:tc>
          <w:tcPr>
            <w:tcW w:w="1275" w:type="dxa"/>
            <w:tcBorders>
              <w:bottom w:val="single" w:sz="8" w:space="0" w:color="000000"/>
            </w:tcBorders>
          </w:tcPr>
          <w:p w14:paraId="7326CE5F" w14:textId="77777777" w:rsidR="00EF3DFB" w:rsidRDefault="00D27C17">
            <w:pPr>
              <w:pStyle w:val="TableParagraph"/>
              <w:spacing w:before="25" w:line="230" w:lineRule="exact"/>
              <w:ind w:right="76"/>
              <w:jc w:val="right"/>
              <w:rPr>
                <w:sz w:val="20"/>
              </w:rPr>
            </w:pPr>
            <w:r>
              <w:rPr>
                <w:sz w:val="20"/>
              </w:rPr>
              <w:t>0.6</w:t>
            </w:r>
          </w:p>
        </w:tc>
        <w:tc>
          <w:tcPr>
            <w:tcW w:w="1278" w:type="dxa"/>
            <w:tcBorders>
              <w:bottom w:val="single" w:sz="8" w:space="0" w:color="000000"/>
            </w:tcBorders>
          </w:tcPr>
          <w:p w14:paraId="7326CE60" w14:textId="77777777" w:rsidR="00EF3DFB" w:rsidRDefault="00D27C17">
            <w:pPr>
              <w:pStyle w:val="TableParagraph"/>
              <w:spacing w:before="25" w:line="230" w:lineRule="exact"/>
              <w:ind w:right="79"/>
              <w:jc w:val="right"/>
              <w:rPr>
                <w:sz w:val="20"/>
              </w:rPr>
            </w:pPr>
            <w:r>
              <w:rPr>
                <w:sz w:val="20"/>
              </w:rPr>
              <w:t>—</w:t>
            </w:r>
          </w:p>
        </w:tc>
      </w:tr>
      <w:tr w:rsidR="00EF3DFB" w14:paraId="7326CE66" w14:textId="77777777">
        <w:trPr>
          <w:trHeight w:val="275"/>
        </w:trPr>
        <w:tc>
          <w:tcPr>
            <w:tcW w:w="6069" w:type="dxa"/>
            <w:shd w:val="clear" w:color="auto" w:fill="CCEDFF"/>
          </w:tcPr>
          <w:p w14:paraId="7326CE62" w14:textId="77777777" w:rsidR="00EF3DFB" w:rsidRDefault="00D27C17">
            <w:pPr>
              <w:pStyle w:val="TableParagraph"/>
              <w:spacing w:line="224" w:lineRule="exact"/>
              <w:ind w:left="52"/>
              <w:rPr>
                <w:sz w:val="20"/>
              </w:rPr>
            </w:pPr>
            <w:r>
              <w:rPr>
                <w:sz w:val="20"/>
              </w:rPr>
              <w:t>Diluted weighted-average shares outstanding</w:t>
            </w:r>
          </w:p>
        </w:tc>
        <w:tc>
          <w:tcPr>
            <w:tcW w:w="1998" w:type="dxa"/>
            <w:tcBorders>
              <w:top w:val="single" w:sz="8" w:space="0" w:color="000000"/>
            </w:tcBorders>
            <w:shd w:val="clear" w:color="auto" w:fill="CCEDFF"/>
          </w:tcPr>
          <w:p w14:paraId="7326CE63" w14:textId="77777777" w:rsidR="00EF3DFB" w:rsidRDefault="00D27C17">
            <w:pPr>
              <w:pStyle w:val="TableParagraph"/>
              <w:tabs>
                <w:tab w:val="left" w:pos="668"/>
              </w:tabs>
              <w:spacing w:before="15"/>
              <w:ind w:right="76"/>
              <w:jc w:val="right"/>
              <w:rPr>
                <w:sz w:val="20"/>
              </w:rPr>
            </w:pPr>
            <w:r>
              <w:rPr>
                <w:sz w:val="20"/>
                <w:u w:val="single"/>
              </w:rPr>
              <w:t xml:space="preserve"> </w:t>
            </w:r>
            <w:r>
              <w:rPr>
                <w:sz w:val="20"/>
                <w:u w:val="single"/>
              </w:rPr>
              <w:tab/>
              <w:t>424.1</w:t>
            </w:r>
          </w:p>
        </w:tc>
        <w:tc>
          <w:tcPr>
            <w:tcW w:w="1275" w:type="dxa"/>
            <w:tcBorders>
              <w:top w:val="single" w:sz="8" w:space="0" w:color="000000"/>
            </w:tcBorders>
            <w:shd w:val="clear" w:color="auto" w:fill="CCEDFF"/>
          </w:tcPr>
          <w:p w14:paraId="7326CE64" w14:textId="77777777" w:rsidR="00EF3DFB" w:rsidRDefault="00D27C17">
            <w:pPr>
              <w:pStyle w:val="TableParagraph"/>
              <w:tabs>
                <w:tab w:val="left" w:pos="668"/>
              </w:tabs>
              <w:spacing w:before="15"/>
              <w:ind w:right="76"/>
              <w:jc w:val="right"/>
              <w:rPr>
                <w:sz w:val="20"/>
              </w:rPr>
            </w:pPr>
            <w:r>
              <w:rPr>
                <w:sz w:val="20"/>
                <w:u w:val="single"/>
              </w:rPr>
              <w:t xml:space="preserve"> </w:t>
            </w:r>
            <w:r>
              <w:rPr>
                <w:sz w:val="20"/>
                <w:u w:val="single"/>
              </w:rPr>
              <w:tab/>
              <w:t>423.9</w:t>
            </w:r>
          </w:p>
        </w:tc>
        <w:tc>
          <w:tcPr>
            <w:tcW w:w="1278" w:type="dxa"/>
            <w:tcBorders>
              <w:top w:val="single" w:sz="8" w:space="0" w:color="000000"/>
            </w:tcBorders>
            <w:shd w:val="clear" w:color="auto" w:fill="CCEDFF"/>
          </w:tcPr>
          <w:p w14:paraId="7326CE65" w14:textId="77777777" w:rsidR="00EF3DFB" w:rsidRDefault="00D27C17">
            <w:pPr>
              <w:pStyle w:val="TableParagraph"/>
              <w:tabs>
                <w:tab w:val="left" w:pos="668"/>
              </w:tabs>
              <w:spacing w:before="15"/>
              <w:ind w:right="79"/>
              <w:jc w:val="right"/>
              <w:rPr>
                <w:sz w:val="20"/>
              </w:rPr>
            </w:pPr>
            <w:r>
              <w:rPr>
                <w:sz w:val="20"/>
                <w:u w:val="single"/>
              </w:rPr>
              <w:t xml:space="preserve"> </w:t>
            </w:r>
            <w:r>
              <w:rPr>
                <w:sz w:val="20"/>
                <w:u w:val="single"/>
              </w:rPr>
              <w:tab/>
              <w:t>473.7</w:t>
            </w:r>
          </w:p>
        </w:tc>
      </w:tr>
    </w:tbl>
    <w:p w14:paraId="7326CE67" w14:textId="14B7384A" w:rsidR="00EF3DFB" w:rsidRDefault="00D27C17">
      <w:pPr>
        <w:spacing w:line="20" w:lineRule="exact"/>
        <w:ind w:left="7050"/>
        <w:rPr>
          <w:sz w:val="2"/>
        </w:rPr>
      </w:pPr>
      <w:r>
        <w:rPr>
          <w:noProof/>
          <w:sz w:val="2"/>
        </w:rPr>
        <mc:AlternateContent>
          <mc:Choice Requires="wpg">
            <w:drawing>
              <wp:inline distT="0" distB="0" distL="0" distR="0" wp14:anchorId="7326D772" wp14:editId="2B8126B8">
                <wp:extent cx="762000" cy="12700"/>
                <wp:effectExtent l="12700" t="8890" r="6350" b="6985"/>
                <wp:docPr id="22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30" name="Line 213"/>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2D226" id="Group 212"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">
                <v:line id="Line 213"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74" wp14:editId="21078D7B">
                <wp:extent cx="762000" cy="12700"/>
                <wp:effectExtent l="12700" t="8890" r="6350" b="6985"/>
                <wp:docPr id="2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28" name="Line 211"/>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D8302E" id="Group 210"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">
                <v:line id="Line 211"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76" wp14:editId="493779F6">
                <wp:extent cx="762000" cy="12700"/>
                <wp:effectExtent l="12700" t="8890" r="6350" b="6985"/>
                <wp:docPr id="225"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0"/>
                          <a:chOff x="0" y="0"/>
                          <a:chExt cx="1200" cy="20"/>
                        </a:xfrm>
                      </wpg:grpSpPr>
                      <wps:wsp>
                        <wps:cNvPr id="226" name="Line 209"/>
                        <wps:cNvCnPr>
                          <a:cxnSpLocks noChangeShapeType="1"/>
                        </wps:cNvCnPr>
                        <wps:spPr bwMode="auto">
                          <a:xfrm>
                            <a:off x="0" y="10"/>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36A0BA" id="Group 208" o:spid="_x0000_s1026" style="width:60pt;height:1pt;mso-position-horizontal-relative:char;mso-position-vertical-relative:line"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">
                <v:line id="Line 209" o:spid="_x0000_s1027" style="position:absolute;visibility:visible;mso-wrap-style:square" from="0,10" to="1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" strokeweight="1pt"/>
                <w10:anchorlock/>
              </v:group>
            </w:pict>
          </mc:Fallback>
        </mc:AlternateContent>
      </w:r>
    </w:p>
    <w:p w14:paraId="7326CE68" w14:textId="77777777" w:rsidR="00EF3DFB" w:rsidRDefault="00D27C17">
      <w:pPr>
        <w:spacing w:before="162"/>
        <w:ind w:left="640"/>
        <w:rPr>
          <w:sz w:val="16"/>
        </w:rPr>
      </w:pPr>
      <w:r>
        <w:rPr>
          <w:sz w:val="16"/>
        </w:rPr>
        <w:t>(1) For 2020 and 2018, 1.1 million and 0.6 million, respectively, potentially dilutive s</w:t>
      </w:r>
      <w:r>
        <w:rPr>
          <w:sz w:val="16"/>
        </w:rPr>
        <w:t>hare-based awards are excluded as their effect would be anti-dilutive.</w:t>
      </w:r>
    </w:p>
    <w:p w14:paraId="7326CE69" w14:textId="77777777" w:rsidR="00EF3DFB" w:rsidRDefault="00EF3DFB">
      <w:pPr>
        <w:pStyle w:val="BodyText"/>
        <w:spacing w:before="8"/>
      </w:pPr>
    </w:p>
    <w:p w14:paraId="7326CE6A" w14:textId="77777777" w:rsidR="00EF3DFB" w:rsidRDefault="00D27C17">
      <w:pPr>
        <w:pStyle w:val="BodyText"/>
        <w:spacing w:line="249" w:lineRule="auto"/>
        <w:ind w:left="190" w:right="169"/>
        <w:jc w:val="both"/>
      </w:pPr>
      <w:r>
        <w:t>At December 31, 2020, there were no potentially dilutive restricted share awards with performance-based vesting targets that were not met and as such, have been excluded from the compu</w:t>
      </w:r>
      <w:r>
        <w:t>tation of diluted earnings per share. At December 31, 2019 and 2018 there were 0.5 million and 1.6 million potentially dilutive restricted share awards with performance-based vesting targets that were not met and as such, have been excluded from the comput</w:t>
      </w:r>
      <w:r>
        <w:t>ation of diluted earnings per share.</w:t>
      </w:r>
    </w:p>
    <w:p w14:paraId="7326CE6B" w14:textId="77777777" w:rsidR="00EF3DFB" w:rsidRDefault="00EF3DFB">
      <w:pPr>
        <w:pStyle w:val="BodyText"/>
        <w:spacing w:before="2"/>
        <w:rPr>
          <w:sz w:val="21"/>
        </w:rPr>
      </w:pPr>
    </w:p>
    <w:p w14:paraId="7326CE6C" w14:textId="77777777" w:rsidR="00EF3DFB" w:rsidRDefault="00D27C17">
      <w:pPr>
        <w:pStyle w:val="BodyText"/>
        <w:spacing w:line="249" w:lineRule="auto"/>
        <w:ind w:left="190" w:right="169"/>
        <w:jc w:val="both"/>
      </w:pPr>
      <w:r>
        <w:t>For 2020, 2019 and 2018 dividends and equivalents for share-based awards expected to be forfeited did not have a material impact on net income for basic and diluted earnings per share.</w:t>
      </w:r>
    </w:p>
    <w:p w14:paraId="7326CE6D" w14:textId="77777777" w:rsidR="00EF3DFB" w:rsidRDefault="00EF3DFB">
      <w:pPr>
        <w:pStyle w:val="BodyText"/>
        <w:spacing w:before="8"/>
      </w:pPr>
    </w:p>
    <w:p w14:paraId="7326CE6E" w14:textId="77777777" w:rsidR="00EF3DFB" w:rsidRDefault="00D27C17">
      <w:pPr>
        <w:pStyle w:val="Heading2"/>
      </w:pPr>
      <w:bookmarkStart w:id="63" w:name="Footnote_15_—_Share-Based_Compensation"/>
      <w:bookmarkEnd w:id="63"/>
      <w:r>
        <w:t>Footnote 15 — Share-Based Compen</w:t>
      </w:r>
      <w:r>
        <w:t>sation</w:t>
      </w:r>
    </w:p>
    <w:p w14:paraId="7326CE6F" w14:textId="77777777" w:rsidR="00EF3DFB" w:rsidRDefault="00EF3DFB">
      <w:pPr>
        <w:pStyle w:val="BodyText"/>
        <w:spacing w:before="1"/>
        <w:rPr>
          <w:b/>
          <w:sz w:val="22"/>
        </w:rPr>
      </w:pPr>
    </w:p>
    <w:p w14:paraId="7326CE70" w14:textId="77777777" w:rsidR="00EF3DFB" w:rsidRDefault="00D27C17">
      <w:pPr>
        <w:pStyle w:val="BodyText"/>
        <w:spacing w:line="249" w:lineRule="auto"/>
        <w:ind w:left="190" w:right="169"/>
        <w:jc w:val="both"/>
      </w:pPr>
      <w:r>
        <w:t>Stock-based compensation expense is adjusted for estimated forfeitures and is recognized on a straight-line basis over the requisite service period of the award, which is generally three years for stock options and one to three years for restricted stock u</w:t>
      </w:r>
      <w:r>
        <w:t>nits and performance-based restricted stock units. The Company estimates future forfeiture rates based on its historical experience.</w:t>
      </w:r>
    </w:p>
    <w:p w14:paraId="7326CE71" w14:textId="77777777" w:rsidR="00EF3DFB" w:rsidRDefault="00EF3DFB">
      <w:pPr>
        <w:pStyle w:val="BodyText"/>
        <w:rPr>
          <w:sz w:val="21"/>
        </w:rPr>
      </w:pPr>
    </w:p>
    <w:p w14:paraId="7326CE72" w14:textId="77777777" w:rsidR="00EF3DFB" w:rsidRDefault="00D27C17">
      <w:pPr>
        <w:pStyle w:val="BodyText"/>
        <w:spacing w:before="1" w:line="249" w:lineRule="auto"/>
        <w:ind w:left="190" w:right="169"/>
        <w:jc w:val="both"/>
      </w:pPr>
      <w:r>
        <w:t>The Company maintains a 2013 stock plan (the “2013 Plan”), which allows for grants of stock-based awards. At December 31, 2020, there were approximately 27 million share-based awards collectively available for grant under the 2013 Plan. The 2013 Plan gener</w:t>
      </w:r>
      <w:r>
        <w:t>ally provides for awards to vest over a minimum of three years, although some awards entitle the recipient to shares of common stock if specified market or performance conditions are achieved and vest no earlier than one year from the date of grant. The st</w:t>
      </w:r>
      <w:r>
        <w:t>ock-based awards granted to employees include stock options and time-based and performance-based restricted stock units, as follows:</w:t>
      </w:r>
    </w:p>
    <w:p w14:paraId="7326CE73" w14:textId="77777777" w:rsidR="00EF3DFB" w:rsidRDefault="00EF3DFB">
      <w:pPr>
        <w:pStyle w:val="BodyText"/>
        <w:spacing w:before="3"/>
        <w:rPr>
          <w:sz w:val="21"/>
        </w:rPr>
      </w:pPr>
    </w:p>
    <w:p w14:paraId="7326CE74" w14:textId="77777777" w:rsidR="00EF3DFB" w:rsidRDefault="00D27C17">
      <w:pPr>
        <w:ind w:left="190"/>
        <w:jc w:val="both"/>
        <w:rPr>
          <w:i/>
          <w:sz w:val="20"/>
        </w:rPr>
      </w:pPr>
      <w:r>
        <w:rPr>
          <w:i/>
          <w:sz w:val="20"/>
        </w:rPr>
        <w:t>Stock Options</w:t>
      </w:r>
    </w:p>
    <w:p w14:paraId="7326CE75" w14:textId="77777777" w:rsidR="00EF3DFB" w:rsidRDefault="00EF3DFB">
      <w:pPr>
        <w:pStyle w:val="BodyText"/>
        <w:spacing w:before="8"/>
        <w:rPr>
          <w:i/>
          <w:sz w:val="21"/>
        </w:rPr>
      </w:pPr>
    </w:p>
    <w:p w14:paraId="7326CE76" w14:textId="77777777" w:rsidR="00EF3DFB" w:rsidRDefault="00D27C17">
      <w:pPr>
        <w:pStyle w:val="BodyText"/>
        <w:spacing w:before="1"/>
        <w:ind w:left="190" w:right="168"/>
        <w:jc w:val="both"/>
      </w:pPr>
      <w:r>
        <w:t>In years in which the Company has elected to grant stock options, it has issued them at exercise prices equ</w:t>
      </w:r>
      <w:r>
        <w:t>al to the Company’s common stock price on the date of grant with contractual terms of ten years. Stock options issued by the Company generally vest and are expensed ratably over three years. Stock option grants are generally subject to forfeiture if employ</w:t>
      </w:r>
      <w:r>
        <w:t>ment terminates prior to vesting, except upon retirement, in which case the options may remain outstanding and exercisable for a specified period not to exceed the remaining contractual term of the</w:t>
      </w:r>
      <w:r>
        <w:rPr>
          <w:spacing w:val="-6"/>
        </w:rPr>
        <w:t xml:space="preserve"> </w:t>
      </w:r>
      <w:r>
        <w:t>option.</w:t>
      </w:r>
    </w:p>
    <w:p w14:paraId="7326CE77" w14:textId="77777777" w:rsidR="00EF3DFB" w:rsidRDefault="00EF3DFB">
      <w:pPr>
        <w:pStyle w:val="BodyText"/>
        <w:spacing w:before="10"/>
      </w:pPr>
    </w:p>
    <w:p w14:paraId="7326CE78" w14:textId="77777777" w:rsidR="00EF3DFB" w:rsidRDefault="00D27C17">
      <w:pPr>
        <w:pStyle w:val="BodyText"/>
        <w:spacing w:line="249" w:lineRule="auto"/>
        <w:ind w:left="190" w:right="168"/>
        <w:jc w:val="both"/>
      </w:pPr>
      <w:r>
        <w:t>During 2019, as inducement to join the Company an</w:t>
      </w:r>
      <w:r>
        <w:t>d in connection with his appointment as President and Chief Executive Officer, the Company awarded Mr. Ravichandra K. Saligram 1.3 million performance-based non-qualified stock options which entitle Mr. Saligram to purchase shares of the Company’s common s</w:t>
      </w:r>
      <w:r>
        <w:t>tock at a price equal to the closing price of a share of the Company’s common stock on the date of grant. For stock option awards with performance conditions that are based on stock price (“Stock-Price Based Stock Options”), the grant date fair value of ce</w:t>
      </w:r>
      <w:r>
        <w:t>rtain Stock-Price Based Stock Options is estimated using a Monte Carlo simulation, with the primary input into such valuation being the expected future volatility of the Company’s common stock, the expected life, risk-free interest rate and expected divide</w:t>
      </w:r>
      <w:r>
        <w:t>nd yield. The Stock-Price Based Stock Options awarded to Mr. Saligram had an aggregate grant date fair value of $5 million. The vesting of the awarded stock options will occur ratably upon the 18-month, two-year and three-year anniversaries of the grant da</w:t>
      </w:r>
      <w:r>
        <w:t xml:space="preserve">te, subject to the attainment of a performance condition that, during any 30-day period between the date that is 18 calendar months following the grant date and the third anniversary of the grant date, the average of the Company’s closing stock price must </w:t>
      </w:r>
      <w:r>
        <w:t xml:space="preserve">exceed 125% of the closing stock price on July 29, 2019, which has already been achieved. The award also provides for vesting in the event of a termination of Mr. Saligram’s employment by the Company without Good Cause, or by Mr. Saligram for Good Reason, </w:t>
      </w:r>
      <w:r>
        <w:t>as such terms are defined in the Company’s 2013 Incentive Plan, in each case subject to attainment of the applicable performance condition (with the performance condition, for this purpose only, measured as of any 30-day period falling between the grant da</w:t>
      </w:r>
      <w:r>
        <w:t>te and the third anniversary of the grant</w:t>
      </w:r>
      <w:r>
        <w:rPr>
          <w:spacing w:val="-12"/>
        </w:rPr>
        <w:t xml:space="preserve"> </w:t>
      </w:r>
      <w:r>
        <w:t>date).</w:t>
      </w:r>
    </w:p>
    <w:p w14:paraId="7326CE79" w14:textId="77777777" w:rsidR="00EF3DFB" w:rsidRDefault="00EF3DFB">
      <w:pPr>
        <w:spacing w:line="249" w:lineRule="auto"/>
        <w:jc w:val="both"/>
        <w:sectPr w:rsidR="00EF3DFB">
          <w:pgSz w:w="12240" w:h="15840"/>
          <w:pgMar w:top="600" w:right="640" w:bottom="480" w:left="620" w:header="0" w:footer="291" w:gutter="0"/>
          <w:cols w:space="720"/>
        </w:sectPr>
      </w:pPr>
    </w:p>
    <w:p w14:paraId="7326CE7A" w14:textId="77777777" w:rsidR="00EF3DFB" w:rsidRDefault="00D27C17">
      <w:pPr>
        <w:pStyle w:val="BodyText"/>
        <w:spacing w:before="72" w:line="249" w:lineRule="auto"/>
        <w:ind w:left="190" w:right="170"/>
        <w:jc w:val="both"/>
      </w:pPr>
      <w:r>
        <w:lastRenderedPageBreak/>
        <w:t>The following table summarizes the changes in the number of shares of common stock for 2020 (shares and aggregate intrinsic value in</w:t>
      </w:r>
      <w:r>
        <w:rPr>
          <w:spacing w:val="-2"/>
        </w:rPr>
        <w:t xml:space="preserve"> </w:t>
      </w:r>
      <w:r>
        <w:t>millions):</w:t>
      </w:r>
    </w:p>
    <w:p w14:paraId="7326CE7B" w14:textId="77777777" w:rsidR="00EF3DFB" w:rsidRDefault="00EF3DFB">
      <w:pPr>
        <w:pStyle w:val="BodyText"/>
      </w:pPr>
    </w:p>
    <w:p w14:paraId="7326CE7C" w14:textId="77777777" w:rsidR="00EF3DFB" w:rsidRDefault="00EF3DFB">
      <w:pPr>
        <w:pStyle w:val="BodyText"/>
        <w:rPr>
          <w:sz w:val="13"/>
        </w:rPr>
      </w:pPr>
    </w:p>
    <w:tbl>
      <w:tblPr>
        <w:tblW w:w="0" w:type="auto"/>
        <w:tblInd w:w="190" w:type="dxa"/>
        <w:tblLayout w:type="fixed"/>
        <w:tblCellMar>
          <w:left w:w="0" w:type="dxa"/>
          <w:right w:w="0" w:type="dxa"/>
        </w:tblCellMar>
        <w:tblLook w:val="01E0" w:firstRow="1" w:lastRow="1" w:firstColumn="1" w:lastColumn="1" w:noHBand="0" w:noVBand="0"/>
      </w:tblPr>
      <w:tblGrid>
        <w:gridCol w:w="4220"/>
        <w:gridCol w:w="2599"/>
        <w:gridCol w:w="1284"/>
        <w:gridCol w:w="1372"/>
        <w:gridCol w:w="1148"/>
      </w:tblGrid>
      <w:tr w:rsidR="00EF3DFB" w14:paraId="7326CE81" w14:textId="77777777">
        <w:trPr>
          <w:trHeight w:val="184"/>
        </w:trPr>
        <w:tc>
          <w:tcPr>
            <w:tcW w:w="6819" w:type="dxa"/>
            <w:gridSpan w:val="2"/>
            <w:vMerge w:val="restart"/>
          </w:tcPr>
          <w:p w14:paraId="7326CE7D" w14:textId="77777777" w:rsidR="00EF3DFB" w:rsidRDefault="00EF3DFB">
            <w:pPr>
              <w:pStyle w:val="TableParagraph"/>
              <w:rPr>
                <w:sz w:val="18"/>
              </w:rPr>
            </w:pPr>
          </w:p>
        </w:tc>
        <w:tc>
          <w:tcPr>
            <w:tcW w:w="1284" w:type="dxa"/>
          </w:tcPr>
          <w:p w14:paraId="7326CE7E" w14:textId="77777777" w:rsidR="00EF3DFB" w:rsidRDefault="00D27C17">
            <w:pPr>
              <w:pStyle w:val="TableParagraph"/>
              <w:spacing w:line="165" w:lineRule="exact"/>
              <w:ind w:left="295"/>
              <w:rPr>
                <w:b/>
                <w:sz w:val="16"/>
              </w:rPr>
            </w:pPr>
            <w:r>
              <w:rPr>
                <w:b/>
                <w:sz w:val="16"/>
              </w:rPr>
              <w:t>Weighted-</w:t>
            </w:r>
          </w:p>
        </w:tc>
        <w:tc>
          <w:tcPr>
            <w:tcW w:w="1372" w:type="dxa"/>
          </w:tcPr>
          <w:p w14:paraId="7326CE7F" w14:textId="77777777" w:rsidR="00EF3DFB" w:rsidRDefault="00EF3DFB">
            <w:pPr>
              <w:pStyle w:val="TableParagraph"/>
              <w:rPr>
                <w:sz w:val="12"/>
              </w:rPr>
            </w:pPr>
          </w:p>
        </w:tc>
        <w:tc>
          <w:tcPr>
            <w:tcW w:w="1148" w:type="dxa"/>
            <w:vMerge w:val="restart"/>
          </w:tcPr>
          <w:p w14:paraId="7326CE80" w14:textId="77777777" w:rsidR="00EF3DFB" w:rsidRDefault="00EF3DFB">
            <w:pPr>
              <w:pStyle w:val="TableParagraph"/>
              <w:rPr>
                <w:sz w:val="18"/>
              </w:rPr>
            </w:pPr>
          </w:p>
        </w:tc>
      </w:tr>
      <w:tr w:rsidR="00EF3DFB" w14:paraId="7326CE86" w14:textId="77777777">
        <w:trPr>
          <w:trHeight w:val="192"/>
        </w:trPr>
        <w:tc>
          <w:tcPr>
            <w:tcW w:w="6819" w:type="dxa"/>
            <w:gridSpan w:val="2"/>
            <w:vMerge/>
            <w:tcBorders>
              <w:top w:val="nil"/>
            </w:tcBorders>
          </w:tcPr>
          <w:p w14:paraId="7326CE82" w14:textId="77777777" w:rsidR="00EF3DFB" w:rsidRDefault="00EF3DFB">
            <w:pPr>
              <w:rPr>
                <w:sz w:val="2"/>
                <w:szCs w:val="2"/>
              </w:rPr>
            </w:pPr>
          </w:p>
        </w:tc>
        <w:tc>
          <w:tcPr>
            <w:tcW w:w="1284" w:type="dxa"/>
          </w:tcPr>
          <w:p w14:paraId="7326CE83" w14:textId="77777777" w:rsidR="00EF3DFB" w:rsidRDefault="00D27C17">
            <w:pPr>
              <w:pStyle w:val="TableParagraph"/>
              <w:spacing w:line="171" w:lineRule="exact"/>
              <w:ind w:left="366"/>
              <w:rPr>
                <w:b/>
                <w:sz w:val="16"/>
              </w:rPr>
            </w:pPr>
            <w:r>
              <w:rPr>
                <w:b/>
                <w:sz w:val="16"/>
              </w:rPr>
              <w:t>Average</w:t>
            </w:r>
          </w:p>
        </w:tc>
        <w:tc>
          <w:tcPr>
            <w:tcW w:w="1372" w:type="dxa"/>
          </w:tcPr>
          <w:p w14:paraId="7326CE84" w14:textId="77777777" w:rsidR="00EF3DFB" w:rsidRDefault="00D27C17">
            <w:pPr>
              <w:pStyle w:val="TableParagraph"/>
              <w:spacing w:line="171" w:lineRule="exact"/>
              <w:ind w:left="92" w:right="177"/>
              <w:jc w:val="center"/>
              <w:rPr>
                <w:b/>
                <w:sz w:val="16"/>
              </w:rPr>
            </w:pPr>
            <w:r>
              <w:rPr>
                <w:b/>
                <w:sz w:val="16"/>
              </w:rPr>
              <w:t>Weighted</w:t>
            </w:r>
          </w:p>
        </w:tc>
        <w:tc>
          <w:tcPr>
            <w:tcW w:w="1148" w:type="dxa"/>
            <w:vMerge/>
            <w:tcBorders>
              <w:top w:val="nil"/>
            </w:tcBorders>
          </w:tcPr>
          <w:p w14:paraId="7326CE85" w14:textId="77777777" w:rsidR="00EF3DFB" w:rsidRDefault="00EF3DFB">
            <w:pPr>
              <w:rPr>
                <w:sz w:val="2"/>
                <w:szCs w:val="2"/>
              </w:rPr>
            </w:pPr>
          </w:p>
        </w:tc>
      </w:tr>
      <w:tr w:rsidR="00EF3DFB" w14:paraId="7326CE8B" w14:textId="77777777">
        <w:trPr>
          <w:trHeight w:val="192"/>
        </w:trPr>
        <w:tc>
          <w:tcPr>
            <w:tcW w:w="6819" w:type="dxa"/>
            <w:gridSpan w:val="2"/>
            <w:vMerge/>
            <w:tcBorders>
              <w:top w:val="nil"/>
            </w:tcBorders>
          </w:tcPr>
          <w:p w14:paraId="7326CE87" w14:textId="77777777" w:rsidR="00EF3DFB" w:rsidRDefault="00EF3DFB">
            <w:pPr>
              <w:rPr>
                <w:sz w:val="2"/>
                <w:szCs w:val="2"/>
              </w:rPr>
            </w:pPr>
          </w:p>
        </w:tc>
        <w:tc>
          <w:tcPr>
            <w:tcW w:w="1284" w:type="dxa"/>
          </w:tcPr>
          <w:p w14:paraId="7326CE88" w14:textId="77777777" w:rsidR="00EF3DFB" w:rsidRDefault="00D27C17">
            <w:pPr>
              <w:pStyle w:val="TableParagraph"/>
              <w:spacing w:line="171" w:lineRule="exact"/>
              <w:ind w:left="362"/>
              <w:rPr>
                <w:b/>
                <w:sz w:val="16"/>
              </w:rPr>
            </w:pPr>
            <w:r>
              <w:rPr>
                <w:b/>
                <w:sz w:val="16"/>
              </w:rPr>
              <w:t>Exercise</w:t>
            </w:r>
          </w:p>
        </w:tc>
        <w:tc>
          <w:tcPr>
            <w:tcW w:w="1372" w:type="dxa"/>
          </w:tcPr>
          <w:p w14:paraId="7326CE89" w14:textId="77777777" w:rsidR="00EF3DFB" w:rsidRDefault="00D27C17">
            <w:pPr>
              <w:pStyle w:val="TableParagraph"/>
              <w:spacing w:line="171" w:lineRule="exact"/>
              <w:ind w:left="92" w:right="177"/>
              <w:jc w:val="center"/>
              <w:rPr>
                <w:b/>
                <w:sz w:val="16"/>
              </w:rPr>
            </w:pPr>
            <w:r>
              <w:rPr>
                <w:b/>
                <w:sz w:val="16"/>
              </w:rPr>
              <w:t>Average</w:t>
            </w:r>
          </w:p>
        </w:tc>
        <w:tc>
          <w:tcPr>
            <w:tcW w:w="1148" w:type="dxa"/>
          </w:tcPr>
          <w:p w14:paraId="7326CE8A" w14:textId="77777777" w:rsidR="00EF3DFB" w:rsidRDefault="00D27C17">
            <w:pPr>
              <w:pStyle w:val="TableParagraph"/>
              <w:spacing w:line="171" w:lineRule="exact"/>
              <w:ind w:left="194"/>
              <w:rPr>
                <w:b/>
                <w:sz w:val="16"/>
              </w:rPr>
            </w:pPr>
            <w:r>
              <w:rPr>
                <w:b/>
                <w:sz w:val="16"/>
              </w:rPr>
              <w:t>Aggregate</w:t>
            </w:r>
          </w:p>
        </w:tc>
      </w:tr>
      <w:tr w:rsidR="00EF3DFB" w14:paraId="7326CE90" w14:textId="77777777">
        <w:trPr>
          <w:trHeight w:val="192"/>
        </w:trPr>
        <w:tc>
          <w:tcPr>
            <w:tcW w:w="6819" w:type="dxa"/>
            <w:gridSpan w:val="2"/>
            <w:vMerge/>
            <w:tcBorders>
              <w:top w:val="nil"/>
            </w:tcBorders>
          </w:tcPr>
          <w:p w14:paraId="7326CE8C" w14:textId="77777777" w:rsidR="00EF3DFB" w:rsidRDefault="00EF3DFB">
            <w:pPr>
              <w:rPr>
                <w:sz w:val="2"/>
                <w:szCs w:val="2"/>
              </w:rPr>
            </w:pPr>
          </w:p>
        </w:tc>
        <w:tc>
          <w:tcPr>
            <w:tcW w:w="1284" w:type="dxa"/>
          </w:tcPr>
          <w:p w14:paraId="7326CE8D" w14:textId="77777777" w:rsidR="00EF3DFB" w:rsidRDefault="00D27C17">
            <w:pPr>
              <w:pStyle w:val="TableParagraph"/>
              <w:spacing w:line="171" w:lineRule="exact"/>
              <w:ind w:left="333"/>
              <w:rPr>
                <w:b/>
                <w:sz w:val="16"/>
              </w:rPr>
            </w:pPr>
            <w:r>
              <w:rPr>
                <w:b/>
                <w:sz w:val="16"/>
              </w:rPr>
              <w:t>Price Per</w:t>
            </w:r>
          </w:p>
        </w:tc>
        <w:tc>
          <w:tcPr>
            <w:tcW w:w="1372" w:type="dxa"/>
          </w:tcPr>
          <w:p w14:paraId="7326CE8E" w14:textId="77777777" w:rsidR="00EF3DFB" w:rsidRDefault="00D27C17">
            <w:pPr>
              <w:pStyle w:val="TableParagraph"/>
              <w:spacing w:line="171" w:lineRule="exact"/>
              <w:ind w:left="92" w:right="177"/>
              <w:jc w:val="center"/>
              <w:rPr>
                <w:b/>
                <w:sz w:val="16"/>
              </w:rPr>
            </w:pPr>
            <w:r>
              <w:rPr>
                <w:b/>
                <w:sz w:val="16"/>
              </w:rPr>
              <w:t>Remaining Life</w:t>
            </w:r>
          </w:p>
        </w:tc>
        <w:tc>
          <w:tcPr>
            <w:tcW w:w="1148" w:type="dxa"/>
          </w:tcPr>
          <w:p w14:paraId="7326CE8F" w14:textId="77777777" w:rsidR="00EF3DFB" w:rsidRDefault="00D27C17">
            <w:pPr>
              <w:pStyle w:val="TableParagraph"/>
              <w:spacing w:line="171" w:lineRule="exact"/>
              <w:ind w:left="251"/>
              <w:rPr>
                <w:b/>
                <w:sz w:val="16"/>
              </w:rPr>
            </w:pPr>
            <w:r>
              <w:rPr>
                <w:b/>
                <w:sz w:val="16"/>
              </w:rPr>
              <w:t>Intrinsic</w:t>
            </w:r>
          </w:p>
        </w:tc>
      </w:tr>
      <w:tr w:rsidR="00EF3DFB" w14:paraId="7326CE96" w14:textId="77777777">
        <w:trPr>
          <w:trHeight w:val="204"/>
        </w:trPr>
        <w:tc>
          <w:tcPr>
            <w:tcW w:w="4220" w:type="dxa"/>
          </w:tcPr>
          <w:p w14:paraId="7326CE91" w14:textId="77777777" w:rsidR="00EF3DFB" w:rsidRDefault="00EF3DFB">
            <w:pPr>
              <w:pStyle w:val="TableParagraph"/>
              <w:rPr>
                <w:sz w:val="14"/>
              </w:rPr>
            </w:pPr>
          </w:p>
        </w:tc>
        <w:tc>
          <w:tcPr>
            <w:tcW w:w="2599" w:type="dxa"/>
            <w:tcBorders>
              <w:bottom w:val="single" w:sz="8" w:space="0" w:color="000000"/>
            </w:tcBorders>
          </w:tcPr>
          <w:p w14:paraId="7326CE92" w14:textId="77777777" w:rsidR="00EF3DFB" w:rsidRDefault="00D27C17">
            <w:pPr>
              <w:pStyle w:val="TableParagraph"/>
              <w:spacing w:line="184" w:lineRule="exact"/>
              <w:ind w:right="391"/>
              <w:jc w:val="right"/>
              <w:rPr>
                <w:b/>
                <w:sz w:val="16"/>
              </w:rPr>
            </w:pPr>
            <w:r>
              <w:rPr>
                <w:b/>
                <w:sz w:val="16"/>
              </w:rPr>
              <w:t>Shares</w:t>
            </w:r>
          </w:p>
        </w:tc>
        <w:tc>
          <w:tcPr>
            <w:tcW w:w="1284" w:type="dxa"/>
            <w:tcBorders>
              <w:bottom w:val="single" w:sz="8" w:space="0" w:color="000000"/>
            </w:tcBorders>
          </w:tcPr>
          <w:p w14:paraId="7326CE93" w14:textId="77777777" w:rsidR="00EF3DFB" w:rsidRDefault="00D27C17">
            <w:pPr>
              <w:pStyle w:val="TableParagraph"/>
              <w:spacing w:line="184" w:lineRule="exact"/>
              <w:ind w:left="431" w:right="413"/>
              <w:jc w:val="center"/>
              <w:rPr>
                <w:b/>
                <w:sz w:val="16"/>
              </w:rPr>
            </w:pPr>
            <w:r>
              <w:rPr>
                <w:b/>
                <w:sz w:val="16"/>
              </w:rPr>
              <w:t>Share</w:t>
            </w:r>
          </w:p>
        </w:tc>
        <w:tc>
          <w:tcPr>
            <w:tcW w:w="1372" w:type="dxa"/>
            <w:tcBorders>
              <w:bottom w:val="single" w:sz="8" w:space="0" w:color="000000"/>
            </w:tcBorders>
          </w:tcPr>
          <w:p w14:paraId="7326CE94" w14:textId="77777777" w:rsidR="00EF3DFB" w:rsidRDefault="00D27C17">
            <w:pPr>
              <w:pStyle w:val="TableParagraph"/>
              <w:spacing w:line="184" w:lineRule="exact"/>
              <w:ind w:left="92" w:right="177"/>
              <w:jc w:val="center"/>
              <w:rPr>
                <w:b/>
                <w:sz w:val="16"/>
              </w:rPr>
            </w:pPr>
            <w:r>
              <w:rPr>
                <w:b/>
                <w:sz w:val="16"/>
              </w:rPr>
              <w:t>(years)</w:t>
            </w:r>
          </w:p>
        </w:tc>
        <w:tc>
          <w:tcPr>
            <w:tcW w:w="1148" w:type="dxa"/>
            <w:tcBorders>
              <w:bottom w:val="single" w:sz="8" w:space="0" w:color="000000"/>
            </w:tcBorders>
          </w:tcPr>
          <w:p w14:paraId="7326CE95" w14:textId="77777777" w:rsidR="00EF3DFB" w:rsidRDefault="00D27C17">
            <w:pPr>
              <w:pStyle w:val="TableParagraph"/>
              <w:spacing w:line="184" w:lineRule="exact"/>
              <w:ind w:left="345"/>
              <w:rPr>
                <w:b/>
                <w:sz w:val="16"/>
              </w:rPr>
            </w:pPr>
            <w:r>
              <w:rPr>
                <w:b/>
                <w:sz w:val="16"/>
              </w:rPr>
              <w:t>Value</w:t>
            </w:r>
          </w:p>
        </w:tc>
      </w:tr>
      <w:tr w:rsidR="00EF3DFB" w14:paraId="7326CE9C" w14:textId="77777777">
        <w:trPr>
          <w:trHeight w:val="275"/>
        </w:trPr>
        <w:tc>
          <w:tcPr>
            <w:tcW w:w="4220" w:type="dxa"/>
            <w:shd w:val="clear" w:color="auto" w:fill="CCEDFF"/>
          </w:tcPr>
          <w:p w14:paraId="7326CE97" w14:textId="77777777" w:rsidR="00EF3DFB" w:rsidRDefault="00D27C17">
            <w:pPr>
              <w:pStyle w:val="TableParagraph"/>
              <w:spacing w:line="224" w:lineRule="exact"/>
              <w:ind w:left="52"/>
              <w:rPr>
                <w:sz w:val="20"/>
              </w:rPr>
            </w:pPr>
            <w:r>
              <w:rPr>
                <w:sz w:val="20"/>
              </w:rPr>
              <w:t>Outstanding at December 31, 2019</w:t>
            </w:r>
          </w:p>
        </w:tc>
        <w:tc>
          <w:tcPr>
            <w:tcW w:w="2599" w:type="dxa"/>
            <w:tcBorders>
              <w:top w:val="single" w:sz="8" w:space="0" w:color="000000"/>
            </w:tcBorders>
            <w:shd w:val="clear" w:color="auto" w:fill="CCEDFF"/>
          </w:tcPr>
          <w:p w14:paraId="7326CE98" w14:textId="77777777" w:rsidR="00EF3DFB" w:rsidRDefault="00D27C17">
            <w:pPr>
              <w:pStyle w:val="TableParagraph"/>
              <w:spacing w:before="15"/>
              <w:ind w:right="103"/>
              <w:jc w:val="right"/>
              <w:rPr>
                <w:sz w:val="20"/>
              </w:rPr>
            </w:pPr>
            <w:r>
              <w:rPr>
                <w:sz w:val="20"/>
              </w:rPr>
              <w:t>1.6</w:t>
            </w:r>
          </w:p>
        </w:tc>
        <w:tc>
          <w:tcPr>
            <w:tcW w:w="1284" w:type="dxa"/>
            <w:tcBorders>
              <w:top w:val="single" w:sz="8" w:space="0" w:color="000000"/>
            </w:tcBorders>
            <w:shd w:val="clear" w:color="auto" w:fill="CCEDFF"/>
          </w:tcPr>
          <w:p w14:paraId="7326CE99" w14:textId="77777777" w:rsidR="00EF3DFB" w:rsidRDefault="00D27C17">
            <w:pPr>
              <w:pStyle w:val="TableParagraph"/>
              <w:tabs>
                <w:tab w:val="left" w:pos="865"/>
              </w:tabs>
              <w:spacing w:before="15"/>
              <w:ind w:right="112"/>
              <w:jc w:val="right"/>
              <w:rPr>
                <w:sz w:val="20"/>
              </w:rPr>
            </w:pPr>
            <w:r>
              <w:rPr>
                <w:sz w:val="20"/>
              </w:rPr>
              <w:t>$</w:t>
            </w:r>
            <w:r>
              <w:rPr>
                <w:sz w:val="20"/>
              </w:rPr>
              <w:tab/>
              <w:t>17</w:t>
            </w:r>
          </w:p>
        </w:tc>
        <w:tc>
          <w:tcPr>
            <w:tcW w:w="1372" w:type="dxa"/>
            <w:tcBorders>
              <w:top w:val="single" w:sz="8" w:space="0" w:color="000000"/>
            </w:tcBorders>
            <w:shd w:val="clear" w:color="auto" w:fill="CCEDFF"/>
          </w:tcPr>
          <w:p w14:paraId="7326CE9A" w14:textId="77777777" w:rsidR="00EF3DFB" w:rsidRDefault="00EF3DFB">
            <w:pPr>
              <w:pStyle w:val="TableParagraph"/>
              <w:rPr>
                <w:sz w:val="18"/>
              </w:rPr>
            </w:pPr>
          </w:p>
        </w:tc>
        <w:tc>
          <w:tcPr>
            <w:tcW w:w="1148" w:type="dxa"/>
            <w:tcBorders>
              <w:top w:val="single" w:sz="8" w:space="0" w:color="000000"/>
            </w:tcBorders>
            <w:shd w:val="clear" w:color="auto" w:fill="CCEDFF"/>
          </w:tcPr>
          <w:p w14:paraId="7326CE9B" w14:textId="77777777" w:rsidR="00EF3DFB" w:rsidRDefault="00EF3DFB">
            <w:pPr>
              <w:pStyle w:val="TableParagraph"/>
              <w:rPr>
                <w:sz w:val="18"/>
              </w:rPr>
            </w:pPr>
          </w:p>
        </w:tc>
      </w:tr>
      <w:tr w:rsidR="00EF3DFB" w14:paraId="7326CEA2" w14:textId="77777777">
        <w:trPr>
          <w:trHeight w:val="285"/>
        </w:trPr>
        <w:tc>
          <w:tcPr>
            <w:tcW w:w="4220" w:type="dxa"/>
          </w:tcPr>
          <w:p w14:paraId="7326CE9D" w14:textId="77777777" w:rsidR="00EF3DFB" w:rsidRDefault="00D27C17">
            <w:pPr>
              <w:pStyle w:val="TableParagraph"/>
              <w:spacing w:before="4"/>
              <w:ind w:left="52"/>
              <w:rPr>
                <w:sz w:val="20"/>
              </w:rPr>
            </w:pPr>
            <w:r>
              <w:rPr>
                <w:sz w:val="20"/>
              </w:rPr>
              <w:t>Granted</w:t>
            </w:r>
          </w:p>
        </w:tc>
        <w:tc>
          <w:tcPr>
            <w:tcW w:w="2599" w:type="dxa"/>
          </w:tcPr>
          <w:p w14:paraId="7326CE9E" w14:textId="77777777" w:rsidR="00EF3DFB" w:rsidRDefault="00D27C17">
            <w:pPr>
              <w:pStyle w:val="TableParagraph"/>
              <w:spacing w:before="25"/>
              <w:ind w:right="103"/>
              <w:jc w:val="right"/>
              <w:rPr>
                <w:sz w:val="20"/>
              </w:rPr>
            </w:pPr>
            <w:r>
              <w:rPr>
                <w:sz w:val="20"/>
              </w:rPr>
              <w:t>1.1</w:t>
            </w:r>
          </w:p>
        </w:tc>
        <w:tc>
          <w:tcPr>
            <w:tcW w:w="1284" w:type="dxa"/>
          </w:tcPr>
          <w:p w14:paraId="7326CE9F" w14:textId="77777777" w:rsidR="00EF3DFB" w:rsidRDefault="00D27C17">
            <w:pPr>
              <w:pStyle w:val="TableParagraph"/>
              <w:spacing w:before="25"/>
              <w:ind w:right="112"/>
              <w:jc w:val="right"/>
              <w:rPr>
                <w:sz w:val="20"/>
              </w:rPr>
            </w:pPr>
            <w:r>
              <w:rPr>
                <w:sz w:val="20"/>
              </w:rPr>
              <w:t>20</w:t>
            </w:r>
          </w:p>
        </w:tc>
        <w:tc>
          <w:tcPr>
            <w:tcW w:w="1372" w:type="dxa"/>
          </w:tcPr>
          <w:p w14:paraId="7326CEA0" w14:textId="77777777" w:rsidR="00EF3DFB" w:rsidRDefault="00EF3DFB">
            <w:pPr>
              <w:pStyle w:val="TableParagraph"/>
              <w:rPr>
                <w:sz w:val="18"/>
              </w:rPr>
            </w:pPr>
          </w:p>
        </w:tc>
        <w:tc>
          <w:tcPr>
            <w:tcW w:w="1148" w:type="dxa"/>
          </w:tcPr>
          <w:p w14:paraId="7326CEA1" w14:textId="77777777" w:rsidR="00EF3DFB" w:rsidRDefault="00EF3DFB">
            <w:pPr>
              <w:pStyle w:val="TableParagraph"/>
              <w:rPr>
                <w:sz w:val="18"/>
              </w:rPr>
            </w:pPr>
          </w:p>
        </w:tc>
      </w:tr>
      <w:tr w:rsidR="00EF3DFB" w14:paraId="7326CEA8" w14:textId="77777777">
        <w:trPr>
          <w:trHeight w:val="285"/>
        </w:trPr>
        <w:tc>
          <w:tcPr>
            <w:tcW w:w="4220" w:type="dxa"/>
            <w:shd w:val="clear" w:color="auto" w:fill="CCEDFF"/>
          </w:tcPr>
          <w:p w14:paraId="7326CEA3" w14:textId="77777777" w:rsidR="00EF3DFB" w:rsidRDefault="00D27C17">
            <w:pPr>
              <w:pStyle w:val="TableParagraph"/>
              <w:spacing w:before="4"/>
              <w:ind w:left="52"/>
              <w:rPr>
                <w:sz w:val="20"/>
              </w:rPr>
            </w:pPr>
            <w:r>
              <w:rPr>
                <w:sz w:val="20"/>
              </w:rPr>
              <w:t>Exercised</w:t>
            </w:r>
          </w:p>
        </w:tc>
        <w:tc>
          <w:tcPr>
            <w:tcW w:w="2599" w:type="dxa"/>
            <w:shd w:val="clear" w:color="auto" w:fill="CCEDFF"/>
          </w:tcPr>
          <w:p w14:paraId="7326CEA4" w14:textId="77777777" w:rsidR="00EF3DFB" w:rsidRDefault="00D27C17">
            <w:pPr>
              <w:pStyle w:val="TableParagraph"/>
              <w:spacing w:before="25"/>
              <w:ind w:right="103"/>
              <w:jc w:val="right"/>
              <w:rPr>
                <w:sz w:val="20"/>
              </w:rPr>
            </w:pPr>
            <w:r>
              <w:rPr>
                <w:sz w:val="20"/>
              </w:rPr>
              <w:t>—</w:t>
            </w:r>
          </w:p>
        </w:tc>
        <w:tc>
          <w:tcPr>
            <w:tcW w:w="1284" w:type="dxa"/>
            <w:shd w:val="clear" w:color="auto" w:fill="CCEDFF"/>
          </w:tcPr>
          <w:p w14:paraId="7326CEA5" w14:textId="77777777" w:rsidR="00EF3DFB" w:rsidRDefault="00D27C17">
            <w:pPr>
              <w:pStyle w:val="TableParagraph"/>
              <w:spacing w:before="25"/>
              <w:ind w:right="112"/>
              <w:jc w:val="right"/>
              <w:rPr>
                <w:sz w:val="20"/>
              </w:rPr>
            </w:pPr>
            <w:r>
              <w:rPr>
                <w:sz w:val="20"/>
              </w:rPr>
              <w:t>18</w:t>
            </w:r>
          </w:p>
        </w:tc>
        <w:tc>
          <w:tcPr>
            <w:tcW w:w="1372" w:type="dxa"/>
            <w:shd w:val="clear" w:color="auto" w:fill="CCEDFF"/>
          </w:tcPr>
          <w:p w14:paraId="7326CEA6" w14:textId="77777777" w:rsidR="00EF3DFB" w:rsidRDefault="00EF3DFB">
            <w:pPr>
              <w:pStyle w:val="TableParagraph"/>
              <w:rPr>
                <w:sz w:val="18"/>
              </w:rPr>
            </w:pPr>
          </w:p>
        </w:tc>
        <w:tc>
          <w:tcPr>
            <w:tcW w:w="1148" w:type="dxa"/>
            <w:shd w:val="clear" w:color="auto" w:fill="CCEDFF"/>
          </w:tcPr>
          <w:p w14:paraId="7326CEA7" w14:textId="77777777" w:rsidR="00EF3DFB" w:rsidRDefault="00EF3DFB">
            <w:pPr>
              <w:pStyle w:val="TableParagraph"/>
              <w:rPr>
                <w:sz w:val="18"/>
              </w:rPr>
            </w:pPr>
          </w:p>
        </w:tc>
      </w:tr>
      <w:tr w:rsidR="00EF3DFB" w14:paraId="7326CEAE" w14:textId="77777777">
        <w:trPr>
          <w:trHeight w:val="275"/>
        </w:trPr>
        <w:tc>
          <w:tcPr>
            <w:tcW w:w="4220" w:type="dxa"/>
          </w:tcPr>
          <w:p w14:paraId="7326CEA9" w14:textId="77777777" w:rsidR="00EF3DFB" w:rsidRDefault="00D27C17">
            <w:pPr>
              <w:pStyle w:val="TableParagraph"/>
              <w:spacing w:before="4"/>
              <w:ind w:left="52"/>
              <w:rPr>
                <w:sz w:val="20"/>
              </w:rPr>
            </w:pPr>
            <w:r>
              <w:rPr>
                <w:sz w:val="20"/>
              </w:rPr>
              <w:t>Forfeited</w:t>
            </w:r>
          </w:p>
        </w:tc>
        <w:tc>
          <w:tcPr>
            <w:tcW w:w="2599" w:type="dxa"/>
            <w:tcBorders>
              <w:bottom w:val="single" w:sz="8" w:space="0" w:color="000000"/>
            </w:tcBorders>
          </w:tcPr>
          <w:p w14:paraId="7326CEAA" w14:textId="77777777" w:rsidR="00EF3DFB" w:rsidRDefault="00D27C17">
            <w:pPr>
              <w:pStyle w:val="TableParagraph"/>
              <w:spacing w:before="25" w:line="230" w:lineRule="exact"/>
              <w:ind w:right="103"/>
              <w:jc w:val="right"/>
              <w:rPr>
                <w:sz w:val="20"/>
              </w:rPr>
            </w:pPr>
            <w:r>
              <w:rPr>
                <w:sz w:val="20"/>
              </w:rPr>
              <w:t>—</w:t>
            </w:r>
          </w:p>
        </w:tc>
        <w:tc>
          <w:tcPr>
            <w:tcW w:w="1284" w:type="dxa"/>
            <w:tcBorders>
              <w:bottom w:val="single" w:sz="8" w:space="0" w:color="000000"/>
            </w:tcBorders>
          </w:tcPr>
          <w:p w14:paraId="7326CEAB" w14:textId="77777777" w:rsidR="00EF3DFB" w:rsidRDefault="00D27C17">
            <w:pPr>
              <w:pStyle w:val="TableParagraph"/>
              <w:spacing w:before="25" w:line="230" w:lineRule="exact"/>
              <w:ind w:right="112"/>
              <w:jc w:val="right"/>
              <w:rPr>
                <w:sz w:val="20"/>
              </w:rPr>
            </w:pPr>
            <w:r>
              <w:rPr>
                <w:sz w:val="20"/>
              </w:rPr>
              <w:t>20</w:t>
            </w:r>
          </w:p>
        </w:tc>
        <w:tc>
          <w:tcPr>
            <w:tcW w:w="1372" w:type="dxa"/>
          </w:tcPr>
          <w:p w14:paraId="7326CEAC" w14:textId="77777777" w:rsidR="00EF3DFB" w:rsidRDefault="00EF3DFB">
            <w:pPr>
              <w:pStyle w:val="TableParagraph"/>
              <w:rPr>
                <w:sz w:val="18"/>
              </w:rPr>
            </w:pPr>
          </w:p>
        </w:tc>
        <w:tc>
          <w:tcPr>
            <w:tcW w:w="1148" w:type="dxa"/>
          </w:tcPr>
          <w:p w14:paraId="7326CEAD" w14:textId="77777777" w:rsidR="00EF3DFB" w:rsidRDefault="00EF3DFB">
            <w:pPr>
              <w:pStyle w:val="TableParagraph"/>
              <w:rPr>
                <w:sz w:val="18"/>
              </w:rPr>
            </w:pPr>
          </w:p>
        </w:tc>
      </w:tr>
      <w:tr w:rsidR="00EF3DFB" w14:paraId="7326CEB4" w14:textId="77777777">
        <w:trPr>
          <w:trHeight w:val="285"/>
        </w:trPr>
        <w:tc>
          <w:tcPr>
            <w:tcW w:w="4220" w:type="dxa"/>
            <w:shd w:val="clear" w:color="auto" w:fill="CCEDFF"/>
          </w:tcPr>
          <w:p w14:paraId="7326CEAF" w14:textId="77777777" w:rsidR="00EF3DFB" w:rsidRDefault="00D27C17">
            <w:pPr>
              <w:pStyle w:val="TableParagraph"/>
              <w:spacing w:line="224" w:lineRule="exact"/>
              <w:ind w:left="52"/>
              <w:rPr>
                <w:sz w:val="20"/>
              </w:rPr>
            </w:pPr>
            <w:r>
              <w:rPr>
                <w:sz w:val="20"/>
              </w:rPr>
              <w:t>Outstanding at December 31, 2020</w:t>
            </w:r>
          </w:p>
        </w:tc>
        <w:tc>
          <w:tcPr>
            <w:tcW w:w="2599" w:type="dxa"/>
            <w:tcBorders>
              <w:top w:val="single" w:sz="8" w:space="0" w:color="000000"/>
              <w:bottom w:val="single" w:sz="8" w:space="0" w:color="000000"/>
            </w:tcBorders>
            <w:shd w:val="clear" w:color="auto" w:fill="CCEDFF"/>
          </w:tcPr>
          <w:p w14:paraId="7326CEB0" w14:textId="77777777" w:rsidR="00EF3DFB" w:rsidRDefault="00D27C17">
            <w:pPr>
              <w:pStyle w:val="TableParagraph"/>
              <w:tabs>
                <w:tab w:val="left" w:pos="868"/>
              </w:tabs>
              <w:spacing w:before="15"/>
              <w:ind w:right="103"/>
              <w:jc w:val="right"/>
              <w:rPr>
                <w:sz w:val="20"/>
              </w:rPr>
            </w:pPr>
            <w:r>
              <w:rPr>
                <w:sz w:val="20"/>
                <w:u w:val="single"/>
              </w:rPr>
              <w:t xml:space="preserve"> </w:t>
            </w:r>
            <w:r>
              <w:rPr>
                <w:sz w:val="20"/>
                <w:u w:val="single"/>
              </w:rPr>
              <w:tab/>
              <w:t>2.7</w:t>
            </w:r>
          </w:p>
        </w:tc>
        <w:tc>
          <w:tcPr>
            <w:tcW w:w="1284" w:type="dxa"/>
            <w:tcBorders>
              <w:top w:val="single" w:sz="8" w:space="0" w:color="000000"/>
            </w:tcBorders>
            <w:shd w:val="clear" w:color="auto" w:fill="CCEDFF"/>
          </w:tcPr>
          <w:p w14:paraId="7326CEB1" w14:textId="77777777" w:rsidR="00EF3DFB" w:rsidRDefault="00D27C17">
            <w:pPr>
              <w:pStyle w:val="TableParagraph"/>
              <w:tabs>
                <w:tab w:val="left" w:pos="865"/>
              </w:tabs>
              <w:spacing w:before="15"/>
              <w:ind w:right="112"/>
              <w:jc w:val="right"/>
              <w:rPr>
                <w:sz w:val="20"/>
              </w:rPr>
            </w:pPr>
            <w:r>
              <w:rPr>
                <w:sz w:val="20"/>
              </w:rPr>
              <w:t>$</w:t>
            </w:r>
            <w:r>
              <w:rPr>
                <w:sz w:val="20"/>
              </w:rPr>
              <w:tab/>
              <w:t>18</w:t>
            </w:r>
          </w:p>
        </w:tc>
        <w:tc>
          <w:tcPr>
            <w:tcW w:w="1372" w:type="dxa"/>
            <w:shd w:val="clear" w:color="auto" w:fill="CCEDFF"/>
          </w:tcPr>
          <w:p w14:paraId="7326CEB2" w14:textId="77777777" w:rsidR="00EF3DFB" w:rsidRDefault="00D27C17">
            <w:pPr>
              <w:pStyle w:val="TableParagraph"/>
              <w:spacing w:before="15"/>
              <w:ind w:left="90" w:right="177"/>
              <w:jc w:val="center"/>
              <w:rPr>
                <w:sz w:val="20"/>
              </w:rPr>
            </w:pPr>
            <w:r>
              <w:rPr>
                <w:sz w:val="20"/>
              </w:rPr>
              <w:t>8.2</w:t>
            </w:r>
          </w:p>
        </w:tc>
        <w:tc>
          <w:tcPr>
            <w:tcW w:w="1148" w:type="dxa"/>
            <w:shd w:val="clear" w:color="auto" w:fill="CCEDFF"/>
          </w:tcPr>
          <w:p w14:paraId="7326CEB3" w14:textId="77777777" w:rsidR="00EF3DFB" w:rsidRDefault="00D27C17">
            <w:pPr>
              <w:pStyle w:val="TableParagraph"/>
              <w:spacing w:before="15"/>
              <w:ind w:right="82"/>
              <w:jc w:val="right"/>
              <w:rPr>
                <w:sz w:val="20"/>
              </w:rPr>
            </w:pPr>
            <w:r>
              <w:rPr>
                <w:sz w:val="20"/>
              </w:rPr>
              <w:t>7.7</w:t>
            </w:r>
          </w:p>
        </w:tc>
      </w:tr>
      <w:tr w:rsidR="00EF3DFB" w14:paraId="7326CEBA" w14:textId="77777777">
        <w:trPr>
          <w:trHeight w:val="255"/>
        </w:trPr>
        <w:tc>
          <w:tcPr>
            <w:tcW w:w="4220" w:type="dxa"/>
          </w:tcPr>
          <w:p w14:paraId="7326CEB5" w14:textId="77777777" w:rsidR="00EF3DFB" w:rsidRDefault="00EF3DFB">
            <w:pPr>
              <w:pStyle w:val="TableParagraph"/>
              <w:rPr>
                <w:sz w:val="18"/>
              </w:rPr>
            </w:pPr>
          </w:p>
        </w:tc>
        <w:tc>
          <w:tcPr>
            <w:tcW w:w="2599" w:type="dxa"/>
            <w:tcBorders>
              <w:top w:val="single" w:sz="8" w:space="0" w:color="000000"/>
            </w:tcBorders>
          </w:tcPr>
          <w:p w14:paraId="7326CEB6" w14:textId="77777777" w:rsidR="00EF3DFB" w:rsidRDefault="00EF3DFB">
            <w:pPr>
              <w:pStyle w:val="TableParagraph"/>
              <w:rPr>
                <w:sz w:val="18"/>
              </w:rPr>
            </w:pPr>
          </w:p>
        </w:tc>
        <w:tc>
          <w:tcPr>
            <w:tcW w:w="1284" w:type="dxa"/>
          </w:tcPr>
          <w:p w14:paraId="7326CEB7" w14:textId="77777777" w:rsidR="00EF3DFB" w:rsidRDefault="00EF3DFB">
            <w:pPr>
              <w:pStyle w:val="TableParagraph"/>
              <w:rPr>
                <w:sz w:val="18"/>
              </w:rPr>
            </w:pPr>
          </w:p>
        </w:tc>
        <w:tc>
          <w:tcPr>
            <w:tcW w:w="1372" w:type="dxa"/>
          </w:tcPr>
          <w:p w14:paraId="7326CEB8" w14:textId="77777777" w:rsidR="00EF3DFB" w:rsidRDefault="00EF3DFB">
            <w:pPr>
              <w:pStyle w:val="TableParagraph"/>
              <w:rPr>
                <w:sz w:val="18"/>
              </w:rPr>
            </w:pPr>
          </w:p>
        </w:tc>
        <w:tc>
          <w:tcPr>
            <w:tcW w:w="1148" w:type="dxa"/>
          </w:tcPr>
          <w:p w14:paraId="7326CEB9" w14:textId="77777777" w:rsidR="00EF3DFB" w:rsidRDefault="00EF3DFB">
            <w:pPr>
              <w:pStyle w:val="TableParagraph"/>
              <w:rPr>
                <w:sz w:val="18"/>
              </w:rPr>
            </w:pPr>
          </w:p>
        </w:tc>
      </w:tr>
      <w:tr w:rsidR="00EF3DFB" w14:paraId="7326CEC0" w14:textId="77777777">
        <w:trPr>
          <w:trHeight w:val="285"/>
        </w:trPr>
        <w:tc>
          <w:tcPr>
            <w:tcW w:w="4220" w:type="dxa"/>
            <w:shd w:val="clear" w:color="auto" w:fill="CCEDFF"/>
          </w:tcPr>
          <w:p w14:paraId="7326CEBB" w14:textId="77777777" w:rsidR="00EF3DFB" w:rsidRDefault="00D27C17">
            <w:pPr>
              <w:pStyle w:val="TableParagraph"/>
              <w:spacing w:before="25"/>
              <w:ind w:left="52"/>
              <w:rPr>
                <w:sz w:val="20"/>
              </w:rPr>
            </w:pPr>
            <w:r>
              <w:rPr>
                <w:sz w:val="20"/>
              </w:rPr>
              <w:t>Options exercisable, end of year</w:t>
            </w:r>
          </w:p>
        </w:tc>
        <w:tc>
          <w:tcPr>
            <w:tcW w:w="2599" w:type="dxa"/>
            <w:shd w:val="clear" w:color="auto" w:fill="CCEDFF"/>
          </w:tcPr>
          <w:p w14:paraId="7326CEBC" w14:textId="77777777" w:rsidR="00EF3DFB" w:rsidRDefault="00D27C17">
            <w:pPr>
              <w:pStyle w:val="TableParagraph"/>
              <w:spacing w:before="25"/>
              <w:ind w:right="103"/>
              <w:jc w:val="right"/>
              <w:rPr>
                <w:sz w:val="20"/>
              </w:rPr>
            </w:pPr>
            <w:r>
              <w:rPr>
                <w:sz w:val="20"/>
              </w:rPr>
              <w:t>0.2</w:t>
            </w:r>
          </w:p>
        </w:tc>
        <w:tc>
          <w:tcPr>
            <w:tcW w:w="1284" w:type="dxa"/>
            <w:shd w:val="clear" w:color="auto" w:fill="CCEDFF"/>
          </w:tcPr>
          <w:p w14:paraId="7326CEBD" w14:textId="77777777" w:rsidR="00EF3DFB" w:rsidRDefault="00D27C17">
            <w:pPr>
              <w:pStyle w:val="TableParagraph"/>
              <w:tabs>
                <w:tab w:val="left" w:pos="865"/>
              </w:tabs>
              <w:spacing w:before="25"/>
              <w:ind w:right="112"/>
              <w:jc w:val="right"/>
              <w:rPr>
                <w:sz w:val="20"/>
              </w:rPr>
            </w:pPr>
            <w:r>
              <w:rPr>
                <w:sz w:val="20"/>
              </w:rPr>
              <w:t>$</w:t>
            </w:r>
            <w:r>
              <w:rPr>
                <w:sz w:val="20"/>
              </w:rPr>
              <w:tab/>
              <w:t>15</w:t>
            </w:r>
          </w:p>
        </w:tc>
        <w:tc>
          <w:tcPr>
            <w:tcW w:w="1372" w:type="dxa"/>
            <w:shd w:val="clear" w:color="auto" w:fill="CCEDFF"/>
          </w:tcPr>
          <w:p w14:paraId="7326CEBE" w14:textId="77777777" w:rsidR="00EF3DFB" w:rsidRDefault="00D27C17">
            <w:pPr>
              <w:pStyle w:val="TableParagraph"/>
              <w:spacing w:before="25"/>
              <w:ind w:left="90" w:right="177"/>
              <w:jc w:val="center"/>
              <w:rPr>
                <w:sz w:val="20"/>
              </w:rPr>
            </w:pPr>
            <w:r>
              <w:rPr>
                <w:sz w:val="20"/>
              </w:rPr>
              <w:t>0.5</w:t>
            </w:r>
          </w:p>
        </w:tc>
        <w:tc>
          <w:tcPr>
            <w:tcW w:w="1148" w:type="dxa"/>
            <w:shd w:val="clear" w:color="auto" w:fill="CCEDFF"/>
          </w:tcPr>
          <w:p w14:paraId="7326CEBF" w14:textId="77777777" w:rsidR="00EF3DFB" w:rsidRDefault="00D27C17">
            <w:pPr>
              <w:pStyle w:val="TableParagraph"/>
              <w:spacing w:before="25"/>
              <w:ind w:right="82"/>
              <w:jc w:val="right"/>
              <w:rPr>
                <w:sz w:val="20"/>
              </w:rPr>
            </w:pPr>
            <w:r>
              <w:rPr>
                <w:sz w:val="20"/>
              </w:rPr>
              <w:t>1.4</w:t>
            </w:r>
          </w:p>
        </w:tc>
      </w:tr>
    </w:tbl>
    <w:p w14:paraId="7326CEC1" w14:textId="77777777" w:rsidR="00EF3DFB" w:rsidRDefault="00EF3DFB">
      <w:pPr>
        <w:pStyle w:val="BodyText"/>
        <w:spacing w:before="4"/>
        <w:rPr>
          <w:sz w:val="25"/>
        </w:rPr>
      </w:pPr>
    </w:p>
    <w:p w14:paraId="7326CEC2" w14:textId="77777777" w:rsidR="00EF3DFB" w:rsidRDefault="00D27C17">
      <w:pPr>
        <w:pStyle w:val="BodyText"/>
        <w:spacing w:line="249" w:lineRule="auto"/>
        <w:ind w:left="190" w:right="167"/>
        <w:jc w:val="both"/>
      </w:pPr>
      <w:r>
        <w:t>During 2020, the Company awarded 1.1 million time-based stock options with an aggregate grant fair value of $6 million. These stock options entitle recipients to shares of the Company's common stock at an exercise price equal to the fair market value of th</w:t>
      </w:r>
      <w:r>
        <w:t>e underlying shares as of the grant date and primarily vest in equal installments over a three-year period.</w:t>
      </w:r>
    </w:p>
    <w:p w14:paraId="7326CEC3" w14:textId="77777777" w:rsidR="00EF3DFB" w:rsidRDefault="00EF3DFB">
      <w:pPr>
        <w:pStyle w:val="BodyText"/>
        <w:spacing w:before="1"/>
        <w:rPr>
          <w:sz w:val="21"/>
        </w:rPr>
      </w:pPr>
    </w:p>
    <w:p w14:paraId="7326CEC4" w14:textId="77777777" w:rsidR="00EF3DFB" w:rsidRDefault="00D27C17">
      <w:pPr>
        <w:pStyle w:val="BodyText"/>
        <w:spacing w:line="249" w:lineRule="auto"/>
        <w:ind w:left="190" w:right="169"/>
        <w:jc w:val="both"/>
      </w:pPr>
      <w:r>
        <w:t>The weighted average assumptions used to determine the fair value of stock options granted for the years ended December 31, are as follows:</w:t>
      </w:r>
    </w:p>
    <w:p w14:paraId="7326CEC5" w14:textId="77777777" w:rsidR="00EF3DFB" w:rsidRDefault="00EF3DFB">
      <w:pPr>
        <w:pStyle w:val="BodyText"/>
        <w:spacing w:before="9"/>
        <w:rPr>
          <w:sz w:val="9"/>
        </w:rPr>
      </w:pPr>
    </w:p>
    <w:tbl>
      <w:tblPr>
        <w:tblW w:w="0" w:type="auto"/>
        <w:tblInd w:w="190" w:type="dxa"/>
        <w:tblLayout w:type="fixed"/>
        <w:tblCellMar>
          <w:left w:w="0" w:type="dxa"/>
          <w:right w:w="0" w:type="dxa"/>
        </w:tblCellMar>
        <w:tblLook w:val="01E0" w:firstRow="1" w:lastRow="1" w:firstColumn="1" w:lastColumn="1" w:noHBand="0" w:noVBand="0"/>
      </w:tblPr>
      <w:tblGrid>
        <w:gridCol w:w="8404"/>
        <w:gridCol w:w="1201"/>
        <w:gridCol w:w="1015"/>
      </w:tblGrid>
      <w:tr w:rsidR="00EF3DFB" w14:paraId="7326CEC9" w14:textId="77777777">
        <w:trPr>
          <w:trHeight w:val="241"/>
        </w:trPr>
        <w:tc>
          <w:tcPr>
            <w:tcW w:w="8404" w:type="dxa"/>
          </w:tcPr>
          <w:p w14:paraId="7326CEC6" w14:textId="77777777" w:rsidR="00EF3DFB" w:rsidRDefault="00EF3DFB">
            <w:pPr>
              <w:pStyle w:val="TableParagraph"/>
              <w:rPr>
                <w:sz w:val="16"/>
              </w:rPr>
            </w:pPr>
          </w:p>
        </w:tc>
        <w:tc>
          <w:tcPr>
            <w:tcW w:w="1201" w:type="dxa"/>
            <w:tcBorders>
              <w:bottom w:val="single" w:sz="8" w:space="0" w:color="000000"/>
            </w:tcBorders>
          </w:tcPr>
          <w:p w14:paraId="7326CEC7" w14:textId="77777777" w:rsidR="00EF3DFB" w:rsidRDefault="00D27C17">
            <w:pPr>
              <w:pStyle w:val="TableParagraph"/>
              <w:spacing w:line="177" w:lineRule="exact"/>
              <w:ind w:left="201"/>
              <w:rPr>
                <w:b/>
                <w:sz w:val="16"/>
              </w:rPr>
            </w:pPr>
            <w:r>
              <w:rPr>
                <w:b/>
                <w:sz w:val="16"/>
              </w:rPr>
              <w:t>2020</w:t>
            </w:r>
          </w:p>
        </w:tc>
        <w:tc>
          <w:tcPr>
            <w:tcW w:w="1015" w:type="dxa"/>
            <w:tcBorders>
              <w:bottom w:val="single" w:sz="8" w:space="0" w:color="000000"/>
            </w:tcBorders>
          </w:tcPr>
          <w:p w14:paraId="7326CEC8" w14:textId="77777777" w:rsidR="00EF3DFB" w:rsidRDefault="00D27C17">
            <w:pPr>
              <w:pStyle w:val="TableParagraph"/>
              <w:spacing w:line="177" w:lineRule="exact"/>
              <w:ind w:left="275"/>
              <w:rPr>
                <w:b/>
                <w:sz w:val="16"/>
              </w:rPr>
            </w:pPr>
            <w:r>
              <w:rPr>
                <w:b/>
                <w:sz w:val="16"/>
              </w:rPr>
              <w:t>2019</w:t>
            </w:r>
          </w:p>
        </w:tc>
      </w:tr>
      <w:tr w:rsidR="00EF3DFB" w14:paraId="7326CECD" w14:textId="77777777">
        <w:trPr>
          <w:trHeight w:val="305"/>
        </w:trPr>
        <w:tc>
          <w:tcPr>
            <w:tcW w:w="8404" w:type="dxa"/>
            <w:shd w:val="clear" w:color="auto" w:fill="CCEDFF"/>
          </w:tcPr>
          <w:p w14:paraId="7326CECA" w14:textId="77777777" w:rsidR="00EF3DFB" w:rsidRDefault="00D27C17">
            <w:pPr>
              <w:pStyle w:val="TableParagraph"/>
              <w:spacing w:before="45"/>
              <w:ind w:left="52"/>
              <w:rPr>
                <w:sz w:val="20"/>
              </w:rPr>
            </w:pPr>
            <w:r>
              <w:rPr>
                <w:sz w:val="20"/>
              </w:rPr>
              <w:t>Expected life in years</w:t>
            </w:r>
          </w:p>
        </w:tc>
        <w:tc>
          <w:tcPr>
            <w:tcW w:w="1201" w:type="dxa"/>
            <w:tcBorders>
              <w:top w:val="single" w:sz="8" w:space="0" w:color="000000"/>
            </w:tcBorders>
            <w:shd w:val="clear" w:color="auto" w:fill="CCEDFF"/>
          </w:tcPr>
          <w:p w14:paraId="7326CECB" w14:textId="77777777" w:rsidR="00EF3DFB" w:rsidRDefault="00D27C17">
            <w:pPr>
              <w:pStyle w:val="TableParagraph"/>
              <w:spacing w:before="45"/>
              <w:ind w:right="310"/>
              <w:jc w:val="right"/>
              <w:rPr>
                <w:sz w:val="20"/>
              </w:rPr>
            </w:pPr>
            <w:r>
              <w:rPr>
                <w:sz w:val="20"/>
              </w:rPr>
              <w:t>6</w:t>
            </w:r>
          </w:p>
        </w:tc>
        <w:tc>
          <w:tcPr>
            <w:tcW w:w="1015" w:type="dxa"/>
            <w:tcBorders>
              <w:top w:val="single" w:sz="8" w:space="0" w:color="000000"/>
            </w:tcBorders>
            <w:shd w:val="clear" w:color="auto" w:fill="CCEDFF"/>
          </w:tcPr>
          <w:p w14:paraId="7326CECC" w14:textId="77777777" w:rsidR="00EF3DFB" w:rsidRDefault="00D27C17">
            <w:pPr>
              <w:pStyle w:val="TableParagraph"/>
              <w:spacing w:before="45"/>
              <w:ind w:right="50"/>
              <w:jc w:val="right"/>
              <w:rPr>
                <w:sz w:val="20"/>
              </w:rPr>
            </w:pPr>
            <w:r>
              <w:rPr>
                <w:sz w:val="20"/>
              </w:rPr>
              <w:t>6</w:t>
            </w:r>
          </w:p>
        </w:tc>
      </w:tr>
      <w:tr w:rsidR="00EF3DFB" w14:paraId="7326CED1" w14:textId="77777777">
        <w:trPr>
          <w:trHeight w:val="315"/>
        </w:trPr>
        <w:tc>
          <w:tcPr>
            <w:tcW w:w="8404" w:type="dxa"/>
          </w:tcPr>
          <w:p w14:paraId="7326CECE" w14:textId="77777777" w:rsidR="00EF3DFB" w:rsidRDefault="00D27C17">
            <w:pPr>
              <w:pStyle w:val="TableParagraph"/>
              <w:spacing w:before="55"/>
              <w:ind w:left="52"/>
              <w:rPr>
                <w:sz w:val="20"/>
              </w:rPr>
            </w:pPr>
            <w:r>
              <w:rPr>
                <w:sz w:val="20"/>
              </w:rPr>
              <w:t>Risk-free interest rate</w:t>
            </w:r>
          </w:p>
        </w:tc>
        <w:tc>
          <w:tcPr>
            <w:tcW w:w="1201" w:type="dxa"/>
          </w:tcPr>
          <w:p w14:paraId="7326CECF" w14:textId="77777777" w:rsidR="00EF3DFB" w:rsidRDefault="00D27C17">
            <w:pPr>
              <w:pStyle w:val="TableParagraph"/>
              <w:spacing w:before="55"/>
              <w:ind w:right="274"/>
              <w:jc w:val="right"/>
              <w:rPr>
                <w:sz w:val="20"/>
              </w:rPr>
            </w:pPr>
            <w:r>
              <w:rPr>
                <w:sz w:val="20"/>
              </w:rPr>
              <w:t>1.4 %</w:t>
            </w:r>
          </w:p>
        </w:tc>
        <w:tc>
          <w:tcPr>
            <w:tcW w:w="1015" w:type="dxa"/>
          </w:tcPr>
          <w:p w14:paraId="7326CED0" w14:textId="77777777" w:rsidR="00EF3DFB" w:rsidRDefault="00D27C17">
            <w:pPr>
              <w:pStyle w:val="TableParagraph"/>
              <w:spacing w:before="55"/>
              <w:ind w:right="12"/>
              <w:jc w:val="right"/>
              <w:rPr>
                <w:sz w:val="20"/>
              </w:rPr>
            </w:pPr>
            <w:r>
              <w:rPr>
                <w:sz w:val="20"/>
              </w:rPr>
              <w:t>1.6 %</w:t>
            </w:r>
          </w:p>
        </w:tc>
      </w:tr>
      <w:tr w:rsidR="00EF3DFB" w14:paraId="7326CED5" w14:textId="77777777">
        <w:trPr>
          <w:trHeight w:val="315"/>
        </w:trPr>
        <w:tc>
          <w:tcPr>
            <w:tcW w:w="8404" w:type="dxa"/>
            <w:shd w:val="clear" w:color="auto" w:fill="CCEDFF"/>
          </w:tcPr>
          <w:p w14:paraId="7326CED2" w14:textId="77777777" w:rsidR="00EF3DFB" w:rsidRDefault="00D27C17">
            <w:pPr>
              <w:pStyle w:val="TableParagraph"/>
              <w:spacing w:before="55"/>
              <w:ind w:left="52"/>
              <w:rPr>
                <w:sz w:val="20"/>
              </w:rPr>
            </w:pPr>
            <w:r>
              <w:rPr>
                <w:sz w:val="20"/>
              </w:rPr>
              <w:t>Expected volatility</w:t>
            </w:r>
          </w:p>
        </w:tc>
        <w:tc>
          <w:tcPr>
            <w:tcW w:w="1201" w:type="dxa"/>
            <w:shd w:val="clear" w:color="auto" w:fill="CCEDFF"/>
          </w:tcPr>
          <w:p w14:paraId="7326CED3" w14:textId="77777777" w:rsidR="00EF3DFB" w:rsidRDefault="00D27C17">
            <w:pPr>
              <w:pStyle w:val="TableParagraph"/>
              <w:spacing w:before="55"/>
              <w:ind w:right="274"/>
              <w:jc w:val="right"/>
              <w:rPr>
                <w:sz w:val="20"/>
              </w:rPr>
            </w:pPr>
            <w:r>
              <w:rPr>
                <w:sz w:val="20"/>
              </w:rPr>
              <w:t>41.3 %</w:t>
            </w:r>
          </w:p>
        </w:tc>
        <w:tc>
          <w:tcPr>
            <w:tcW w:w="1015" w:type="dxa"/>
            <w:shd w:val="clear" w:color="auto" w:fill="CCEDFF"/>
          </w:tcPr>
          <w:p w14:paraId="7326CED4" w14:textId="77777777" w:rsidR="00EF3DFB" w:rsidRDefault="00D27C17">
            <w:pPr>
              <w:pStyle w:val="TableParagraph"/>
              <w:spacing w:before="55"/>
              <w:ind w:right="12"/>
              <w:jc w:val="right"/>
              <w:rPr>
                <w:sz w:val="20"/>
              </w:rPr>
            </w:pPr>
            <w:r>
              <w:rPr>
                <w:sz w:val="20"/>
              </w:rPr>
              <w:t>32.5 %</w:t>
            </w:r>
          </w:p>
        </w:tc>
      </w:tr>
      <w:tr w:rsidR="00EF3DFB" w14:paraId="7326CED9" w14:textId="77777777">
        <w:trPr>
          <w:trHeight w:val="450"/>
        </w:trPr>
        <w:tc>
          <w:tcPr>
            <w:tcW w:w="8404" w:type="dxa"/>
          </w:tcPr>
          <w:p w14:paraId="7326CED6" w14:textId="77777777" w:rsidR="00EF3DFB" w:rsidRDefault="00D27C17">
            <w:pPr>
              <w:pStyle w:val="TableParagraph"/>
              <w:spacing w:before="55"/>
              <w:ind w:left="52"/>
              <w:rPr>
                <w:sz w:val="20"/>
              </w:rPr>
            </w:pPr>
            <w:r>
              <w:rPr>
                <w:sz w:val="20"/>
              </w:rPr>
              <w:t>Expected dividend yield</w:t>
            </w:r>
          </w:p>
        </w:tc>
        <w:tc>
          <w:tcPr>
            <w:tcW w:w="1201" w:type="dxa"/>
          </w:tcPr>
          <w:p w14:paraId="7326CED7" w14:textId="77777777" w:rsidR="00EF3DFB" w:rsidRDefault="00D27C17">
            <w:pPr>
              <w:pStyle w:val="TableParagraph"/>
              <w:spacing w:before="55"/>
              <w:ind w:right="274"/>
              <w:jc w:val="right"/>
              <w:rPr>
                <w:sz w:val="20"/>
              </w:rPr>
            </w:pPr>
            <w:r>
              <w:rPr>
                <w:sz w:val="20"/>
              </w:rPr>
              <w:t>3.9 %</w:t>
            </w:r>
          </w:p>
        </w:tc>
        <w:tc>
          <w:tcPr>
            <w:tcW w:w="1015" w:type="dxa"/>
          </w:tcPr>
          <w:p w14:paraId="7326CED8" w14:textId="77777777" w:rsidR="00EF3DFB" w:rsidRDefault="00D27C17">
            <w:pPr>
              <w:pStyle w:val="TableParagraph"/>
              <w:spacing w:before="55"/>
              <w:ind w:right="12"/>
              <w:jc w:val="right"/>
              <w:rPr>
                <w:sz w:val="20"/>
              </w:rPr>
            </w:pPr>
            <w:r>
              <w:rPr>
                <w:sz w:val="20"/>
              </w:rPr>
              <w:t>3.0 %</w:t>
            </w:r>
          </w:p>
        </w:tc>
      </w:tr>
      <w:tr w:rsidR="00EF3DFB" w14:paraId="7326CEDF" w14:textId="77777777">
        <w:trPr>
          <w:trHeight w:val="866"/>
        </w:trPr>
        <w:tc>
          <w:tcPr>
            <w:tcW w:w="8404" w:type="dxa"/>
          </w:tcPr>
          <w:p w14:paraId="7326CEDA" w14:textId="77777777" w:rsidR="00EF3DFB" w:rsidRDefault="00D27C17">
            <w:pPr>
              <w:pStyle w:val="TableParagraph"/>
              <w:spacing w:before="156"/>
              <w:rPr>
                <w:sz w:val="20"/>
              </w:rPr>
            </w:pPr>
            <w:r>
              <w:rPr>
                <w:sz w:val="20"/>
              </w:rPr>
              <w:t>The total intrinsic value of options exercised was immaterial in 2020 and 2019 and $1 million in 2018.</w:t>
            </w:r>
          </w:p>
          <w:p w14:paraId="7326CEDB" w14:textId="77777777" w:rsidR="00EF3DFB" w:rsidRDefault="00EF3DFB">
            <w:pPr>
              <w:pStyle w:val="TableParagraph"/>
              <w:spacing w:before="9"/>
              <w:rPr>
                <w:sz w:val="21"/>
              </w:rPr>
            </w:pPr>
          </w:p>
          <w:p w14:paraId="7326CEDC" w14:textId="77777777" w:rsidR="00EF3DFB" w:rsidRDefault="00D27C17">
            <w:pPr>
              <w:pStyle w:val="TableParagraph"/>
              <w:spacing w:line="210" w:lineRule="exact"/>
              <w:rPr>
                <w:i/>
                <w:sz w:val="20"/>
              </w:rPr>
            </w:pPr>
            <w:r>
              <w:rPr>
                <w:i/>
                <w:sz w:val="20"/>
              </w:rPr>
              <w:t>Time-Based and Performance-Based Restricted Stock Units</w:t>
            </w:r>
          </w:p>
        </w:tc>
        <w:tc>
          <w:tcPr>
            <w:tcW w:w="1201" w:type="dxa"/>
          </w:tcPr>
          <w:p w14:paraId="7326CEDD" w14:textId="77777777" w:rsidR="00EF3DFB" w:rsidRDefault="00EF3DFB">
            <w:pPr>
              <w:pStyle w:val="TableParagraph"/>
              <w:rPr>
                <w:sz w:val="18"/>
              </w:rPr>
            </w:pPr>
          </w:p>
        </w:tc>
        <w:tc>
          <w:tcPr>
            <w:tcW w:w="1015" w:type="dxa"/>
          </w:tcPr>
          <w:p w14:paraId="7326CEDE" w14:textId="77777777" w:rsidR="00EF3DFB" w:rsidRDefault="00EF3DFB">
            <w:pPr>
              <w:pStyle w:val="TableParagraph"/>
              <w:rPr>
                <w:sz w:val="18"/>
              </w:rPr>
            </w:pPr>
          </w:p>
        </w:tc>
      </w:tr>
    </w:tbl>
    <w:p w14:paraId="7326CEE0" w14:textId="77777777" w:rsidR="00EF3DFB" w:rsidRDefault="00EF3DFB">
      <w:pPr>
        <w:pStyle w:val="BodyText"/>
        <w:spacing w:before="8"/>
        <w:rPr>
          <w:sz w:val="21"/>
        </w:rPr>
      </w:pPr>
    </w:p>
    <w:p w14:paraId="7326CEE1" w14:textId="77777777" w:rsidR="00EF3DFB" w:rsidRDefault="00D27C17">
      <w:pPr>
        <w:pStyle w:val="BodyText"/>
        <w:spacing w:line="249" w:lineRule="auto"/>
        <w:ind w:left="190" w:right="168"/>
        <w:jc w:val="both"/>
      </w:pPr>
      <w:r>
        <w:t>Awards of time-based restricted stock units are independent of stock option grants and are g</w:t>
      </w:r>
      <w:r>
        <w:t>enerally subject to forfeiture if employment terminates prior to vesting. The awards generally cliff-vest in three years or vest ratably over three years from the date of grant. In the case of retirement (as defined in the award agreement), awards vest dep</w:t>
      </w:r>
      <w:r>
        <w:t>ending on the employee’s age and years of service.</w:t>
      </w:r>
    </w:p>
    <w:p w14:paraId="7326CEE2" w14:textId="77777777" w:rsidR="00EF3DFB" w:rsidRDefault="00EF3DFB">
      <w:pPr>
        <w:pStyle w:val="BodyText"/>
        <w:spacing w:before="2"/>
        <w:rPr>
          <w:sz w:val="21"/>
        </w:rPr>
      </w:pPr>
    </w:p>
    <w:p w14:paraId="7326CEE3" w14:textId="77777777" w:rsidR="00EF3DFB" w:rsidRDefault="00D27C17">
      <w:pPr>
        <w:pStyle w:val="BodyText"/>
        <w:spacing w:line="249" w:lineRule="auto"/>
        <w:ind w:left="190" w:right="168"/>
        <w:jc w:val="both"/>
      </w:pPr>
      <w:r>
        <w:t>The time-based restricted stock units have rights to dividend equivalents payable in cash. Time-based restricted stock units issued in 2016 and prior receive dividend payments at the same time as the shareholders of the Company’s stock. Time-based restrict</w:t>
      </w:r>
      <w:r>
        <w:t>ed stock units issued subsequent to 2016 have dividend equivalents credited to the recipient and are paid only to the extent the applicable service criteria is met and the time-based restricted stock units vest and the related stock is issued.</w:t>
      </w:r>
    </w:p>
    <w:p w14:paraId="7326CEE4" w14:textId="77777777" w:rsidR="00EF3DFB" w:rsidRDefault="00D27C17">
      <w:pPr>
        <w:pStyle w:val="BodyText"/>
        <w:spacing w:before="3" w:line="249" w:lineRule="auto"/>
        <w:ind w:left="190" w:right="167"/>
        <w:jc w:val="both"/>
      </w:pPr>
      <w:r>
        <w:t>Performance-</w:t>
      </w:r>
      <w:r>
        <w:t>based restricted stock unit awards (“Performance-Based RSUs”) represent the right to receive unrestricted shares of stock based on the achievement of Company performance objectives and/or individual performance goals established by the Organizational Devel</w:t>
      </w:r>
      <w:r>
        <w:t>opment &amp; Compensation Committee and the Board of Directors.</w:t>
      </w:r>
    </w:p>
    <w:p w14:paraId="7326CEE5" w14:textId="77777777" w:rsidR="00EF3DFB" w:rsidRDefault="00EF3DFB">
      <w:pPr>
        <w:pStyle w:val="BodyText"/>
        <w:spacing w:before="1"/>
        <w:rPr>
          <w:sz w:val="21"/>
        </w:rPr>
      </w:pPr>
    </w:p>
    <w:p w14:paraId="7326CEE6" w14:textId="77777777" w:rsidR="00EF3DFB" w:rsidRDefault="00D27C17">
      <w:pPr>
        <w:pStyle w:val="BodyText"/>
        <w:spacing w:line="249" w:lineRule="auto"/>
        <w:ind w:left="190" w:right="168"/>
        <w:jc w:val="both"/>
      </w:pPr>
      <w:r>
        <w:t>The Performance-Based RSUs generally entitle recipients to shares of common stock if performance objectives are achieved, and typically vest no earlier than one year from the date of grant and pr</w:t>
      </w:r>
      <w:r>
        <w:t>imarily, no later than three years from the date of grant. The actual number of shares that will ultimately vest is dependent on the level of achievement of the specified performance conditions. For restricted stock units with performance conditions that a</w:t>
      </w:r>
      <w:r>
        <w:t>re based on stock price (“Stock-Price Based RSUs”), the grant date fair value of certain Stock-Price based RSUs is estimated using a Monte Carlo simulation, with the primary input into such valuation being the expected future volatility of the Company’s co</w:t>
      </w:r>
      <w:r>
        <w:t>mmon stock, and if applicable, the volatilities of the common stocks of the companies in the Company’s peer group, upon which the relative total shareholder return performance is measured. In the case of retirement (as defined in the award agreement), awar</w:t>
      </w:r>
      <w:r>
        <w:t>ds vest depending on the employee’s age and years of service, subject to the satisfaction of the applicable performance criteria.</w:t>
      </w:r>
    </w:p>
    <w:p w14:paraId="7326CEE7" w14:textId="77777777" w:rsidR="00EF3DFB" w:rsidRDefault="00EF3DFB">
      <w:pPr>
        <w:pStyle w:val="BodyText"/>
        <w:spacing w:before="6"/>
        <w:rPr>
          <w:sz w:val="21"/>
        </w:rPr>
      </w:pPr>
    </w:p>
    <w:p w14:paraId="7326CEE8" w14:textId="77777777" w:rsidR="00EF3DFB" w:rsidRDefault="00D27C17">
      <w:pPr>
        <w:pStyle w:val="BodyText"/>
        <w:spacing w:line="249" w:lineRule="auto"/>
        <w:ind w:left="190" w:right="167"/>
        <w:jc w:val="both"/>
      </w:pPr>
      <w:r>
        <w:t xml:space="preserve">The Company accounts for stock-based compensation pursuant to relevant authoritative guidance, which requires measurement of </w:t>
      </w:r>
      <w:r>
        <w:t>compensation cost for all stock awards at fair value on the date of grant and recognition of compensation, net of estimated</w:t>
      </w:r>
    </w:p>
    <w:p w14:paraId="7326CEE9" w14:textId="77777777" w:rsidR="00EF3DFB" w:rsidRDefault="00EF3DFB">
      <w:pPr>
        <w:spacing w:line="249" w:lineRule="auto"/>
        <w:jc w:val="both"/>
        <w:sectPr w:rsidR="00EF3DFB">
          <w:pgSz w:w="12240" w:h="15840"/>
          <w:pgMar w:top="600" w:right="640" w:bottom="480" w:left="620" w:header="0" w:footer="291" w:gutter="0"/>
          <w:cols w:space="720"/>
        </w:sectPr>
      </w:pPr>
    </w:p>
    <w:p w14:paraId="7326CEEA" w14:textId="77777777" w:rsidR="00EF3DFB" w:rsidRDefault="00D27C17">
      <w:pPr>
        <w:pStyle w:val="BodyText"/>
        <w:spacing w:before="72" w:line="249" w:lineRule="auto"/>
        <w:ind w:left="190" w:right="167"/>
        <w:jc w:val="both"/>
      </w:pPr>
      <w:r>
        <w:lastRenderedPageBreak/>
        <w:t>forfeitures, over the longer of the derived service period or explicit requisite service period for awards expected to</w:t>
      </w:r>
      <w:r>
        <w:t xml:space="preserve"> vest. For non- stock-price based Performance-Based RSUs, the Company assesses the probability of achievement of the performance conditions each period and records expense for the awards based on the probable achievement of such metrics.</w:t>
      </w:r>
    </w:p>
    <w:p w14:paraId="7326CEEB" w14:textId="77777777" w:rsidR="00EF3DFB" w:rsidRDefault="00EF3DFB">
      <w:pPr>
        <w:pStyle w:val="BodyText"/>
        <w:rPr>
          <w:sz w:val="21"/>
        </w:rPr>
      </w:pPr>
    </w:p>
    <w:p w14:paraId="7326CEEC" w14:textId="77777777" w:rsidR="00EF3DFB" w:rsidRDefault="00D27C17">
      <w:pPr>
        <w:pStyle w:val="BodyText"/>
        <w:spacing w:before="1" w:line="249" w:lineRule="auto"/>
        <w:ind w:left="190" w:right="170"/>
        <w:jc w:val="both"/>
      </w:pPr>
      <w:r>
        <w:t>With respect to P</w:t>
      </w:r>
      <w:r>
        <w:t>erformance-Based RSUs, dividend equivalents are credited to the recipient and are paid only to the extent the applicable performance criteria are met and the Performance-Based RSUs vest and the related stock is issued.</w:t>
      </w:r>
    </w:p>
    <w:p w14:paraId="7326CEED" w14:textId="77777777" w:rsidR="00EF3DFB" w:rsidRDefault="00EF3DFB">
      <w:pPr>
        <w:pStyle w:val="BodyText"/>
        <w:rPr>
          <w:sz w:val="21"/>
        </w:rPr>
      </w:pPr>
    </w:p>
    <w:p w14:paraId="7326CEEE" w14:textId="77777777" w:rsidR="00EF3DFB" w:rsidRDefault="00D27C17">
      <w:pPr>
        <w:pStyle w:val="BodyText"/>
        <w:ind w:left="190"/>
        <w:jc w:val="both"/>
      </w:pPr>
      <w:r>
        <w:t>The following table summarizes the c</w:t>
      </w:r>
      <w:r>
        <w:t>hanges in the number of outstanding restricted stock units for 2020 (shares in millions):</w:t>
      </w:r>
    </w:p>
    <w:p w14:paraId="7326CEEF" w14:textId="77777777" w:rsidR="00EF3DFB" w:rsidRDefault="00EF3DFB">
      <w:pPr>
        <w:pStyle w:val="BodyText"/>
        <w:spacing w:before="8"/>
        <w:rPr>
          <w:sz w:val="8"/>
        </w:rPr>
      </w:pPr>
    </w:p>
    <w:p w14:paraId="7326CEF0" w14:textId="77777777" w:rsidR="00EF3DFB" w:rsidRDefault="00EF3DFB">
      <w:pPr>
        <w:rPr>
          <w:sz w:val="8"/>
        </w:rPr>
        <w:sectPr w:rsidR="00EF3DFB">
          <w:pgSz w:w="12240" w:h="15840"/>
          <w:pgMar w:top="600" w:right="640" w:bottom="480" w:left="620" w:header="0" w:footer="291" w:gutter="0"/>
          <w:cols w:space="720"/>
        </w:sectPr>
      </w:pPr>
    </w:p>
    <w:p w14:paraId="7326CEF1" w14:textId="77777777" w:rsidR="00EF3DFB" w:rsidRDefault="00EF3DFB">
      <w:pPr>
        <w:pStyle w:val="BodyText"/>
        <w:spacing w:before="9"/>
        <w:rPr>
          <w:sz w:val="24"/>
        </w:rPr>
      </w:pPr>
    </w:p>
    <w:p w14:paraId="7326CEF2" w14:textId="77777777" w:rsidR="00EF3DFB" w:rsidRDefault="00D27C17">
      <w:pPr>
        <w:spacing w:line="249" w:lineRule="auto"/>
        <w:ind w:left="8744" w:right="-19" w:hanging="160"/>
        <w:rPr>
          <w:b/>
          <w:sz w:val="16"/>
        </w:rPr>
      </w:pPr>
      <w:r>
        <w:rPr>
          <w:b/>
          <w:sz w:val="16"/>
        </w:rPr>
        <w:t>Restricted Stock Units</w:t>
      </w:r>
    </w:p>
    <w:p w14:paraId="7326CEF3" w14:textId="77777777" w:rsidR="00EF3DFB" w:rsidRDefault="00D27C17">
      <w:pPr>
        <w:spacing w:before="93" w:line="249" w:lineRule="auto"/>
        <w:ind w:left="337" w:right="221" w:hanging="1"/>
        <w:jc w:val="center"/>
        <w:rPr>
          <w:b/>
          <w:sz w:val="16"/>
        </w:rPr>
      </w:pPr>
      <w:r>
        <w:br w:type="column"/>
      </w:r>
      <w:r>
        <w:rPr>
          <w:b/>
          <w:sz w:val="16"/>
        </w:rPr>
        <w:t>Weighted- Average Grant Date Fair Value Per Share</w:t>
      </w:r>
    </w:p>
    <w:p w14:paraId="7326CEF4" w14:textId="77777777" w:rsidR="00EF3DFB" w:rsidRDefault="00EF3DFB">
      <w:pPr>
        <w:spacing w:line="249" w:lineRule="auto"/>
        <w:jc w:val="center"/>
        <w:rPr>
          <w:sz w:val="16"/>
        </w:rPr>
        <w:sectPr w:rsidR="00EF3DFB">
          <w:type w:val="continuous"/>
          <w:pgSz w:w="12240" w:h="15840"/>
          <w:pgMar w:top="760" w:right="640" w:bottom="280" w:left="620" w:header="720" w:footer="720" w:gutter="0"/>
          <w:cols w:num="2" w:space="720" w:equalWidth="0">
            <w:col w:w="9287" w:space="40"/>
            <w:col w:w="1653"/>
          </w:cols>
        </w:sectPr>
      </w:pPr>
    </w:p>
    <w:p w14:paraId="7326CEF5" w14:textId="6067D15B" w:rsidR="00EF3DFB" w:rsidRDefault="00D27C17">
      <w:pPr>
        <w:pStyle w:val="BodyText"/>
        <w:tabs>
          <w:tab w:val="left" w:pos="9203"/>
          <w:tab w:val="left" w:pos="9662"/>
          <w:tab w:val="right" w:pos="10728"/>
        </w:tabs>
        <w:spacing w:before="28"/>
        <w:ind w:left="242"/>
      </w:pPr>
      <w:r>
        <w:rPr>
          <w:noProof/>
        </w:rPr>
        <mc:AlternateContent>
          <mc:Choice Requires="wpg">
            <w:drawing>
              <wp:anchor distT="0" distB="0" distL="114300" distR="114300" simplePos="0" relativeHeight="502907720" behindDoc="1" locked="0" layoutInCell="1" allowOverlap="1" wp14:anchorId="7326D778" wp14:editId="7D7A85B1">
                <wp:simplePos x="0" y="0"/>
                <wp:positionH relativeFrom="page">
                  <wp:posOffset>514350</wp:posOffset>
                </wp:positionH>
                <wp:positionV relativeFrom="paragraph">
                  <wp:posOffset>8890</wp:posOffset>
                </wp:positionV>
                <wp:extent cx="6743700" cy="187325"/>
                <wp:effectExtent l="0" t="6985" r="9525" b="0"/>
                <wp:wrapNone/>
                <wp:docPr id="21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14"/>
                          <a:chExt cx="10620" cy="295"/>
                        </a:xfrm>
                      </wpg:grpSpPr>
                      <wps:wsp>
                        <wps:cNvPr id="220" name="Rectangle 207"/>
                        <wps:cNvSpPr>
                          <a:spLocks noChangeArrowheads="1"/>
                        </wps:cNvSpPr>
                        <wps:spPr bwMode="auto">
                          <a:xfrm>
                            <a:off x="810" y="23"/>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06"/>
                        <wps:cNvCnPr>
                          <a:cxnSpLocks noChangeShapeType="1"/>
                        </wps:cNvCnPr>
                        <wps:spPr bwMode="auto">
                          <a:xfrm>
                            <a:off x="8955" y="24"/>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05"/>
                        <wps:cNvCnPr>
                          <a:cxnSpLocks noChangeShapeType="1"/>
                        </wps:cNvCnPr>
                        <wps:spPr bwMode="auto">
                          <a:xfrm>
                            <a:off x="8955" y="24"/>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04"/>
                        <wps:cNvCnPr>
                          <a:cxnSpLocks noChangeShapeType="1"/>
                        </wps:cNvCnPr>
                        <wps:spPr bwMode="auto">
                          <a:xfrm>
                            <a:off x="10230" y="24"/>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03"/>
                        <wps:cNvCnPr>
                          <a:cxnSpLocks noChangeShapeType="1"/>
                        </wps:cNvCnPr>
                        <wps:spPr bwMode="auto">
                          <a:xfrm>
                            <a:off x="10230" y="24"/>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9FC5C" id="Group 202" o:spid="_x0000_s1026" style="position:absolute;margin-left:40.5pt;margin-top:.7pt;width:531pt;height:14.75pt;z-index:-408760;mso-position-horizontal-relative:page" coordorigin="810,14"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">
                <v:rect id="Rectangle 207" o:spid="_x0000_s1027" style="position:absolute;left:810;top:23;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" fillcolor="#ccedff" stroked="f"/>
                <v:line id="Line 206" o:spid="_x0000_s1028" style="position:absolute;visibility:visible;mso-wrap-style:square" from="8955,24" to="10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line id="Line 205" o:spid="_x0000_s1029" style="position:absolute;visibility:visible;mso-wrap-style:square" from="8955,24" to="10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" strokeweight="1pt"/>
                <v:line id="Line 204" o:spid="_x0000_s1030" style="position:absolute;visibility:visible;mso-wrap-style:square" from="10230,24" to="11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line id="Line 203" o:spid="_x0000_s1031" style="position:absolute;visibility:visible;mso-wrap-style:square" from="10230,24" to="11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" strokeweight="1pt"/>
                <w10:wrap anchorx="page"/>
              </v:group>
            </w:pict>
          </mc:Fallback>
        </mc:AlternateContent>
      </w:r>
      <w:r>
        <w:t>Outstanding at December</w:t>
      </w:r>
      <w:r>
        <w:rPr>
          <w:spacing w:val="-7"/>
        </w:rPr>
        <w:t xml:space="preserve"> </w:t>
      </w:r>
      <w:r>
        <w:t>31,</w:t>
      </w:r>
      <w:r>
        <w:rPr>
          <w:spacing w:val="-2"/>
        </w:rPr>
        <w:t xml:space="preserve"> </w:t>
      </w:r>
      <w:r>
        <w:t>2019</w:t>
      </w:r>
      <w:r>
        <w:tab/>
      </w:r>
      <w:r>
        <w:rPr>
          <w:position w:val="-1"/>
        </w:rPr>
        <w:t>4.8</w:t>
      </w:r>
      <w:r>
        <w:rPr>
          <w:position w:val="-1"/>
        </w:rPr>
        <w:tab/>
        <w:t>$</w:t>
      </w:r>
      <w:r>
        <w:rPr>
          <w:position w:val="-1"/>
        </w:rPr>
        <w:tab/>
        <w:t>25</w:t>
      </w:r>
    </w:p>
    <w:p w14:paraId="7326CEF6" w14:textId="77777777" w:rsidR="00EF3DFB" w:rsidRDefault="00D27C17">
      <w:pPr>
        <w:pStyle w:val="BodyText"/>
        <w:tabs>
          <w:tab w:val="left" w:pos="9203"/>
          <w:tab w:val="right" w:pos="10757"/>
        </w:tabs>
        <w:spacing w:before="35"/>
        <w:ind w:left="242"/>
      </w:pPr>
      <w:r>
        <w:t>Granted</w:t>
      </w:r>
      <w:r>
        <w:tab/>
      </w:r>
      <w:r>
        <w:rPr>
          <w:position w:val="-1"/>
        </w:rPr>
        <w:t>2.0</w:t>
      </w:r>
      <w:r>
        <w:rPr>
          <w:position w:val="-1"/>
        </w:rPr>
        <w:tab/>
        <w:t>21</w:t>
      </w:r>
    </w:p>
    <w:p w14:paraId="7326CEF7" w14:textId="003DC64F" w:rsidR="00EF3DFB" w:rsidRDefault="00D27C17">
      <w:pPr>
        <w:pStyle w:val="BodyText"/>
        <w:tabs>
          <w:tab w:val="left" w:pos="9136"/>
          <w:tab w:val="right" w:pos="10757"/>
        </w:tabs>
        <w:spacing w:before="35"/>
        <w:ind w:left="242"/>
      </w:pPr>
      <w:r>
        <w:rPr>
          <w:noProof/>
        </w:rPr>
        <mc:AlternateContent>
          <mc:Choice Requires="wps">
            <w:drawing>
              <wp:anchor distT="0" distB="0" distL="114300" distR="114300" simplePos="0" relativeHeight="502907744" behindDoc="1" locked="0" layoutInCell="1" allowOverlap="1" wp14:anchorId="7326D779" wp14:editId="2FFC61B9">
                <wp:simplePos x="0" y="0"/>
                <wp:positionH relativeFrom="page">
                  <wp:posOffset>514350</wp:posOffset>
                </wp:positionH>
                <wp:positionV relativeFrom="paragraph">
                  <wp:posOffset>19685</wp:posOffset>
                </wp:positionV>
                <wp:extent cx="6743700" cy="180975"/>
                <wp:effectExtent l="0" t="635" r="0" b="0"/>
                <wp:wrapNone/>
                <wp:docPr id="21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809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A153" id="Rectangle 201" o:spid="_x0000_s1026" style="position:absolute;margin-left:40.5pt;margin-top:1.55pt;width:531pt;height:14.25pt;z-index:-4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" fillcolor="#ccedff" stroked="f">
                <w10:wrap anchorx="page"/>
              </v:rect>
            </w:pict>
          </mc:Fallback>
        </mc:AlternateContent>
      </w:r>
      <w:r>
        <w:t>Grant</w:t>
      </w:r>
      <w:r>
        <w:rPr>
          <w:spacing w:val="-3"/>
        </w:rPr>
        <w:t xml:space="preserve"> </w:t>
      </w:r>
      <w:r>
        <w:t>adjustment</w:t>
      </w:r>
      <w:r>
        <w:rPr>
          <w:spacing w:val="-3"/>
        </w:rPr>
        <w:t xml:space="preserve"> </w:t>
      </w:r>
      <w:r>
        <w:t>(1)</w:t>
      </w:r>
      <w:r>
        <w:tab/>
      </w:r>
      <w:r>
        <w:rPr>
          <w:position w:val="-1"/>
        </w:rPr>
        <w:t>(0.5)</w:t>
      </w:r>
      <w:r>
        <w:rPr>
          <w:position w:val="-1"/>
        </w:rPr>
        <w:tab/>
        <w:t>48</w:t>
      </w:r>
    </w:p>
    <w:p w14:paraId="7326CEF8" w14:textId="77777777" w:rsidR="00EF3DFB" w:rsidRDefault="00D27C17">
      <w:pPr>
        <w:pStyle w:val="BodyText"/>
        <w:tabs>
          <w:tab w:val="left" w:pos="9136"/>
          <w:tab w:val="right" w:pos="10757"/>
        </w:tabs>
        <w:spacing w:before="36"/>
        <w:ind w:left="242"/>
      </w:pPr>
      <w:r>
        <w:rPr>
          <w:position w:val="2"/>
        </w:rPr>
        <w:t>Vested</w:t>
      </w:r>
      <w:r>
        <w:rPr>
          <w:position w:val="2"/>
        </w:rPr>
        <w:tab/>
      </w:r>
      <w:r>
        <w:t>(1.2)</w:t>
      </w:r>
      <w:r>
        <w:tab/>
        <w:t>26</w:t>
      </w:r>
    </w:p>
    <w:p w14:paraId="7326CEF9" w14:textId="3BDE655F" w:rsidR="00EF3DFB" w:rsidRDefault="00D27C17">
      <w:pPr>
        <w:pStyle w:val="BodyText"/>
        <w:tabs>
          <w:tab w:val="left" w:pos="9136"/>
          <w:tab w:val="right" w:pos="10757"/>
        </w:tabs>
        <w:spacing w:before="34"/>
        <w:ind w:left="242"/>
      </w:pPr>
      <w:r>
        <w:rPr>
          <w:noProof/>
        </w:rPr>
        <mc:AlternateContent>
          <mc:Choice Requires="wpg">
            <w:drawing>
              <wp:anchor distT="0" distB="0" distL="114300" distR="114300" simplePos="0" relativeHeight="502907768" behindDoc="1" locked="0" layoutInCell="1" allowOverlap="1" wp14:anchorId="7326D77A" wp14:editId="69B41033">
                <wp:simplePos x="0" y="0"/>
                <wp:positionH relativeFrom="page">
                  <wp:posOffset>514350</wp:posOffset>
                </wp:positionH>
                <wp:positionV relativeFrom="paragraph">
                  <wp:posOffset>19050</wp:posOffset>
                </wp:positionV>
                <wp:extent cx="6743700" cy="187325"/>
                <wp:effectExtent l="0" t="3810" r="9525" b="8890"/>
                <wp:wrapNone/>
                <wp:docPr id="21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7325"/>
                          <a:chOff x="810" y="30"/>
                          <a:chExt cx="10620" cy="295"/>
                        </a:xfrm>
                      </wpg:grpSpPr>
                      <wps:wsp>
                        <wps:cNvPr id="213" name="Rectangle 200"/>
                        <wps:cNvSpPr>
                          <a:spLocks noChangeArrowheads="1"/>
                        </wps:cNvSpPr>
                        <wps:spPr bwMode="auto">
                          <a:xfrm>
                            <a:off x="810" y="29"/>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99"/>
                        <wps:cNvCnPr>
                          <a:cxnSpLocks noChangeShapeType="1"/>
                        </wps:cNvCnPr>
                        <wps:spPr bwMode="auto">
                          <a:xfrm>
                            <a:off x="8955" y="315"/>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98"/>
                        <wps:cNvCnPr>
                          <a:cxnSpLocks noChangeShapeType="1"/>
                        </wps:cNvCnPr>
                        <wps:spPr bwMode="auto">
                          <a:xfrm>
                            <a:off x="8955" y="315"/>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97"/>
                        <wps:cNvCnPr>
                          <a:cxnSpLocks noChangeShapeType="1"/>
                        </wps:cNvCnPr>
                        <wps:spPr bwMode="auto">
                          <a:xfrm>
                            <a:off x="10230" y="315"/>
                            <a:ext cx="1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96"/>
                        <wps:cNvCnPr>
                          <a:cxnSpLocks noChangeShapeType="1"/>
                        </wps:cNvCnPr>
                        <wps:spPr bwMode="auto">
                          <a:xfrm>
                            <a:off x="10230" y="315"/>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3FBA0" id="Group 195" o:spid="_x0000_s1026" style="position:absolute;margin-left:40.5pt;margin-top:1.5pt;width:531pt;height:14.75pt;z-index:-408712;mso-position-horizontal-relative:page" coordorigin="810,30" coordsize="106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">
                <v:rect id="Rectangle 200" o:spid="_x0000_s1027" style="position:absolute;left:810;top:29;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" fillcolor="#ccedff" stroked="f"/>
                <v:line id="Line 199" o:spid="_x0000_s1028" style="position:absolute;visibility:visible;mso-wrap-style:square" from="8955,315" to="1015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line id="Line 198" o:spid="_x0000_s1029" style="position:absolute;visibility:visible;mso-wrap-style:square" from="8955,315" to="1015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exQAAANwAAAAPAAAAZHJzL2Rvd25yZXYueG1sRI/dagIx&#10;FITvBd8hHKF3ml3B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CuS/JexQAAANwAAAAP&#10;AAAAAAAAAAAAAAAAAAcCAABkcnMvZG93bnJldi54bWxQSwUGAAAAAAMAAwC3AAAA+QIAAAAA&#10;" strokeweight="1pt"/>
                <v:line id="Line 197" o:spid="_x0000_s1030" style="position:absolute;visibility:visible;mso-wrap-style:square" from="10230,315" to="1143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line id="Line 196" o:spid="_x0000_s1031" style="position:absolute;visibility:visible;mso-wrap-style:square" from="10230,315" to="1143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" strokeweight="1pt"/>
                <w10:wrap anchorx="page"/>
              </v:group>
            </w:pict>
          </mc:Fallback>
        </mc:AlternateContent>
      </w:r>
      <w:r>
        <w:t>Forfeited</w:t>
      </w:r>
      <w:r>
        <w:tab/>
      </w:r>
      <w:r>
        <w:rPr>
          <w:position w:val="-1"/>
        </w:rPr>
        <w:t>(0.8)</w:t>
      </w:r>
      <w:r>
        <w:rPr>
          <w:position w:val="-1"/>
        </w:rPr>
        <w:tab/>
        <w:t>21</w:t>
      </w:r>
    </w:p>
    <w:p w14:paraId="7326CEFA" w14:textId="7FDCC895" w:rsidR="00EF3DFB" w:rsidRDefault="00D27C17">
      <w:pPr>
        <w:pStyle w:val="BodyText"/>
        <w:tabs>
          <w:tab w:val="left" w:pos="8334"/>
          <w:tab w:val="left" w:pos="9203"/>
          <w:tab w:val="right" w:pos="10757"/>
        </w:tabs>
        <w:spacing w:before="35"/>
        <w:ind w:left="242"/>
      </w:pPr>
      <w:r>
        <w:rPr>
          <w:noProof/>
        </w:rPr>
        <mc:AlternateContent>
          <mc:Choice Requires="wpg">
            <w:drawing>
              <wp:anchor distT="0" distB="0" distL="114300" distR="114300" simplePos="0" relativeHeight="4216" behindDoc="0" locked="0" layoutInCell="1" allowOverlap="1" wp14:anchorId="7326D77B" wp14:editId="4CFC2323">
                <wp:simplePos x="0" y="0"/>
                <wp:positionH relativeFrom="page">
                  <wp:posOffset>514350</wp:posOffset>
                </wp:positionH>
                <wp:positionV relativeFrom="paragraph">
                  <wp:posOffset>200660</wp:posOffset>
                </wp:positionV>
                <wp:extent cx="6743700" cy="180975"/>
                <wp:effectExtent l="0" t="0" r="0" b="3175"/>
                <wp:wrapNone/>
                <wp:docPr id="20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0975"/>
                          <a:chOff x="810" y="316"/>
                          <a:chExt cx="10620" cy="285"/>
                        </a:xfrm>
                      </wpg:grpSpPr>
                      <wps:wsp>
                        <wps:cNvPr id="210" name="Rectangle 194"/>
                        <wps:cNvSpPr>
                          <a:spLocks noChangeArrowheads="1"/>
                        </wps:cNvSpPr>
                        <wps:spPr bwMode="auto">
                          <a:xfrm>
                            <a:off x="810" y="315"/>
                            <a:ext cx="10620" cy="28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93"/>
                        <wps:cNvCnPr>
                          <a:cxnSpLocks noChangeShapeType="1"/>
                        </wps:cNvCnPr>
                        <wps:spPr bwMode="auto">
                          <a:xfrm>
                            <a:off x="8955" y="336"/>
                            <a:ext cx="1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D943" id="Group 192" o:spid="_x0000_s1026" style="position:absolute;margin-left:40.5pt;margin-top:15.8pt;width:531pt;height:14.25pt;z-index:4216;mso-position-horizontal-relative:page" coordorigin="810,316" coordsize="1062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">
                <v:rect id="Rectangle 194" o:spid="_x0000_s1027" style="position:absolute;left:810;top:315;width:106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" fillcolor="#ccedff" stroked="f"/>
                <v:line id="Line 193" o:spid="_x0000_s1028" style="position:absolute;visibility:visible;mso-wrap-style:square" from="8955,336" to="101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w10:wrap anchorx="page"/>
              </v:group>
            </w:pict>
          </mc:Fallback>
        </mc:AlternateContent>
      </w:r>
      <w:r>
        <w:t>Outstanding at December</w:t>
      </w:r>
      <w:r>
        <w:rPr>
          <w:spacing w:val="-7"/>
        </w:rPr>
        <w:t xml:space="preserve"> </w:t>
      </w:r>
      <w:r>
        <w:t>31,</w:t>
      </w:r>
      <w:r>
        <w:rPr>
          <w:spacing w:val="-2"/>
        </w:rPr>
        <w:t xml:space="preserve"> </w:t>
      </w:r>
      <w:r>
        <w:t>2020</w:t>
      </w:r>
      <w:r>
        <w:tab/>
      </w:r>
      <w:r>
        <w:rPr>
          <w:position w:val="-1"/>
          <w:u w:val="single"/>
        </w:rPr>
        <w:t xml:space="preserve"> </w:t>
      </w:r>
      <w:r>
        <w:rPr>
          <w:position w:val="-1"/>
          <w:u w:val="single"/>
        </w:rPr>
        <w:tab/>
        <w:t>4.3</w:t>
      </w:r>
      <w:r>
        <w:rPr>
          <w:position w:val="-1"/>
        </w:rPr>
        <w:tab/>
        <w:t>21</w:t>
      </w:r>
    </w:p>
    <w:p w14:paraId="7326CEFB" w14:textId="77777777" w:rsidR="00EF3DFB" w:rsidRDefault="00D27C17">
      <w:pPr>
        <w:pStyle w:val="BodyText"/>
        <w:tabs>
          <w:tab w:val="left" w:pos="9203"/>
          <w:tab w:val="right" w:pos="10757"/>
        </w:tabs>
        <w:spacing w:before="320"/>
        <w:ind w:left="242"/>
      </w:pPr>
      <w:r>
        <w:t>Expected to vest at December</w:t>
      </w:r>
      <w:r>
        <w:rPr>
          <w:spacing w:val="-11"/>
        </w:rPr>
        <w:t xml:space="preserve"> </w:t>
      </w:r>
      <w:r>
        <w:t>31,</w:t>
      </w:r>
      <w:r>
        <w:rPr>
          <w:spacing w:val="-2"/>
        </w:rPr>
        <w:t xml:space="preserve"> </w:t>
      </w:r>
      <w:r>
        <w:t>2020</w:t>
      </w:r>
      <w:r>
        <w:tab/>
      </w:r>
      <w:r>
        <w:rPr>
          <w:position w:val="-1"/>
        </w:rPr>
        <w:t>4.8</w:t>
      </w:r>
      <w:r>
        <w:rPr>
          <w:position w:val="-1"/>
        </w:rPr>
        <w:tab/>
        <w:t>20</w:t>
      </w:r>
    </w:p>
    <w:p w14:paraId="7326CEFC" w14:textId="77777777" w:rsidR="00EF3DFB" w:rsidRDefault="00EF3DFB">
      <w:pPr>
        <w:pStyle w:val="BodyText"/>
        <w:rPr>
          <w:sz w:val="18"/>
        </w:rPr>
      </w:pPr>
    </w:p>
    <w:p w14:paraId="7326CEFD" w14:textId="77777777" w:rsidR="00EF3DFB" w:rsidRDefault="00D27C17">
      <w:pPr>
        <w:pStyle w:val="ListParagraph"/>
        <w:numPr>
          <w:ilvl w:val="0"/>
          <w:numId w:val="18"/>
        </w:numPr>
        <w:tabs>
          <w:tab w:val="left" w:pos="550"/>
        </w:tabs>
        <w:spacing w:before="125" w:line="249" w:lineRule="auto"/>
        <w:ind w:right="167"/>
        <w:rPr>
          <w:sz w:val="16"/>
        </w:rPr>
      </w:pPr>
      <w:r>
        <w:rPr>
          <w:sz w:val="16"/>
        </w:rPr>
        <w:t>The Grant Adjustment primarily relates to an adjustment in the quantity of Stock-Price Based RSUs ultimately vested during 2020 that were dependent on the level of achievement of the specified performance</w:t>
      </w:r>
      <w:r>
        <w:rPr>
          <w:spacing w:val="-1"/>
          <w:sz w:val="16"/>
        </w:rPr>
        <w:t xml:space="preserve"> </w:t>
      </w:r>
      <w:r>
        <w:rPr>
          <w:sz w:val="16"/>
        </w:rPr>
        <w:t>conditions.</w:t>
      </w:r>
    </w:p>
    <w:p w14:paraId="7326CEFE" w14:textId="77777777" w:rsidR="00EF3DFB" w:rsidRDefault="00EF3DFB">
      <w:pPr>
        <w:pStyle w:val="BodyText"/>
        <w:spacing w:before="2"/>
      </w:pPr>
    </w:p>
    <w:p w14:paraId="7326CEFF" w14:textId="77777777" w:rsidR="00EF3DFB" w:rsidRDefault="00D27C17">
      <w:pPr>
        <w:pStyle w:val="BodyText"/>
        <w:spacing w:line="249" w:lineRule="auto"/>
        <w:ind w:left="190" w:right="169"/>
        <w:jc w:val="both"/>
      </w:pPr>
      <w:r>
        <w:t>The weighted-average grant-date fair v</w:t>
      </w:r>
      <w:r>
        <w:t>alues of awards granted were $17 and $29 per share in 2019 and 2018, respectively. The fair values of awards that vested were $23 million, $18 million and $32 million in 2020, 2019 and 2018, respectively.</w:t>
      </w:r>
    </w:p>
    <w:p w14:paraId="7326CF00" w14:textId="77777777" w:rsidR="00EF3DFB" w:rsidRDefault="00EF3DFB">
      <w:pPr>
        <w:pStyle w:val="BodyText"/>
        <w:rPr>
          <w:sz w:val="21"/>
        </w:rPr>
      </w:pPr>
    </w:p>
    <w:p w14:paraId="7326CF01" w14:textId="77777777" w:rsidR="00EF3DFB" w:rsidRDefault="00D27C17">
      <w:pPr>
        <w:pStyle w:val="BodyText"/>
        <w:spacing w:line="249" w:lineRule="auto"/>
        <w:ind w:left="190" w:right="169"/>
        <w:jc w:val="both"/>
      </w:pPr>
      <w:r>
        <w:t>During 2020, the Company awarded 0.7 million time-</w:t>
      </w:r>
      <w:r>
        <w:t>based RSUs, which had an aggregate grant date fair value of $13 million, that generally vest in equal annual installments over a three-year period.</w:t>
      </w:r>
    </w:p>
    <w:p w14:paraId="7326CF02" w14:textId="77777777" w:rsidR="00EF3DFB" w:rsidRDefault="00EF3DFB">
      <w:pPr>
        <w:pStyle w:val="BodyText"/>
        <w:rPr>
          <w:sz w:val="21"/>
        </w:rPr>
      </w:pPr>
    </w:p>
    <w:p w14:paraId="7326CF03" w14:textId="77777777" w:rsidR="00EF3DFB" w:rsidRDefault="00D27C17">
      <w:pPr>
        <w:pStyle w:val="BodyText"/>
        <w:spacing w:before="1" w:line="249" w:lineRule="auto"/>
        <w:ind w:left="190" w:right="169"/>
        <w:jc w:val="both"/>
      </w:pPr>
      <w:r>
        <w:t xml:space="preserve">During 2020, the Company also awarded 1.3 million performance-based RSUs with an aggregate grant date fair </w:t>
      </w:r>
      <w:r>
        <w:t>value of $29 million, that entitle the recipients to shares of the Company’s common stock at the end of a three-year vesting period. The actual number of shares that will ultimately vest is dependent on the level of achievement of the specified performance</w:t>
      </w:r>
      <w:r>
        <w:t xml:space="preserve"> conditions.</w:t>
      </w:r>
    </w:p>
    <w:p w14:paraId="7326CF04" w14:textId="77777777" w:rsidR="00EF3DFB" w:rsidRDefault="00EF3DFB">
      <w:pPr>
        <w:pStyle w:val="BodyText"/>
        <w:spacing w:before="1"/>
        <w:rPr>
          <w:sz w:val="21"/>
        </w:rPr>
      </w:pPr>
    </w:p>
    <w:p w14:paraId="7326CF05" w14:textId="77777777" w:rsidR="00EF3DFB" w:rsidRDefault="00D27C17">
      <w:pPr>
        <w:ind w:left="190"/>
        <w:rPr>
          <w:i/>
          <w:sz w:val="20"/>
        </w:rPr>
      </w:pPr>
      <w:r>
        <w:rPr>
          <w:i/>
          <w:sz w:val="20"/>
        </w:rPr>
        <w:t>Other Share-Based Awards Data</w:t>
      </w:r>
    </w:p>
    <w:p w14:paraId="7326CF06" w14:textId="77777777" w:rsidR="00EF3DFB" w:rsidRDefault="00EF3DFB">
      <w:pPr>
        <w:pStyle w:val="BodyText"/>
        <w:spacing w:before="8"/>
        <w:rPr>
          <w:i/>
          <w:sz w:val="21"/>
        </w:rPr>
      </w:pPr>
    </w:p>
    <w:p w14:paraId="7326CF07" w14:textId="77777777" w:rsidR="00EF3DFB" w:rsidRDefault="00D27C17">
      <w:pPr>
        <w:pStyle w:val="BodyText"/>
        <w:spacing w:line="249" w:lineRule="auto"/>
        <w:ind w:left="190" w:right="168"/>
        <w:jc w:val="both"/>
      </w:pPr>
      <w:r>
        <w:t>Michael B. Polk, the Company’s former President and Chief Executive Officer and member of the Company’s Board of Directors (the “Board”), retired from the Company at the end of the second quarter of 2019.</w:t>
      </w:r>
    </w:p>
    <w:p w14:paraId="7326CF08" w14:textId="77777777" w:rsidR="00EF3DFB" w:rsidRDefault="00EF3DFB">
      <w:pPr>
        <w:pStyle w:val="BodyText"/>
        <w:rPr>
          <w:sz w:val="21"/>
        </w:rPr>
      </w:pPr>
    </w:p>
    <w:p w14:paraId="7326CF09" w14:textId="77777777" w:rsidR="00EF3DFB" w:rsidRDefault="00D27C17">
      <w:pPr>
        <w:pStyle w:val="BodyText"/>
        <w:spacing w:line="249" w:lineRule="auto"/>
        <w:ind w:left="190" w:right="169"/>
        <w:jc w:val="both"/>
      </w:pPr>
      <w:r>
        <w:t>In co</w:t>
      </w:r>
      <w:r>
        <w:t>nnection with Mr. Polk’s retirement from the Company, on June 28, 2019 (the “Retirement Date”), the Company and Mr. Polk entered into a Retirement Agreement and General Release (the “Retirement Agreement”), pursuant to which, Mr. Polk agreed to a customary</w:t>
      </w:r>
      <w:r>
        <w:t xml:space="preserve"> release and restrictive covenants. Pursuant to certain terms and conditions, Mr. Polk’s unexercised 2011 stock options will remain exercisable until expiration in July 2021 consistent with the terms of the underlying option agreement. Additionally, Mr. Po</w:t>
      </w:r>
      <w:r>
        <w:t>lk’s unvested performance-based RSUs awarded in February 2018 will continue to vest in February 2021 (subject to the satisfaction of applicable performance conditions) and a pro rata portion of the RSUs awarded to Mr. Polk in February 2019, reflecting four</w:t>
      </w:r>
      <w:r>
        <w:t xml:space="preserve"> months of service and totaling 45,724 RSUs, will continue to vest in February 2022 (subject to the satisfaction of applicable performance conditions).</w:t>
      </w:r>
    </w:p>
    <w:p w14:paraId="7326CF0A" w14:textId="77777777" w:rsidR="00EF3DFB" w:rsidRDefault="00EF3DFB">
      <w:pPr>
        <w:pStyle w:val="BodyText"/>
        <w:spacing w:before="5"/>
        <w:rPr>
          <w:sz w:val="21"/>
        </w:rPr>
      </w:pPr>
    </w:p>
    <w:p w14:paraId="7326CF0B" w14:textId="77777777" w:rsidR="00EF3DFB" w:rsidRDefault="00D27C17">
      <w:pPr>
        <w:pStyle w:val="BodyText"/>
        <w:spacing w:line="249" w:lineRule="auto"/>
        <w:ind w:left="190" w:right="168"/>
        <w:jc w:val="both"/>
      </w:pPr>
      <w:r>
        <w:t>Furthermore, Mr. Polk forfeited his unvested performance-based RSUs awarded in February 2017. The Compa</w:t>
      </w:r>
      <w:r>
        <w:t>ny accounted for the treatment of his 2018 and 2019 awards as modification of his initial awards based on the terms and conditions of such awards. As such, the cumulative compensation expense of his 2017, 2018 and 2019 awards were reversed during the first</w:t>
      </w:r>
      <w:r>
        <w:t xml:space="preserve"> quarter of 2019 while the fair value of the modified awards was recognized as compensation expense over the contractual service period. During 2019, the Company recorded a net benefit of approximately $5 million, based on the aforementioned terms and cond</w:t>
      </w:r>
      <w:r>
        <w:t>itions of the Retirement Agreement.</w:t>
      </w:r>
    </w:p>
    <w:p w14:paraId="7326CF0C"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CF0D" w14:textId="77777777" w:rsidR="00EF3DFB" w:rsidRDefault="00D27C17">
      <w:pPr>
        <w:pStyle w:val="BodyText"/>
        <w:spacing w:before="72" w:line="249" w:lineRule="auto"/>
        <w:ind w:left="190"/>
      </w:pPr>
      <w:r>
        <w:lastRenderedPageBreak/>
        <w:t>The following table summarizes the Company's total unrecognized compensation cost related to stock-based compensation at December 31, 2020:</w:t>
      </w:r>
    </w:p>
    <w:p w14:paraId="7326CF0E" w14:textId="77777777" w:rsidR="00EF3DFB" w:rsidRDefault="00EF3DFB">
      <w:pPr>
        <w:spacing w:line="249" w:lineRule="auto"/>
        <w:sectPr w:rsidR="00EF3DFB">
          <w:footerReference w:type="default" r:id="rId22"/>
          <w:pgSz w:w="12240" w:h="15840"/>
          <w:pgMar w:top="600" w:right="640" w:bottom="480" w:left="620" w:header="0" w:footer="291" w:gutter="0"/>
          <w:pgNumType w:start="90"/>
          <w:cols w:space="720"/>
        </w:sectPr>
      </w:pPr>
    </w:p>
    <w:p w14:paraId="7326CF0F" w14:textId="77777777" w:rsidR="00EF3DFB" w:rsidRDefault="00EF3DFB">
      <w:pPr>
        <w:pStyle w:val="BodyText"/>
        <w:rPr>
          <w:sz w:val="22"/>
        </w:rPr>
      </w:pPr>
    </w:p>
    <w:p w14:paraId="7326CF10" w14:textId="77777777" w:rsidR="00EF3DFB" w:rsidRDefault="00EF3DFB">
      <w:pPr>
        <w:pStyle w:val="BodyText"/>
        <w:rPr>
          <w:sz w:val="22"/>
        </w:rPr>
      </w:pPr>
    </w:p>
    <w:p w14:paraId="7326CF11" w14:textId="77777777" w:rsidR="00EF3DFB" w:rsidRDefault="00D27C17">
      <w:pPr>
        <w:pStyle w:val="Heading2"/>
        <w:spacing w:before="169"/>
        <w:ind w:left="242"/>
        <w:jc w:val="left"/>
      </w:pPr>
      <w:r>
        <w:t>(in millions)</w:t>
      </w:r>
    </w:p>
    <w:p w14:paraId="7326CF12" w14:textId="77777777" w:rsidR="00EF3DFB" w:rsidRDefault="00D27C17">
      <w:pPr>
        <w:pStyle w:val="BodyText"/>
        <w:rPr>
          <w:b/>
          <w:sz w:val="18"/>
        </w:rPr>
      </w:pPr>
      <w:r>
        <w:br w:type="column"/>
      </w:r>
    </w:p>
    <w:p w14:paraId="7326CF13" w14:textId="77777777" w:rsidR="00EF3DFB" w:rsidRDefault="00EF3DFB">
      <w:pPr>
        <w:pStyle w:val="BodyText"/>
        <w:spacing w:before="6"/>
        <w:rPr>
          <w:b/>
          <w:sz w:val="18"/>
        </w:rPr>
      </w:pPr>
    </w:p>
    <w:p w14:paraId="7326CF14" w14:textId="77777777" w:rsidR="00EF3DFB" w:rsidRDefault="00D27C17">
      <w:pPr>
        <w:spacing w:line="208" w:lineRule="auto"/>
        <w:ind w:left="242"/>
        <w:jc w:val="center"/>
        <w:rPr>
          <w:b/>
          <w:sz w:val="16"/>
        </w:rPr>
      </w:pPr>
      <w:r>
        <w:rPr>
          <w:b/>
          <w:sz w:val="16"/>
        </w:rPr>
        <w:t>Unrecognized Compensation Cost</w:t>
      </w:r>
    </w:p>
    <w:p w14:paraId="7326CF15" w14:textId="77777777" w:rsidR="00EF3DFB" w:rsidRDefault="00D27C17">
      <w:pPr>
        <w:spacing w:before="100" w:line="208" w:lineRule="auto"/>
        <w:ind w:left="135" w:right="236" w:hanging="1"/>
        <w:jc w:val="center"/>
        <w:rPr>
          <w:b/>
          <w:sz w:val="16"/>
        </w:rPr>
      </w:pPr>
      <w:r>
        <w:br w:type="column"/>
      </w:r>
      <w:r>
        <w:rPr>
          <w:b/>
          <w:sz w:val="16"/>
        </w:rPr>
        <w:t>Weighted Average Period of Expense Recognition</w:t>
      </w:r>
    </w:p>
    <w:p w14:paraId="7326CF16" w14:textId="77777777" w:rsidR="00EF3DFB" w:rsidRDefault="00D27C17">
      <w:pPr>
        <w:spacing w:line="164" w:lineRule="exact"/>
        <w:ind w:left="325" w:right="426"/>
        <w:jc w:val="center"/>
        <w:rPr>
          <w:b/>
          <w:sz w:val="16"/>
        </w:rPr>
      </w:pPr>
      <w:r>
        <w:rPr>
          <w:b/>
          <w:sz w:val="16"/>
        </w:rPr>
        <w:t>(in years)</w:t>
      </w:r>
    </w:p>
    <w:p w14:paraId="7326CF17" w14:textId="77777777" w:rsidR="00EF3DFB" w:rsidRDefault="00EF3DFB">
      <w:pPr>
        <w:spacing w:line="164" w:lineRule="exact"/>
        <w:jc w:val="center"/>
        <w:rPr>
          <w:sz w:val="16"/>
        </w:rPr>
        <w:sectPr w:rsidR="00EF3DFB">
          <w:type w:val="continuous"/>
          <w:pgSz w:w="12240" w:h="15840"/>
          <w:pgMar w:top="760" w:right="640" w:bottom="280" w:left="620" w:header="720" w:footer="720" w:gutter="0"/>
          <w:cols w:num="3" w:space="720" w:equalWidth="0">
            <w:col w:w="1310" w:space="6964"/>
            <w:col w:w="1230" w:space="40"/>
            <w:col w:w="1436"/>
          </w:cols>
        </w:sectPr>
      </w:pPr>
    </w:p>
    <w:p w14:paraId="7326CF18" w14:textId="77777777" w:rsidR="00EF3DFB" w:rsidRDefault="00EF3DFB">
      <w:pPr>
        <w:pStyle w:val="BodyText"/>
        <w:spacing w:before="6"/>
        <w:rPr>
          <w:b/>
          <w:sz w:val="2"/>
        </w:rPr>
      </w:pPr>
    </w:p>
    <w:tbl>
      <w:tblPr>
        <w:tblW w:w="0" w:type="auto"/>
        <w:tblInd w:w="190" w:type="dxa"/>
        <w:tblLayout w:type="fixed"/>
        <w:tblCellMar>
          <w:left w:w="0" w:type="dxa"/>
          <w:right w:w="0" w:type="dxa"/>
        </w:tblCellMar>
        <w:tblLook w:val="01E0" w:firstRow="1" w:lastRow="1" w:firstColumn="1" w:lastColumn="1" w:noHBand="0" w:noVBand="0"/>
      </w:tblPr>
      <w:tblGrid>
        <w:gridCol w:w="5023"/>
        <w:gridCol w:w="4632"/>
        <w:gridCol w:w="966"/>
      </w:tblGrid>
      <w:tr w:rsidR="00EF3DFB" w14:paraId="7326CF1C" w14:textId="77777777">
        <w:trPr>
          <w:trHeight w:val="315"/>
        </w:trPr>
        <w:tc>
          <w:tcPr>
            <w:tcW w:w="5023" w:type="dxa"/>
            <w:shd w:val="clear" w:color="auto" w:fill="CCEDFF"/>
          </w:tcPr>
          <w:p w14:paraId="7326CF19" w14:textId="77777777" w:rsidR="00EF3DFB" w:rsidRDefault="00D27C17">
            <w:pPr>
              <w:pStyle w:val="TableParagraph"/>
              <w:spacing w:before="55"/>
              <w:ind w:left="52"/>
              <w:rPr>
                <w:sz w:val="20"/>
              </w:rPr>
            </w:pPr>
            <w:r>
              <w:rPr>
                <w:sz w:val="20"/>
              </w:rPr>
              <w:t>Restricted stock units</w:t>
            </w:r>
          </w:p>
        </w:tc>
        <w:tc>
          <w:tcPr>
            <w:tcW w:w="4632" w:type="dxa"/>
            <w:shd w:val="clear" w:color="auto" w:fill="CCEDFF"/>
          </w:tcPr>
          <w:p w14:paraId="7326CF1A" w14:textId="77777777" w:rsidR="00EF3DFB" w:rsidRDefault="00D27C17">
            <w:pPr>
              <w:pStyle w:val="TableParagraph"/>
              <w:tabs>
                <w:tab w:val="left" w:pos="865"/>
              </w:tabs>
              <w:spacing w:before="55"/>
              <w:ind w:right="314"/>
              <w:jc w:val="right"/>
              <w:rPr>
                <w:sz w:val="20"/>
              </w:rPr>
            </w:pPr>
            <w:r>
              <w:rPr>
                <w:sz w:val="20"/>
              </w:rPr>
              <w:t>$</w:t>
            </w:r>
            <w:r>
              <w:rPr>
                <w:sz w:val="20"/>
              </w:rPr>
              <w:tab/>
              <w:t>40</w:t>
            </w:r>
          </w:p>
        </w:tc>
        <w:tc>
          <w:tcPr>
            <w:tcW w:w="966" w:type="dxa"/>
            <w:shd w:val="clear" w:color="auto" w:fill="CCEDFF"/>
          </w:tcPr>
          <w:p w14:paraId="7326CF1B" w14:textId="77777777" w:rsidR="00EF3DFB" w:rsidRDefault="00D27C17">
            <w:pPr>
              <w:pStyle w:val="TableParagraph"/>
              <w:spacing w:before="55"/>
              <w:ind w:left="315"/>
              <w:rPr>
                <w:sz w:val="20"/>
              </w:rPr>
            </w:pPr>
            <w:r>
              <w:rPr>
                <w:sz w:val="20"/>
              </w:rPr>
              <w:t>1</w:t>
            </w:r>
          </w:p>
        </w:tc>
      </w:tr>
      <w:tr w:rsidR="00EF3DFB" w14:paraId="7326CF20" w14:textId="77777777">
        <w:trPr>
          <w:trHeight w:val="305"/>
        </w:trPr>
        <w:tc>
          <w:tcPr>
            <w:tcW w:w="5023" w:type="dxa"/>
          </w:tcPr>
          <w:p w14:paraId="7326CF1D" w14:textId="77777777" w:rsidR="00EF3DFB" w:rsidRDefault="00D27C17">
            <w:pPr>
              <w:pStyle w:val="TableParagraph"/>
              <w:spacing w:before="55" w:line="230" w:lineRule="exact"/>
              <w:ind w:left="52"/>
              <w:rPr>
                <w:sz w:val="20"/>
              </w:rPr>
            </w:pPr>
            <w:r>
              <w:rPr>
                <w:sz w:val="20"/>
              </w:rPr>
              <w:t>Stock options</w:t>
            </w:r>
          </w:p>
        </w:tc>
        <w:tc>
          <w:tcPr>
            <w:tcW w:w="4632" w:type="dxa"/>
            <w:tcBorders>
              <w:bottom w:val="single" w:sz="8" w:space="0" w:color="000000"/>
            </w:tcBorders>
          </w:tcPr>
          <w:p w14:paraId="7326CF1E" w14:textId="77777777" w:rsidR="00EF3DFB" w:rsidRDefault="00D27C17">
            <w:pPr>
              <w:pStyle w:val="TableParagraph"/>
              <w:spacing w:before="55" w:line="230" w:lineRule="exact"/>
              <w:ind w:right="314"/>
              <w:jc w:val="right"/>
              <w:rPr>
                <w:sz w:val="20"/>
              </w:rPr>
            </w:pPr>
            <w:r>
              <w:rPr>
                <w:sz w:val="20"/>
              </w:rPr>
              <w:t>6</w:t>
            </w:r>
          </w:p>
        </w:tc>
        <w:tc>
          <w:tcPr>
            <w:tcW w:w="966" w:type="dxa"/>
          </w:tcPr>
          <w:p w14:paraId="7326CF1F" w14:textId="77777777" w:rsidR="00EF3DFB" w:rsidRDefault="00D27C17">
            <w:pPr>
              <w:pStyle w:val="TableParagraph"/>
              <w:spacing w:before="55" w:line="230" w:lineRule="exact"/>
              <w:ind w:left="315"/>
              <w:rPr>
                <w:sz w:val="20"/>
              </w:rPr>
            </w:pPr>
            <w:r>
              <w:rPr>
                <w:sz w:val="20"/>
              </w:rPr>
              <w:t>1</w:t>
            </w:r>
          </w:p>
        </w:tc>
      </w:tr>
      <w:tr w:rsidR="00EF3DFB" w14:paraId="7326CF24" w14:textId="77777777">
        <w:trPr>
          <w:trHeight w:val="305"/>
        </w:trPr>
        <w:tc>
          <w:tcPr>
            <w:tcW w:w="5023" w:type="dxa"/>
            <w:shd w:val="clear" w:color="auto" w:fill="CCEDFF"/>
          </w:tcPr>
          <w:p w14:paraId="7326CF21" w14:textId="77777777" w:rsidR="00EF3DFB" w:rsidRDefault="00D27C17">
            <w:pPr>
              <w:pStyle w:val="TableParagraph"/>
              <w:spacing w:before="45"/>
              <w:ind w:left="52"/>
              <w:rPr>
                <w:sz w:val="20"/>
              </w:rPr>
            </w:pPr>
            <w:r>
              <w:rPr>
                <w:sz w:val="20"/>
              </w:rPr>
              <w:t>Total</w:t>
            </w:r>
          </w:p>
        </w:tc>
        <w:tc>
          <w:tcPr>
            <w:tcW w:w="4632" w:type="dxa"/>
            <w:tcBorders>
              <w:top w:val="single" w:sz="8" w:space="0" w:color="000000"/>
            </w:tcBorders>
            <w:shd w:val="clear" w:color="auto" w:fill="CCEDFF"/>
          </w:tcPr>
          <w:p w14:paraId="7326CF22" w14:textId="77777777" w:rsidR="00EF3DFB" w:rsidRDefault="00D27C17">
            <w:pPr>
              <w:pStyle w:val="TableParagraph"/>
              <w:tabs>
                <w:tab w:val="left" w:pos="865"/>
              </w:tabs>
              <w:spacing w:before="45"/>
              <w:ind w:right="314"/>
              <w:jc w:val="right"/>
              <w:rPr>
                <w:sz w:val="20"/>
              </w:rPr>
            </w:pPr>
            <w:r>
              <w:rPr>
                <w:sz w:val="20"/>
              </w:rPr>
              <w:t>$</w:t>
            </w:r>
            <w:r>
              <w:rPr>
                <w:sz w:val="20"/>
              </w:rPr>
              <w:tab/>
              <w:t>46</w:t>
            </w:r>
          </w:p>
        </w:tc>
        <w:tc>
          <w:tcPr>
            <w:tcW w:w="966" w:type="dxa"/>
            <w:shd w:val="clear" w:color="auto" w:fill="CCEDFF"/>
          </w:tcPr>
          <w:p w14:paraId="7326CF23" w14:textId="77777777" w:rsidR="00EF3DFB" w:rsidRDefault="00D27C17">
            <w:pPr>
              <w:pStyle w:val="TableParagraph"/>
              <w:spacing w:before="45"/>
              <w:ind w:left="315"/>
              <w:rPr>
                <w:sz w:val="20"/>
              </w:rPr>
            </w:pPr>
            <w:r>
              <w:rPr>
                <w:sz w:val="20"/>
              </w:rPr>
              <w:t>1</w:t>
            </w:r>
          </w:p>
        </w:tc>
      </w:tr>
    </w:tbl>
    <w:p w14:paraId="7326CF25" w14:textId="77777777" w:rsidR="00EF3DFB" w:rsidRDefault="00EF3DFB">
      <w:pPr>
        <w:pStyle w:val="BodyText"/>
        <w:rPr>
          <w:b/>
          <w:sz w:val="24"/>
        </w:rPr>
      </w:pPr>
    </w:p>
    <w:p w14:paraId="7326CF26" w14:textId="77777777" w:rsidR="00EF3DFB" w:rsidRDefault="00D27C17">
      <w:pPr>
        <w:pStyle w:val="BodyText"/>
        <w:spacing w:before="91" w:line="249" w:lineRule="auto"/>
        <w:ind w:left="190" w:right="168"/>
        <w:jc w:val="both"/>
      </w:pPr>
      <w:r>
        <w:t>Excess tax detriments related to stock-based compensation for 2020, 2019 and 2018 were $8 million, $14 million and $6 million, respectively.</w:t>
      </w:r>
    </w:p>
    <w:p w14:paraId="7326CF27" w14:textId="77777777" w:rsidR="00EF3DFB" w:rsidRDefault="00EF3DFB">
      <w:pPr>
        <w:pStyle w:val="BodyText"/>
        <w:rPr>
          <w:sz w:val="21"/>
        </w:rPr>
      </w:pPr>
    </w:p>
    <w:p w14:paraId="7326CF28" w14:textId="77777777" w:rsidR="00EF3DFB" w:rsidRDefault="00D27C17">
      <w:pPr>
        <w:pStyle w:val="BodyText"/>
        <w:ind w:left="190"/>
      </w:pPr>
      <w:r>
        <w:t>The Company’s share repurchase program (“SRP”) expired on December 31, 2019 and was not extended.</w:t>
      </w:r>
    </w:p>
    <w:p w14:paraId="7326CF29" w14:textId="77777777" w:rsidR="00EF3DFB" w:rsidRDefault="00EF3DFB">
      <w:pPr>
        <w:pStyle w:val="BodyText"/>
        <w:spacing w:before="11"/>
        <w:rPr>
          <w:sz w:val="31"/>
        </w:rPr>
      </w:pPr>
    </w:p>
    <w:p w14:paraId="7326CF2A" w14:textId="77777777" w:rsidR="00EF3DFB" w:rsidRDefault="00D27C17">
      <w:pPr>
        <w:pStyle w:val="Heading2"/>
        <w:jc w:val="left"/>
      </w:pPr>
      <w:bookmarkStart w:id="64" w:name="Footnote_16_—_Fair_Value_Disclosures"/>
      <w:bookmarkEnd w:id="64"/>
      <w:r>
        <w:t>Footnote 16 — F</w:t>
      </w:r>
      <w:r>
        <w:t>air Value Disclosures</w:t>
      </w:r>
    </w:p>
    <w:p w14:paraId="7326CF2B" w14:textId="77777777" w:rsidR="00EF3DFB" w:rsidRDefault="00EF3DFB">
      <w:pPr>
        <w:pStyle w:val="BodyText"/>
        <w:rPr>
          <w:b/>
          <w:sz w:val="22"/>
        </w:rPr>
      </w:pPr>
    </w:p>
    <w:p w14:paraId="7326CF2C" w14:textId="77777777" w:rsidR="00EF3DFB" w:rsidRDefault="00D27C17">
      <w:pPr>
        <w:pStyle w:val="BodyText"/>
        <w:spacing w:line="249" w:lineRule="auto"/>
        <w:ind w:left="190" w:right="168"/>
        <w:jc w:val="both"/>
      </w:pPr>
      <w:r>
        <w:t>Accounting principles generally accepted in the U.S. define fair value as the price that would be received to sell an asset or transfer a liability in an orderly transaction between market participants. As such, fair value is a marke</w:t>
      </w:r>
      <w:r>
        <w:t>t-based measurement that should be determined based on assumptions that market participants would use in pricing an asset or liability. The authoritative guidance discusses valuation techniques, such as the market approach (comparable market prices), the i</w:t>
      </w:r>
      <w:r>
        <w:t>ncome approach (present value of future income or cash flow), and the cost approach (cost to replace the service capacity of an asset or replacement cost). These valuation techniques are based upon observable and unobservable inputs. Observable inputs refl</w:t>
      </w:r>
      <w:r>
        <w:t>ect market data obtained from independent sources, while unobservable inputs reflect the Company’s market assumptions. As the basis for evaluating such inputs, a three-tier value hierarchy prioritizes the inputs used in measuring fair value as</w:t>
      </w:r>
      <w:r>
        <w:rPr>
          <w:spacing w:val="-13"/>
        </w:rPr>
        <w:t xml:space="preserve"> </w:t>
      </w:r>
      <w:r>
        <w:t>follows:</w:t>
      </w:r>
    </w:p>
    <w:p w14:paraId="7326CF2D" w14:textId="77777777" w:rsidR="00EF3DFB" w:rsidRDefault="00EF3DFB">
      <w:pPr>
        <w:pStyle w:val="BodyText"/>
        <w:spacing w:before="5"/>
        <w:rPr>
          <w:sz w:val="21"/>
        </w:rPr>
      </w:pPr>
    </w:p>
    <w:p w14:paraId="7326CF2E" w14:textId="77777777" w:rsidR="00EF3DFB" w:rsidRDefault="00D27C17">
      <w:pPr>
        <w:pStyle w:val="BodyText"/>
        <w:ind w:left="910"/>
      </w:pPr>
      <w:r>
        <w:t>Le</w:t>
      </w:r>
      <w:r>
        <w:t>vel 1: Observable inputs such as quoted prices for identical assets or liabilities in active markets.</w:t>
      </w:r>
    </w:p>
    <w:p w14:paraId="7326CF2F" w14:textId="77777777" w:rsidR="00EF3DFB" w:rsidRDefault="00EF3DFB">
      <w:pPr>
        <w:pStyle w:val="BodyText"/>
        <w:spacing w:before="8"/>
        <w:rPr>
          <w:sz w:val="21"/>
        </w:rPr>
      </w:pPr>
    </w:p>
    <w:p w14:paraId="7326CF30" w14:textId="77777777" w:rsidR="00EF3DFB" w:rsidRDefault="00D27C17">
      <w:pPr>
        <w:pStyle w:val="BodyText"/>
        <w:spacing w:before="1" w:line="249" w:lineRule="auto"/>
        <w:ind w:left="910" w:right="168"/>
        <w:jc w:val="both"/>
      </w:pPr>
      <w:r>
        <w:t>Level 2: Observable inputs other than quoted prices that are directly or indirectly observable for the asset or liability, including quoted prices for si</w:t>
      </w:r>
      <w:r>
        <w:t>milar assets or liabilities in active markets; quoted prices for similar or identical assets or liabilities in markets that are not active; and model-derived valuations whose inputs are observable or whose significant value drivers are observable.</w:t>
      </w:r>
    </w:p>
    <w:p w14:paraId="7326CF31" w14:textId="77777777" w:rsidR="00EF3DFB" w:rsidRDefault="00EF3DFB">
      <w:pPr>
        <w:pStyle w:val="BodyText"/>
        <w:spacing w:before="1"/>
        <w:rPr>
          <w:sz w:val="21"/>
        </w:rPr>
      </w:pPr>
    </w:p>
    <w:p w14:paraId="7326CF32" w14:textId="77777777" w:rsidR="00EF3DFB" w:rsidRDefault="00D27C17">
      <w:pPr>
        <w:pStyle w:val="BodyText"/>
        <w:ind w:left="910"/>
      </w:pPr>
      <w:r>
        <w:t>Level 3</w:t>
      </w:r>
      <w:r>
        <w:t>: Unobservable inputs that reflect the reporting entity’s own assumptions.</w:t>
      </w:r>
    </w:p>
    <w:p w14:paraId="7326CF33" w14:textId="77777777" w:rsidR="00EF3DFB" w:rsidRDefault="00EF3DFB">
      <w:pPr>
        <w:pStyle w:val="BodyText"/>
        <w:spacing w:before="6"/>
        <w:rPr>
          <w:sz w:val="21"/>
        </w:rPr>
      </w:pPr>
    </w:p>
    <w:p w14:paraId="7326CF34" w14:textId="77777777" w:rsidR="00EF3DFB" w:rsidRDefault="00D27C17">
      <w:pPr>
        <w:pStyle w:val="Heading2"/>
        <w:jc w:val="left"/>
      </w:pPr>
      <w:r>
        <w:t>Recurring Fair Value Measurements</w:t>
      </w:r>
    </w:p>
    <w:p w14:paraId="7326CF35" w14:textId="77777777" w:rsidR="00EF3DFB" w:rsidRDefault="00EF3DFB">
      <w:pPr>
        <w:pStyle w:val="BodyText"/>
        <w:rPr>
          <w:b/>
          <w:sz w:val="22"/>
        </w:rPr>
      </w:pPr>
    </w:p>
    <w:p w14:paraId="7326CF36" w14:textId="77777777" w:rsidR="00EF3DFB" w:rsidRDefault="00D27C17">
      <w:pPr>
        <w:pStyle w:val="BodyText"/>
        <w:spacing w:line="249" w:lineRule="auto"/>
        <w:ind w:left="190" w:right="169"/>
        <w:jc w:val="both"/>
      </w:pPr>
      <w:r>
        <w:t>The Company’s financial assets and liabilities adjusted to fair value at least annually are its money market fund investments included in cash an</w:t>
      </w:r>
      <w:r>
        <w:t>d cash equivalents, its mutual fund investments included in other assets, and its derivative instruments, which are primarily included in prepaid expenses and other, other assets, other accrued liabilities and other noncurrent</w:t>
      </w:r>
      <w:r>
        <w:rPr>
          <w:spacing w:val="-26"/>
        </w:rPr>
        <w:t xml:space="preserve"> </w:t>
      </w:r>
      <w:r>
        <w:t>liabilities.</w:t>
      </w:r>
    </w:p>
    <w:p w14:paraId="7326CF37" w14:textId="77777777" w:rsidR="00EF3DFB" w:rsidRDefault="00EF3DFB">
      <w:pPr>
        <w:pStyle w:val="BodyText"/>
        <w:spacing w:before="1"/>
        <w:rPr>
          <w:sz w:val="21"/>
        </w:rPr>
      </w:pPr>
    </w:p>
    <w:p w14:paraId="7326CF38" w14:textId="77777777" w:rsidR="00EF3DFB" w:rsidRDefault="00D27C17">
      <w:pPr>
        <w:pStyle w:val="BodyText"/>
        <w:spacing w:line="249" w:lineRule="auto"/>
        <w:ind w:left="190" w:right="169"/>
        <w:jc w:val="both"/>
      </w:pPr>
      <w:r>
        <w:t>The following tables present the Company’s non-pension financial assets and liabilities, which are measured at fair value on a recurring basis (in millions):</w:t>
      </w:r>
    </w:p>
    <w:p w14:paraId="7326CF39"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CF3A" w14:textId="77777777" w:rsidR="00EF3DFB" w:rsidRDefault="00EF3DFB">
      <w:pPr>
        <w:pStyle w:val="BodyText"/>
        <w:rPr>
          <w:sz w:val="22"/>
        </w:rPr>
      </w:pPr>
    </w:p>
    <w:p w14:paraId="7326CF3B" w14:textId="77777777" w:rsidR="00EF3DFB" w:rsidRDefault="00EF3DFB">
      <w:pPr>
        <w:pStyle w:val="BodyText"/>
        <w:rPr>
          <w:sz w:val="22"/>
        </w:rPr>
      </w:pPr>
    </w:p>
    <w:p w14:paraId="7326CF3C" w14:textId="6EABC117" w:rsidR="00EF3DFB" w:rsidRDefault="00D27C17">
      <w:pPr>
        <w:pStyle w:val="BodyText"/>
        <w:spacing w:before="194"/>
        <w:ind w:left="242"/>
      </w:pPr>
      <w:r>
        <w:rPr>
          <w:noProof/>
        </w:rPr>
        <mc:AlternateContent>
          <mc:Choice Requires="wpg">
            <w:drawing>
              <wp:anchor distT="0" distB="0" distL="114300" distR="114300" simplePos="0" relativeHeight="502907864" behindDoc="1" locked="0" layoutInCell="1" allowOverlap="1" wp14:anchorId="7326D77C" wp14:editId="4E42AB20">
                <wp:simplePos x="0" y="0"/>
                <wp:positionH relativeFrom="page">
                  <wp:posOffset>514350</wp:posOffset>
                </wp:positionH>
                <wp:positionV relativeFrom="paragraph">
                  <wp:posOffset>91440</wp:posOffset>
                </wp:positionV>
                <wp:extent cx="6743700" cy="196850"/>
                <wp:effectExtent l="0" t="8255" r="9525" b="0"/>
                <wp:wrapNone/>
                <wp:docPr id="19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6850"/>
                          <a:chOff x="810" y="144"/>
                          <a:chExt cx="10620" cy="310"/>
                        </a:xfrm>
                      </wpg:grpSpPr>
                      <wps:wsp>
                        <wps:cNvPr id="192" name="Freeform 191"/>
                        <wps:cNvSpPr>
                          <a:spLocks/>
                        </wps:cNvSpPr>
                        <wps:spPr bwMode="auto">
                          <a:xfrm>
                            <a:off x="810" y="153"/>
                            <a:ext cx="10620" cy="300"/>
                          </a:xfrm>
                          <a:custGeom>
                            <a:avLst/>
                            <a:gdLst>
                              <a:gd name="T0" fmla="+- 0 11430 810"/>
                              <a:gd name="T1" fmla="*/ T0 w 10620"/>
                              <a:gd name="T2" fmla="+- 0 154 154"/>
                              <a:gd name="T3" fmla="*/ 154 h 300"/>
                              <a:gd name="T4" fmla="+- 0 5025 810"/>
                              <a:gd name="T5" fmla="*/ T4 w 10620"/>
                              <a:gd name="T6" fmla="+- 0 154 154"/>
                              <a:gd name="T7" fmla="*/ 154 h 300"/>
                              <a:gd name="T8" fmla="+- 0 810 810"/>
                              <a:gd name="T9" fmla="*/ T8 w 10620"/>
                              <a:gd name="T10" fmla="+- 0 154 154"/>
                              <a:gd name="T11" fmla="*/ 154 h 300"/>
                              <a:gd name="T12" fmla="+- 0 810 810"/>
                              <a:gd name="T13" fmla="*/ T12 w 10620"/>
                              <a:gd name="T14" fmla="+- 0 454 154"/>
                              <a:gd name="T15" fmla="*/ 454 h 300"/>
                              <a:gd name="T16" fmla="+- 0 5025 810"/>
                              <a:gd name="T17" fmla="*/ T16 w 10620"/>
                              <a:gd name="T18" fmla="+- 0 454 154"/>
                              <a:gd name="T19" fmla="*/ 454 h 300"/>
                              <a:gd name="T20" fmla="+- 0 11430 810"/>
                              <a:gd name="T21" fmla="*/ T20 w 10620"/>
                              <a:gd name="T22" fmla="+- 0 454 154"/>
                              <a:gd name="T23" fmla="*/ 454 h 300"/>
                              <a:gd name="T24" fmla="+- 0 11430 810"/>
                              <a:gd name="T25" fmla="*/ T24 w 10620"/>
                              <a:gd name="T26" fmla="+- 0 154 154"/>
                              <a:gd name="T27" fmla="*/ 154 h 300"/>
                            </a:gdLst>
                            <a:ahLst/>
                            <a:cxnLst>
                              <a:cxn ang="0">
                                <a:pos x="T1" y="T3"/>
                              </a:cxn>
                              <a:cxn ang="0">
                                <a:pos x="T5" y="T7"/>
                              </a:cxn>
                              <a:cxn ang="0">
                                <a:pos x="T9" y="T11"/>
                              </a:cxn>
                              <a:cxn ang="0">
                                <a:pos x="T13" y="T15"/>
                              </a:cxn>
                              <a:cxn ang="0">
                                <a:pos x="T17" y="T19"/>
                              </a:cxn>
                              <a:cxn ang="0">
                                <a:pos x="T21" y="T23"/>
                              </a:cxn>
                              <a:cxn ang="0">
                                <a:pos x="T25" y="T27"/>
                              </a:cxn>
                            </a:cxnLst>
                            <a:rect l="0" t="0" r="r" b="b"/>
                            <a:pathLst>
                              <a:path w="10620" h="300">
                                <a:moveTo>
                                  <a:pt x="10620" y="0"/>
                                </a:moveTo>
                                <a:lnTo>
                                  <a:pt x="4215" y="0"/>
                                </a:lnTo>
                                <a:lnTo>
                                  <a:pt x="0" y="0"/>
                                </a:lnTo>
                                <a:lnTo>
                                  <a:pt x="0" y="300"/>
                                </a:lnTo>
                                <a:lnTo>
                                  <a:pt x="4215" y="300"/>
                                </a:lnTo>
                                <a:lnTo>
                                  <a:pt x="10620" y="300"/>
                                </a:lnTo>
                                <a:lnTo>
                                  <a:pt x="10620"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190"/>
                        <wps:cNvCnPr>
                          <a:cxnSpLocks noChangeShapeType="1"/>
                        </wps:cNvCnPr>
                        <wps:spPr bwMode="auto">
                          <a:xfrm>
                            <a:off x="502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89"/>
                        <wps:cNvCnPr>
                          <a:cxnSpLocks noChangeShapeType="1"/>
                        </wps:cNvCnPr>
                        <wps:spPr bwMode="auto">
                          <a:xfrm>
                            <a:off x="502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88"/>
                        <wps:cNvCnPr>
                          <a:cxnSpLocks noChangeShapeType="1"/>
                        </wps:cNvCnPr>
                        <wps:spPr bwMode="auto">
                          <a:xfrm>
                            <a:off x="583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87"/>
                        <wps:cNvCnPr>
                          <a:cxnSpLocks noChangeShapeType="1"/>
                        </wps:cNvCnPr>
                        <wps:spPr bwMode="auto">
                          <a:xfrm>
                            <a:off x="583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86"/>
                        <wps:cNvCnPr>
                          <a:cxnSpLocks noChangeShapeType="1"/>
                        </wps:cNvCnPr>
                        <wps:spPr bwMode="auto">
                          <a:xfrm>
                            <a:off x="664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85"/>
                        <wps:cNvCnPr>
                          <a:cxnSpLocks noChangeShapeType="1"/>
                        </wps:cNvCnPr>
                        <wps:spPr bwMode="auto">
                          <a:xfrm>
                            <a:off x="664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84"/>
                        <wps:cNvCnPr>
                          <a:cxnSpLocks noChangeShapeType="1"/>
                        </wps:cNvCnPr>
                        <wps:spPr bwMode="auto">
                          <a:xfrm>
                            <a:off x="745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83"/>
                        <wps:cNvCnPr>
                          <a:cxnSpLocks noChangeShapeType="1"/>
                        </wps:cNvCnPr>
                        <wps:spPr bwMode="auto">
                          <a:xfrm>
                            <a:off x="745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82"/>
                        <wps:cNvCnPr>
                          <a:cxnSpLocks noChangeShapeType="1"/>
                        </wps:cNvCnPr>
                        <wps:spPr bwMode="auto">
                          <a:xfrm>
                            <a:off x="826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81"/>
                        <wps:cNvCnPr>
                          <a:cxnSpLocks noChangeShapeType="1"/>
                        </wps:cNvCnPr>
                        <wps:spPr bwMode="auto">
                          <a:xfrm>
                            <a:off x="826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80"/>
                        <wps:cNvCnPr>
                          <a:cxnSpLocks noChangeShapeType="1"/>
                        </wps:cNvCnPr>
                        <wps:spPr bwMode="auto">
                          <a:xfrm>
                            <a:off x="907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79"/>
                        <wps:cNvCnPr>
                          <a:cxnSpLocks noChangeShapeType="1"/>
                        </wps:cNvCnPr>
                        <wps:spPr bwMode="auto">
                          <a:xfrm>
                            <a:off x="907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78"/>
                        <wps:cNvCnPr>
                          <a:cxnSpLocks noChangeShapeType="1"/>
                        </wps:cNvCnPr>
                        <wps:spPr bwMode="auto">
                          <a:xfrm>
                            <a:off x="988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77"/>
                        <wps:cNvCnPr>
                          <a:cxnSpLocks noChangeShapeType="1"/>
                        </wps:cNvCnPr>
                        <wps:spPr bwMode="auto">
                          <a:xfrm>
                            <a:off x="988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76"/>
                        <wps:cNvCnPr>
                          <a:cxnSpLocks noChangeShapeType="1"/>
                        </wps:cNvCnPr>
                        <wps:spPr bwMode="auto">
                          <a:xfrm>
                            <a:off x="10695" y="154"/>
                            <a:ext cx="7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75"/>
                        <wps:cNvCnPr>
                          <a:cxnSpLocks noChangeShapeType="1"/>
                        </wps:cNvCnPr>
                        <wps:spPr bwMode="auto">
                          <a:xfrm>
                            <a:off x="10695" y="154"/>
                            <a:ext cx="7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3D25B9" id="Group 174" o:spid="_x0000_s1026" style="position:absolute;margin-left:40.5pt;margin-top:7.2pt;width:531pt;height:15.5pt;z-index:-408616;mso-position-horizontal-relative:page" coordorigin="810,144" coordsize="106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">
                <v:shape id="Freeform 191" o:spid="_x0000_s1027" style="position:absolute;left:810;top:153;width:10620;height:300;visibility:visible;mso-wrap-style:square;v-text-anchor:top" coordsize="106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" path="m10620,l4215,,,,,300r4215,l10620,300r,-300e" fillcolor="#ccedff" stroked="f">
                  <v:path arrowok="t" o:connecttype="custom" o:connectlocs="10620,154;4215,154;0,154;0,454;4215,454;10620,454;10620,154" o:connectangles="0,0,0,0,0,0,0"/>
                </v:shape>
                <v:line id="Line 190" o:spid="_x0000_s1028" style="position:absolute;visibility:visible;mso-wrap-style:square" from="5025,154" to="576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line id="Line 189" o:spid="_x0000_s1029" style="position:absolute;visibility:visible;mso-wrap-style:square" from="5025,154" to="576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TXjwgAAANwAAAAPAAAAZHJzL2Rvd25yZXYueG1sRE/bagIx&#10;EH0v+A9hBN9qVp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B38TXjwgAAANwAAAAPAAAA&#10;AAAAAAAAAAAAAAcCAABkcnMvZG93bnJldi54bWxQSwUGAAAAAAMAAwC3AAAA9gIAAAAA&#10;" strokeweight="1pt"/>
                <v:line id="Line 188" o:spid="_x0000_s1030" style="position:absolute;visibility:visible;mso-wrap-style:square" from="5835,154" to="657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line id="Line 187" o:spid="_x0000_s1031" style="position:absolute;visibility:visible;mso-wrap-style:square" from="5835,154" to="657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" strokeweight="1pt"/>
                <v:line id="Line 186" o:spid="_x0000_s1032" style="position:absolute;visibility:visible;mso-wrap-style:square" from="6645,154" to="738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line id="Line 185" o:spid="_x0000_s1033" style="position:absolute;visibility:visible;mso-wrap-style:square" from="6645,154" to="738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" strokeweight="1pt"/>
                <v:line id="Line 184" o:spid="_x0000_s1034" style="position:absolute;visibility:visible;mso-wrap-style:square" from="7455,154" to="819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line id="Line 183" o:spid="_x0000_s1035" style="position:absolute;visibility:visible;mso-wrap-style:square" from="7455,154" to="819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" strokeweight="1pt"/>
                <v:line id="Line 182" o:spid="_x0000_s1036" style="position:absolute;visibility:visible;mso-wrap-style:square" from="8265,154" to="900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line id="Line 181" o:spid="_x0000_s1037" style="position:absolute;visibility:visible;mso-wrap-style:square" from="8265,154" to="900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" strokeweight="1pt"/>
                <v:line id="Line 180" o:spid="_x0000_s1038" style="position:absolute;visibility:visible;mso-wrap-style:square" from="9075,154" to="98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line id="Line 179" o:spid="_x0000_s1039" style="position:absolute;visibility:visible;mso-wrap-style:square" from="9075,154" to="98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line id="Line 178" o:spid="_x0000_s1040" style="position:absolute;visibility:visible;mso-wrap-style:square" from="9885,154" to="1062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line id="Line 177" o:spid="_x0000_s1041" style="position:absolute;visibility:visible;mso-wrap-style:square" from="9885,154" to="1062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" strokeweight="1pt"/>
                <v:line id="Line 176" o:spid="_x0000_s1042" style="position:absolute;visibility:visible;mso-wrap-style:square" from="10695,154" to="1143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line id="Line 175" o:spid="_x0000_s1043" style="position:absolute;visibility:visible;mso-wrap-style:square" from="10695,154" to="1143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" strokeweight="1pt"/>
                <w10:wrap anchorx="page"/>
              </v:group>
            </w:pict>
          </mc:Fallback>
        </mc:AlternateContent>
      </w:r>
      <w:r>
        <w:t>Derivatives:</w:t>
      </w:r>
    </w:p>
    <w:p w14:paraId="7326CF3D" w14:textId="77777777" w:rsidR="00EF3DFB" w:rsidRDefault="00D27C17">
      <w:pPr>
        <w:pStyle w:val="BodyText"/>
        <w:spacing w:before="7"/>
        <w:rPr>
          <w:sz w:val="16"/>
        </w:rPr>
      </w:pPr>
      <w:r>
        <w:br w:type="column"/>
      </w:r>
    </w:p>
    <w:p w14:paraId="7326CF3E" w14:textId="77777777" w:rsidR="00EF3DFB" w:rsidRDefault="00D27C17">
      <w:pPr>
        <w:tabs>
          <w:tab w:val="left" w:pos="3239"/>
        </w:tabs>
        <w:ind w:right="46"/>
        <w:jc w:val="center"/>
        <w:rPr>
          <w:b/>
          <w:sz w:val="16"/>
        </w:rPr>
      </w:pPr>
      <w:r>
        <w:rPr>
          <w:b/>
          <w:sz w:val="16"/>
        </w:rPr>
        <w:t>December</w:t>
      </w:r>
      <w:r>
        <w:rPr>
          <w:b/>
          <w:spacing w:val="-1"/>
          <w:sz w:val="16"/>
        </w:rPr>
        <w:t xml:space="preserve"> </w:t>
      </w:r>
      <w:r>
        <w:rPr>
          <w:b/>
          <w:sz w:val="16"/>
        </w:rPr>
        <w:t>31,</w:t>
      </w:r>
      <w:r>
        <w:rPr>
          <w:b/>
          <w:spacing w:val="-1"/>
          <w:sz w:val="16"/>
        </w:rPr>
        <w:t xml:space="preserve"> </w:t>
      </w:r>
      <w:r>
        <w:rPr>
          <w:b/>
          <w:sz w:val="16"/>
        </w:rPr>
        <w:t>2020</w:t>
      </w:r>
      <w:r>
        <w:rPr>
          <w:b/>
          <w:sz w:val="16"/>
        </w:rPr>
        <w:tab/>
        <w:t>December 31,</w:t>
      </w:r>
      <w:r>
        <w:rPr>
          <w:b/>
          <w:spacing w:val="-1"/>
          <w:sz w:val="16"/>
        </w:rPr>
        <w:t xml:space="preserve"> </w:t>
      </w:r>
      <w:r>
        <w:rPr>
          <w:b/>
          <w:sz w:val="16"/>
        </w:rPr>
        <w:t>2019</w:t>
      </w:r>
    </w:p>
    <w:p w14:paraId="7326CF3F" w14:textId="6F65E35C" w:rsidR="00EF3DFB" w:rsidRDefault="00D27C17">
      <w:pPr>
        <w:spacing w:line="20" w:lineRule="exact"/>
        <w:ind w:left="111"/>
        <w:rPr>
          <w:sz w:val="2"/>
        </w:rPr>
      </w:pPr>
      <w:r>
        <w:rPr>
          <w:noProof/>
          <w:sz w:val="2"/>
        </w:rPr>
        <mc:AlternateContent>
          <mc:Choice Requires="wpg">
            <w:drawing>
              <wp:inline distT="0" distB="0" distL="0" distR="0" wp14:anchorId="7326D77D" wp14:editId="1E424536">
                <wp:extent cx="2009775" cy="12700"/>
                <wp:effectExtent l="12065" t="5715" r="6985" b="635"/>
                <wp:docPr id="18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2700"/>
                          <a:chOff x="0" y="0"/>
                          <a:chExt cx="3165" cy="20"/>
                        </a:xfrm>
                      </wpg:grpSpPr>
                      <wps:wsp>
                        <wps:cNvPr id="189" name="Line 173"/>
                        <wps:cNvCnPr>
                          <a:cxnSpLocks noChangeShapeType="1"/>
                        </wps:cNvCnPr>
                        <wps:spPr bwMode="auto">
                          <a:xfrm>
                            <a:off x="0" y="10"/>
                            <a:ext cx="3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72"/>
                        <wps:cNvCnPr>
                          <a:cxnSpLocks noChangeShapeType="1"/>
                        </wps:cNvCnPr>
                        <wps:spPr bwMode="auto">
                          <a:xfrm>
                            <a:off x="0" y="10"/>
                            <a:ext cx="31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A15FF" id="Group 171" o:spid="_x0000_s1026" style="width:158.25pt;height:1pt;mso-position-horizontal-relative:char;mso-position-vertical-relative:line" coordsize="3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">
                <v:line id="Line 173" o:spid="_x0000_s1027" style="position:absolute;visibility:visible;mso-wrap-style:square" from="0,10" to="3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line id="Line 172" o:spid="_x0000_s1028" style="position:absolute;visibility:visible;mso-wrap-style:square" from="0,10" to="3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Pg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vjwjE+jlHwAAAP//AwBQSwECLQAUAAYACAAAACEA2+H2y+4AAACFAQAAEwAAAAAAAAAA&#10;AAAAAAAAAAAAW0NvbnRlbnRfVHlwZXNdLnhtbFBLAQItABQABgAIAAAAIQBa9CxbvwAAABUBAAAL&#10;AAAAAAAAAAAAAAAAAB8BAABfcmVscy8ucmVsc1BLAQItABQABgAIAAAAIQAIyjPgxQAAANwAAAAP&#10;AAAAAAAAAAAAAAAAAAcCAABkcnMvZG93bnJldi54bWxQSwUGAAAAAAMAAwC3AAAA+Q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7F" wp14:editId="08E83E06">
                <wp:extent cx="2009775" cy="12700"/>
                <wp:effectExtent l="12065" t="5715" r="6985" b="635"/>
                <wp:docPr id="185"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2700"/>
                          <a:chOff x="0" y="0"/>
                          <a:chExt cx="3165" cy="20"/>
                        </a:xfrm>
                      </wpg:grpSpPr>
                      <wps:wsp>
                        <wps:cNvPr id="186" name="Line 170"/>
                        <wps:cNvCnPr>
                          <a:cxnSpLocks noChangeShapeType="1"/>
                        </wps:cNvCnPr>
                        <wps:spPr bwMode="auto">
                          <a:xfrm>
                            <a:off x="0" y="10"/>
                            <a:ext cx="3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69"/>
                        <wps:cNvCnPr>
                          <a:cxnSpLocks noChangeShapeType="1"/>
                        </wps:cNvCnPr>
                        <wps:spPr bwMode="auto">
                          <a:xfrm>
                            <a:off x="0" y="10"/>
                            <a:ext cx="31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EBFBA6" id="Group 168" o:spid="_x0000_s1026" style="width:158.25pt;height:1pt;mso-position-horizontal-relative:char;mso-position-vertical-relative:line" coordsize="3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">
                <v:line id="Line 170" o:spid="_x0000_s1027" style="position:absolute;visibility:visible;mso-wrap-style:square" from="0,10" to="3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line id="Line 169" o:spid="_x0000_s1028" style="position:absolute;visibility:visible;mso-wrap-style:square" from="0,10" to="3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" strokeweight="1pt"/>
                <w10:anchorlock/>
              </v:group>
            </w:pict>
          </mc:Fallback>
        </mc:AlternateContent>
      </w:r>
    </w:p>
    <w:p w14:paraId="7326CF40" w14:textId="77777777" w:rsidR="00EF3DFB" w:rsidRDefault="00D27C17">
      <w:pPr>
        <w:tabs>
          <w:tab w:val="left" w:pos="809"/>
          <w:tab w:val="left" w:pos="1619"/>
          <w:tab w:val="left" w:pos="2494"/>
          <w:tab w:val="left" w:pos="3239"/>
          <w:tab w:val="left" w:pos="4049"/>
          <w:tab w:val="left" w:pos="4859"/>
          <w:tab w:val="left" w:pos="5734"/>
        </w:tabs>
        <w:spacing w:before="50"/>
        <w:ind w:right="110"/>
        <w:jc w:val="center"/>
        <w:rPr>
          <w:b/>
          <w:sz w:val="16"/>
        </w:rPr>
      </w:pPr>
      <w:r>
        <w:rPr>
          <w:b/>
          <w:sz w:val="16"/>
        </w:rPr>
        <w:t>Level 1</w:t>
      </w:r>
      <w:r>
        <w:rPr>
          <w:b/>
          <w:sz w:val="16"/>
        </w:rPr>
        <w:tab/>
        <w:t>Level 2</w:t>
      </w:r>
      <w:r>
        <w:rPr>
          <w:b/>
          <w:sz w:val="16"/>
        </w:rPr>
        <w:tab/>
        <w:t>Level 3</w:t>
      </w:r>
      <w:r>
        <w:rPr>
          <w:b/>
          <w:sz w:val="16"/>
        </w:rPr>
        <w:tab/>
        <w:t>Total</w:t>
      </w:r>
      <w:r>
        <w:rPr>
          <w:b/>
          <w:sz w:val="16"/>
        </w:rPr>
        <w:tab/>
        <w:t>Level 1</w:t>
      </w:r>
      <w:r>
        <w:rPr>
          <w:b/>
          <w:sz w:val="16"/>
        </w:rPr>
        <w:tab/>
        <w:t>Level 2</w:t>
      </w:r>
      <w:r>
        <w:rPr>
          <w:b/>
          <w:sz w:val="16"/>
        </w:rPr>
        <w:tab/>
        <w:t>Level 3</w:t>
      </w:r>
      <w:r>
        <w:rPr>
          <w:b/>
          <w:sz w:val="16"/>
        </w:rPr>
        <w:tab/>
        <w:t>Total</w:t>
      </w:r>
    </w:p>
    <w:p w14:paraId="7326CF41" w14:textId="77777777" w:rsidR="00EF3DFB" w:rsidRDefault="00EF3DFB">
      <w:pPr>
        <w:jc w:val="center"/>
        <w:rPr>
          <w:sz w:val="16"/>
        </w:rPr>
        <w:sectPr w:rsidR="00EF3DFB">
          <w:type w:val="continuous"/>
          <w:pgSz w:w="12240" w:h="15840"/>
          <w:pgMar w:top="760" w:right="640" w:bottom="280" w:left="620" w:header="720" w:footer="720" w:gutter="0"/>
          <w:cols w:num="2" w:space="720" w:equalWidth="0">
            <w:col w:w="1259" w:space="3024"/>
            <w:col w:w="6697"/>
          </w:cols>
        </w:sectPr>
      </w:pPr>
    </w:p>
    <w:p w14:paraId="7326CF42" w14:textId="54FEE0FF" w:rsidR="00EF3DFB" w:rsidRDefault="00D27C17">
      <w:pPr>
        <w:pStyle w:val="BodyText"/>
        <w:tabs>
          <w:tab w:val="left" w:pos="4457"/>
          <w:tab w:val="left" w:pos="4858"/>
          <w:tab w:val="left" w:pos="5267"/>
          <w:tab w:val="left" w:pos="5501"/>
          <w:tab w:val="left" w:pos="5668"/>
          <w:tab w:val="left" w:pos="6077"/>
          <w:tab w:val="left" w:pos="6478"/>
          <w:tab w:val="left" w:pos="6887"/>
          <w:tab w:val="left" w:pos="7121"/>
          <w:tab w:val="left" w:pos="7288"/>
          <w:tab w:val="left" w:pos="7697"/>
          <w:tab w:val="left" w:pos="8098"/>
          <w:tab w:val="left" w:pos="8507"/>
          <w:tab w:val="left" w:pos="8841"/>
          <w:tab w:val="left" w:pos="8908"/>
          <w:tab w:val="left" w:pos="9317"/>
          <w:tab w:val="left" w:pos="9718"/>
          <w:tab w:val="left" w:pos="10127"/>
          <w:tab w:val="left" w:pos="10461"/>
          <w:tab w:val="left" w:pos="10528"/>
        </w:tabs>
        <w:spacing w:before="70" w:line="312" w:lineRule="auto"/>
        <w:ind w:left="602" w:right="184"/>
      </w:pPr>
      <w:r>
        <w:rPr>
          <w:noProof/>
        </w:rPr>
        <mc:AlternateContent>
          <mc:Choice Requires="wpg">
            <w:drawing>
              <wp:anchor distT="0" distB="0" distL="114300" distR="114300" simplePos="0" relativeHeight="502907888" behindDoc="1" locked="0" layoutInCell="1" allowOverlap="1" wp14:anchorId="7326D781" wp14:editId="53B4AA87">
                <wp:simplePos x="0" y="0"/>
                <wp:positionH relativeFrom="page">
                  <wp:posOffset>514350</wp:posOffset>
                </wp:positionH>
                <wp:positionV relativeFrom="paragraph">
                  <wp:posOffset>209550</wp:posOffset>
                </wp:positionV>
                <wp:extent cx="6743700" cy="190500"/>
                <wp:effectExtent l="0" t="24130" r="0" b="33020"/>
                <wp:wrapNone/>
                <wp:docPr id="17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0500"/>
                          <a:chOff x="810" y="330"/>
                          <a:chExt cx="10620" cy="300"/>
                        </a:xfrm>
                      </wpg:grpSpPr>
                      <wps:wsp>
                        <wps:cNvPr id="171" name="Freeform 167"/>
                        <wps:cNvSpPr>
                          <a:spLocks/>
                        </wps:cNvSpPr>
                        <wps:spPr bwMode="auto">
                          <a:xfrm>
                            <a:off x="810" y="329"/>
                            <a:ext cx="4950" cy="300"/>
                          </a:xfrm>
                          <a:custGeom>
                            <a:avLst/>
                            <a:gdLst>
                              <a:gd name="T0" fmla="+- 0 5760 810"/>
                              <a:gd name="T1" fmla="*/ T0 w 4950"/>
                              <a:gd name="T2" fmla="+- 0 330 330"/>
                              <a:gd name="T3" fmla="*/ 330 h 300"/>
                              <a:gd name="T4" fmla="+- 0 5025 810"/>
                              <a:gd name="T5" fmla="*/ T4 w 4950"/>
                              <a:gd name="T6" fmla="+- 0 330 330"/>
                              <a:gd name="T7" fmla="*/ 330 h 300"/>
                              <a:gd name="T8" fmla="+- 0 810 810"/>
                              <a:gd name="T9" fmla="*/ T8 w 4950"/>
                              <a:gd name="T10" fmla="+- 0 330 330"/>
                              <a:gd name="T11" fmla="*/ 330 h 300"/>
                              <a:gd name="T12" fmla="+- 0 810 810"/>
                              <a:gd name="T13" fmla="*/ T12 w 4950"/>
                              <a:gd name="T14" fmla="+- 0 630 330"/>
                              <a:gd name="T15" fmla="*/ 630 h 300"/>
                              <a:gd name="T16" fmla="+- 0 5025 810"/>
                              <a:gd name="T17" fmla="*/ T16 w 4950"/>
                              <a:gd name="T18" fmla="+- 0 630 330"/>
                              <a:gd name="T19" fmla="*/ 630 h 300"/>
                              <a:gd name="T20" fmla="+- 0 5760 810"/>
                              <a:gd name="T21" fmla="*/ T20 w 4950"/>
                              <a:gd name="T22" fmla="+- 0 630 330"/>
                              <a:gd name="T23" fmla="*/ 630 h 300"/>
                              <a:gd name="T24" fmla="+- 0 5760 810"/>
                              <a:gd name="T25" fmla="*/ T24 w 4950"/>
                              <a:gd name="T26" fmla="+- 0 330 330"/>
                              <a:gd name="T27" fmla="*/ 330 h 300"/>
                            </a:gdLst>
                            <a:ahLst/>
                            <a:cxnLst>
                              <a:cxn ang="0">
                                <a:pos x="T1" y="T3"/>
                              </a:cxn>
                              <a:cxn ang="0">
                                <a:pos x="T5" y="T7"/>
                              </a:cxn>
                              <a:cxn ang="0">
                                <a:pos x="T9" y="T11"/>
                              </a:cxn>
                              <a:cxn ang="0">
                                <a:pos x="T13" y="T15"/>
                              </a:cxn>
                              <a:cxn ang="0">
                                <a:pos x="T17" y="T19"/>
                              </a:cxn>
                              <a:cxn ang="0">
                                <a:pos x="T21" y="T23"/>
                              </a:cxn>
                              <a:cxn ang="0">
                                <a:pos x="T25" y="T27"/>
                              </a:cxn>
                            </a:cxnLst>
                            <a:rect l="0" t="0" r="r" b="b"/>
                            <a:pathLst>
                              <a:path w="4950" h="300">
                                <a:moveTo>
                                  <a:pt x="4950" y="0"/>
                                </a:moveTo>
                                <a:lnTo>
                                  <a:pt x="4215" y="0"/>
                                </a:lnTo>
                                <a:lnTo>
                                  <a:pt x="0" y="0"/>
                                </a:lnTo>
                                <a:lnTo>
                                  <a:pt x="0" y="300"/>
                                </a:lnTo>
                                <a:lnTo>
                                  <a:pt x="4215" y="300"/>
                                </a:lnTo>
                                <a:lnTo>
                                  <a:pt x="4950" y="300"/>
                                </a:lnTo>
                                <a:lnTo>
                                  <a:pt x="4950"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166"/>
                        <wps:cNvCnPr>
                          <a:cxnSpLocks noChangeShapeType="1"/>
                        </wps:cNvCnPr>
                        <wps:spPr bwMode="auto">
                          <a:xfrm>
                            <a:off x="579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73" name="Rectangle 165"/>
                        <wps:cNvSpPr>
                          <a:spLocks noChangeArrowheads="1"/>
                        </wps:cNvSpPr>
                        <wps:spPr bwMode="auto">
                          <a:xfrm>
                            <a:off x="5835" y="329"/>
                            <a:ext cx="735"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4"/>
                        <wps:cNvCnPr>
                          <a:cxnSpLocks noChangeShapeType="1"/>
                        </wps:cNvCnPr>
                        <wps:spPr bwMode="auto">
                          <a:xfrm>
                            <a:off x="660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75" name="Rectangle 163"/>
                        <wps:cNvSpPr>
                          <a:spLocks noChangeArrowheads="1"/>
                        </wps:cNvSpPr>
                        <wps:spPr bwMode="auto">
                          <a:xfrm>
                            <a:off x="6645" y="329"/>
                            <a:ext cx="735"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62"/>
                        <wps:cNvCnPr>
                          <a:cxnSpLocks noChangeShapeType="1"/>
                        </wps:cNvCnPr>
                        <wps:spPr bwMode="auto">
                          <a:xfrm>
                            <a:off x="741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77" name="Rectangle 161"/>
                        <wps:cNvSpPr>
                          <a:spLocks noChangeArrowheads="1"/>
                        </wps:cNvSpPr>
                        <wps:spPr bwMode="auto">
                          <a:xfrm>
                            <a:off x="7455" y="329"/>
                            <a:ext cx="735"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0"/>
                        <wps:cNvCnPr>
                          <a:cxnSpLocks noChangeShapeType="1"/>
                        </wps:cNvCnPr>
                        <wps:spPr bwMode="auto">
                          <a:xfrm>
                            <a:off x="984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79" name="Rectangle 159"/>
                        <wps:cNvSpPr>
                          <a:spLocks noChangeArrowheads="1"/>
                        </wps:cNvSpPr>
                        <wps:spPr bwMode="auto">
                          <a:xfrm>
                            <a:off x="9885" y="329"/>
                            <a:ext cx="735"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58"/>
                        <wps:cNvCnPr>
                          <a:cxnSpLocks noChangeShapeType="1"/>
                        </wps:cNvCnPr>
                        <wps:spPr bwMode="auto">
                          <a:xfrm>
                            <a:off x="1065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81" name="AutoShape 157"/>
                        <wps:cNvSpPr>
                          <a:spLocks/>
                        </wps:cNvSpPr>
                        <wps:spPr bwMode="auto">
                          <a:xfrm>
                            <a:off x="9075" y="329"/>
                            <a:ext cx="2355" cy="300"/>
                          </a:xfrm>
                          <a:custGeom>
                            <a:avLst/>
                            <a:gdLst>
                              <a:gd name="T0" fmla="+- 0 9810 9075"/>
                              <a:gd name="T1" fmla="*/ T0 w 2355"/>
                              <a:gd name="T2" fmla="+- 0 330 330"/>
                              <a:gd name="T3" fmla="*/ 330 h 300"/>
                              <a:gd name="T4" fmla="+- 0 9075 9075"/>
                              <a:gd name="T5" fmla="*/ T4 w 2355"/>
                              <a:gd name="T6" fmla="+- 0 330 330"/>
                              <a:gd name="T7" fmla="*/ 330 h 300"/>
                              <a:gd name="T8" fmla="+- 0 9075 9075"/>
                              <a:gd name="T9" fmla="*/ T8 w 2355"/>
                              <a:gd name="T10" fmla="+- 0 630 330"/>
                              <a:gd name="T11" fmla="*/ 630 h 300"/>
                              <a:gd name="T12" fmla="+- 0 9810 9075"/>
                              <a:gd name="T13" fmla="*/ T12 w 2355"/>
                              <a:gd name="T14" fmla="+- 0 630 330"/>
                              <a:gd name="T15" fmla="*/ 630 h 300"/>
                              <a:gd name="T16" fmla="+- 0 9810 9075"/>
                              <a:gd name="T17" fmla="*/ T16 w 2355"/>
                              <a:gd name="T18" fmla="+- 0 330 330"/>
                              <a:gd name="T19" fmla="*/ 330 h 300"/>
                              <a:gd name="T20" fmla="+- 0 11430 9075"/>
                              <a:gd name="T21" fmla="*/ T20 w 2355"/>
                              <a:gd name="T22" fmla="+- 0 330 330"/>
                              <a:gd name="T23" fmla="*/ 330 h 300"/>
                              <a:gd name="T24" fmla="+- 0 10695 9075"/>
                              <a:gd name="T25" fmla="*/ T24 w 2355"/>
                              <a:gd name="T26" fmla="+- 0 330 330"/>
                              <a:gd name="T27" fmla="*/ 330 h 300"/>
                              <a:gd name="T28" fmla="+- 0 10695 9075"/>
                              <a:gd name="T29" fmla="*/ T28 w 2355"/>
                              <a:gd name="T30" fmla="+- 0 630 330"/>
                              <a:gd name="T31" fmla="*/ 630 h 300"/>
                              <a:gd name="T32" fmla="+- 0 11430 9075"/>
                              <a:gd name="T33" fmla="*/ T32 w 2355"/>
                              <a:gd name="T34" fmla="+- 0 630 330"/>
                              <a:gd name="T35" fmla="*/ 630 h 300"/>
                              <a:gd name="T36" fmla="+- 0 11430 9075"/>
                              <a:gd name="T37" fmla="*/ T36 w 2355"/>
                              <a:gd name="T38" fmla="+- 0 330 330"/>
                              <a:gd name="T39" fmla="*/ 33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55" h="300">
                                <a:moveTo>
                                  <a:pt x="735" y="0"/>
                                </a:moveTo>
                                <a:lnTo>
                                  <a:pt x="0" y="0"/>
                                </a:lnTo>
                                <a:lnTo>
                                  <a:pt x="0" y="300"/>
                                </a:lnTo>
                                <a:lnTo>
                                  <a:pt x="735" y="300"/>
                                </a:lnTo>
                                <a:lnTo>
                                  <a:pt x="735" y="0"/>
                                </a:lnTo>
                                <a:moveTo>
                                  <a:pt x="2355" y="0"/>
                                </a:moveTo>
                                <a:lnTo>
                                  <a:pt x="1620" y="0"/>
                                </a:lnTo>
                                <a:lnTo>
                                  <a:pt x="1620" y="300"/>
                                </a:lnTo>
                                <a:lnTo>
                                  <a:pt x="2355" y="300"/>
                                </a:lnTo>
                                <a:lnTo>
                                  <a:pt x="2355" y="0"/>
                                </a:lnTo>
                              </a:path>
                            </a:pathLst>
                          </a:custGeom>
                          <a:solidFill>
                            <a:srgbClr val="CC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Line 156"/>
                        <wps:cNvCnPr>
                          <a:cxnSpLocks noChangeShapeType="1"/>
                        </wps:cNvCnPr>
                        <wps:spPr bwMode="auto">
                          <a:xfrm>
                            <a:off x="903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s:wsp>
                        <wps:cNvPr id="183" name="Rectangle 155"/>
                        <wps:cNvSpPr>
                          <a:spLocks noChangeArrowheads="1"/>
                        </wps:cNvSpPr>
                        <wps:spPr bwMode="auto">
                          <a:xfrm>
                            <a:off x="8265" y="329"/>
                            <a:ext cx="735" cy="3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54"/>
                        <wps:cNvCnPr>
                          <a:cxnSpLocks noChangeShapeType="1"/>
                        </wps:cNvCnPr>
                        <wps:spPr bwMode="auto">
                          <a:xfrm>
                            <a:off x="8228" y="330"/>
                            <a:ext cx="0" cy="300"/>
                          </a:xfrm>
                          <a:prstGeom prst="line">
                            <a:avLst/>
                          </a:prstGeom>
                          <a:noFill/>
                          <a:ln w="47625">
                            <a:solidFill>
                              <a:srgbClr val="CCED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A0734D" id="Group 153" o:spid="_x0000_s1026" style="position:absolute;margin-left:40.5pt;margin-top:16.5pt;width:531pt;height:15pt;z-index:-408592;mso-position-horizontal-relative:page" coordorigin="810,330" coordsize="106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">
                <v:shape id="Freeform 167" o:spid="_x0000_s1027" style="position:absolute;left:810;top:329;width:4950;height:300;visibility:visible;mso-wrap-style:square;v-text-anchor:top" coordsize="49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" path="m4950,l4215,,,,,300r4215,l4950,300,4950,e" fillcolor="#ccedff" stroked="f">
                  <v:path arrowok="t" o:connecttype="custom" o:connectlocs="4950,330;4215,330;0,330;0,630;4215,630;4950,630;4950,330" o:connectangles="0,0,0,0,0,0,0"/>
                </v:shape>
                <v:line id="Line 166" o:spid="_x0000_s1028" style="position:absolute;visibility:visible;mso-wrap-style:square" from="5798,330" to="579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" strokecolor="#ccedff" strokeweight="3.75pt"/>
                <v:rect id="Rectangle 165" o:spid="_x0000_s1029" style="position:absolute;left:5835;top:329;width:7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" fillcolor="#ccedff" stroked="f"/>
                <v:line id="Line 164" o:spid="_x0000_s1030" style="position:absolute;visibility:visible;mso-wrap-style:square" from="6608,330" to="66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" strokecolor="#ccedff" strokeweight="3.75pt"/>
                <v:rect id="Rectangle 163" o:spid="_x0000_s1031" style="position:absolute;left:6645;top:329;width:7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" fillcolor="#ccedff" stroked="f"/>
                <v:line id="Line 162" o:spid="_x0000_s1032" style="position:absolute;visibility:visible;mso-wrap-style:square" from="7418,330" to="74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" strokecolor="#ccedff" strokeweight="3.75pt"/>
                <v:rect id="Rectangle 161" o:spid="_x0000_s1033" style="position:absolute;left:7455;top:329;width:7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" fillcolor="#ccedff" stroked="f"/>
                <v:line id="Line 160" o:spid="_x0000_s1034" style="position:absolute;visibility:visible;mso-wrap-style:square" from="9848,330" to="984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" strokecolor="#ccedff" strokeweight="3.75pt"/>
                <v:rect id="Rectangle 159" o:spid="_x0000_s1035" style="position:absolute;left:9885;top:329;width:7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" fillcolor="#ccedff" stroked="f"/>
                <v:line id="Line 158" o:spid="_x0000_s1036" style="position:absolute;visibility:visible;mso-wrap-style:square" from="10658,330" to="1065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" strokecolor="#ccedff" strokeweight="3.75pt"/>
                <v:shape id="AutoShape 157" o:spid="_x0000_s1037" style="position:absolute;left:9075;top:329;width:2355;height:300;visibility:visible;mso-wrap-style:square;v-text-anchor:top" coordsize="23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" path="m735,l,,,300r735,l735,m2355,l1620,r,300l2355,300,2355,e" fillcolor="#ccedff" stroked="f">
                  <v:path arrowok="t" o:connecttype="custom" o:connectlocs="735,330;0,330;0,630;735,630;735,330;2355,330;1620,330;1620,630;2355,630;2355,330" o:connectangles="0,0,0,0,0,0,0,0,0,0"/>
                </v:shape>
                <v:line id="Line 156" o:spid="_x0000_s1038" style="position:absolute;visibility:visible;mso-wrap-style:square" from="9038,330" to="903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" strokecolor="#ccedff" strokeweight="3.75pt"/>
                <v:rect id="Rectangle 155" o:spid="_x0000_s1039" style="position:absolute;left:8265;top:329;width:7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" fillcolor="#ccedff" stroked="f"/>
                <v:line id="Line 154" o:spid="_x0000_s1040" style="position:absolute;visibility:visible;mso-wrap-style:square" from="8228,330" to="822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" strokecolor="#ccedff" strokeweight="3.75pt"/>
                <w10:wrap anchorx="page"/>
              </v:group>
            </w:pict>
          </mc:Fallback>
        </mc:AlternateContent>
      </w:r>
      <w:r>
        <w:t>Assets</w:t>
      </w:r>
      <w:r>
        <w:tab/>
        <w:t>$</w:t>
      </w:r>
      <w:r>
        <w:tab/>
        <w:t>—</w:t>
      </w:r>
      <w:r>
        <w:tab/>
        <w:t>$</w:t>
      </w:r>
      <w:r>
        <w:tab/>
      </w:r>
      <w:r>
        <w:tab/>
        <w:t>28</w:t>
      </w:r>
      <w:r>
        <w:tab/>
        <w:t>$</w:t>
      </w:r>
      <w:r>
        <w:tab/>
        <w:t>—</w:t>
      </w:r>
      <w:r>
        <w:tab/>
        <w:t>$</w:t>
      </w:r>
      <w:r>
        <w:tab/>
      </w:r>
      <w:r>
        <w:tab/>
        <w:t>28</w:t>
      </w:r>
      <w:r>
        <w:tab/>
        <w:t>$</w:t>
      </w:r>
      <w:r>
        <w:tab/>
        <w:t>—</w:t>
      </w:r>
      <w:r>
        <w:tab/>
        <w:t>$</w:t>
      </w:r>
      <w:r>
        <w:tab/>
      </w:r>
      <w:r>
        <w:tab/>
        <w:t>13</w:t>
      </w:r>
      <w:r>
        <w:tab/>
        <w:t>$</w:t>
      </w:r>
      <w:r>
        <w:tab/>
        <w:t>—</w:t>
      </w:r>
      <w:r>
        <w:tab/>
        <w:t>$</w:t>
      </w:r>
      <w:r>
        <w:tab/>
      </w:r>
      <w:r>
        <w:tab/>
        <w:t>13 Liabilities</w:t>
      </w:r>
      <w:r>
        <w:tab/>
      </w:r>
      <w:r>
        <w:tab/>
        <w:t>—</w:t>
      </w:r>
      <w:r>
        <w:tab/>
      </w:r>
      <w:r>
        <w:tab/>
        <w:t>(138)</w:t>
      </w:r>
      <w:r>
        <w:tab/>
      </w:r>
      <w:r>
        <w:tab/>
        <w:t>—</w:t>
      </w:r>
      <w:r>
        <w:tab/>
      </w:r>
      <w:r>
        <w:tab/>
        <w:t>(138)</w:t>
      </w:r>
      <w:r>
        <w:tab/>
      </w:r>
      <w:r>
        <w:tab/>
        <w:t>—</w:t>
      </w:r>
      <w:r>
        <w:tab/>
      </w:r>
      <w:r>
        <w:tab/>
        <w:t>(18)</w:t>
      </w:r>
      <w:r>
        <w:tab/>
      </w:r>
      <w:r>
        <w:tab/>
        <w:t>—</w:t>
      </w:r>
      <w:r>
        <w:tab/>
      </w:r>
      <w:r>
        <w:tab/>
        <w:t>(18)</w:t>
      </w:r>
    </w:p>
    <w:p w14:paraId="7326CF43" w14:textId="77777777" w:rsidR="00EF3DFB" w:rsidRDefault="00D27C17">
      <w:pPr>
        <w:pStyle w:val="BodyText"/>
        <w:tabs>
          <w:tab w:val="left" w:pos="4858"/>
          <w:tab w:val="left" w:pos="5668"/>
          <w:tab w:val="left" w:pos="6478"/>
          <w:tab w:val="left" w:pos="7288"/>
          <w:tab w:val="left" w:pos="8098"/>
          <w:tab w:val="left" w:pos="9008"/>
          <w:tab w:val="left" w:pos="9718"/>
          <w:tab w:val="right" w:pos="10728"/>
        </w:tabs>
        <w:spacing w:before="2"/>
        <w:ind w:left="242"/>
      </w:pPr>
      <w:r>
        <w:t>Investment securities, including</w:t>
      </w:r>
      <w:r>
        <w:rPr>
          <w:spacing w:val="-11"/>
        </w:rPr>
        <w:t xml:space="preserve"> </w:t>
      </w:r>
      <w:r>
        <w:t>mutual</w:t>
      </w:r>
      <w:r>
        <w:rPr>
          <w:spacing w:val="-5"/>
        </w:rPr>
        <w:t xml:space="preserve"> </w:t>
      </w:r>
      <w:r>
        <w:t>funds</w:t>
      </w:r>
      <w:r>
        <w:tab/>
        <w:t>10</w:t>
      </w:r>
      <w:r>
        <w:tab/>
        <w:t>—</w:t>
      </w:r>
      <w:r>
        <w:tab/>
        <w:t>—</w:t>
      </w:r>
      <w:r>
        <w:tab/>
        <w:t>10</w:t>
      </w:r>
      <w:r>
        <w:tab/>
        <w:t>10</w:t>
      </w:r>
      <w:r>
        <w:tab/>
        <w:t>1</w:t>
      </w:r>
      <w:r>
        <w:tab/>
        <w:t>—</w:t>
      </w:r>
      <w:r>
        <w:tab/>
        <w:t>11</w:t>
      </w:r>
    </w:p>
    <w:p w14:paraId="7326CF44" w14:textId="77777777" w:rsidR="00EF3DFB" w:rsidRDefault="00D27C17">
      <w:pPr>
        <w:pStyle w:val="BodyText"/>
        <w:spacing w:before="322" w:line="249" w:lineRule="auto"/>
        <w:ind w:left="190" w:right="167"/>
        <w:jc w:val="both"/>
      </w:pPr>
      <w:r>
        <w:t>For publicly-traded investment securities, including mutual funds, fair value is determined on the basis of quoted market prices and, accordingly, such investments are classified as Level 1. Other investment securities are primarily comprised of money mark</w:t>
      </w:r>
      <w:r>
        <w:t>et accounts that are classified as Level 2. The Company determines the fair value of its derivative instruments using standard pricing models and market-based assumptions for all significant inputs, such as yield curves and quoted spot and forward exchange</w:t>
      </w:r>
      <w:r>
        <w:t xml:space="preserve"> rates. Accordingly, the Company’s derivative instruments are classified as Level 2.</w:t>
      </w:r>
    </w:p>
    <w:p w14:paraId="7326CF45" w14:textId="77777777" w:rsidR="00EF3DFB" w:rsidRDefault="00EF3DFB">
      <w:pPr>
        <w:spacing w:line="249" w:lineRule="auto"/>
        <w:jc w:val="both"/>
        <w:sectPr w:rsidR="00EF3DFB">
          <w:type w:val="continuous"/>
          <w:pgSz w:w="12240" w:h="15840"/>
          <w:pgMar w:top="760" w:right="640" w:bottom="280" w:left="620" w:header="720" w:footer="720" w:gutter="0"/>
          <w:cols w:space="720"/>
        </w:sectPr>
      </w:pPr>
    </w:p>
    <w:p w14:paraId="7326CF46" w14:textId="77777777" w:rsidR="00EF3DFB" w:rsidRDefault="00D27C17">
      <w:pPr>
        <w:pStyle w:val="BodyText"/>
        <w:spacing w:before="72" w:line="249" w:lineRule="auto"/>
        <w:ind w:left="190" w:right="170"/>
        <w:jc w:val="both"/>
      </w:pPr>
      <w:r>
        <w:lastRenderedPageBreak/>
        <w:t>During 2019, the Company acquired an equity investment for $18 million, which is traded on an active exchange and therefore has a readily determinable fair val</w:t>
      </w:r>
      <w:r>
        <w:t>ue. At December 31, 2020, the fair value of the equity investment was $9 million. For equity investments with readily determinable fair values, the Company recorded an immaterial amount and $9 million of unrealized losses within other (income) expense, net</w:t>
      </w:r>
      <w:r>
        <w:t xml:space="preserve"> in the Consolidated Statement of Operations for 2020 and 2019, respectively.</w:t>
      </w:r>
    </w:p>
    <w:p w14:paraId="7326CF47" w14:textId="77777777" w:rsidR="00EF3DFB" w:rsidRDefault="00EF3DFB">
      <w:pPr>
        <w:pStyle w:val="BodyText"/>
        <w:spacing w:before="1"/>
        <w:rPr>
          <w:sz w:val="21"/>
        </w:rPr>
      </w:pPr>
    </w:p>
    <w:p w14:paraId="7326CF48" w14:textId="77777777" w:rsidR="00EF3DFB" w:rsidRDefault="00D27C17">
      <w:pPr>
        <w:pStyle w:val="BodyText"/>
        <w:spacing w:before="1"/>
        <w:ind w:left="190"/>
      </w:pPr>
      <w:r>
        <w:t xml:space="preserve">The Company adjusts its pension asset values to fair value on an annual basis (See </w:t>
      </w:r>
      <w:r>
        <w:rPr>
          <w:i/>
        </w:rPr>
        <w:t>Footnote 11</w:t>
      </w:r>
      <w:r>
        <w:t>).</w:t>
      </w:r>
    </w:p>
    <w:p w14:paraId="7326CF49" w14:textId="77777777" w:rsidR="00EF3DFB" w:rsidRDefault="00EF3DFB">
      <w:pPr>
        <w:pStyle w:val="BodyText"/>
        <w:spacing w:before="5"/>
        <w:rPr>
          <w:sz w:val="21"/>
        </w:rPr>
      </w:pPr>
    </w:p>
    <w:p w14:paraId="7326CF4A" w14:textId="77777777" w:rsidR="00EF3DFB" w:rsidRDefault="00D27C17">
      <w:pPr>
        <w:pStyle w:val="Heading2"/>
        <w:jc w:val="left"/>
      </w:pPr>
      <w:r>
        <w:t>Financial Instruments</w:t>
      </w:r>
    </w:p>
    <w:p w14:paraId="7326CF4B" w14:textId="77777777" w:rsidR="00EF3DFB" w:rsidRDefault="00EF3DFB">
      <w:pPr>
        <w:pStyle w:val="BodyText"/>
        <w:rPr>
          <w:b/>
          <w:sz w:val="22"/>
        </w:rPr>
      </w:pPr>
    </w:p>
    <w:p w14:paraId="7326CF4C" w14:textId="77777777" w:rsidR="00EF3DFB" w:rsidRDefault="00D27C17">
      <w:pPr>
        <w:pStyle w:val="BodyText"/>
        <w:spacing w:line="249" w:lineRule="auto"/>
        <w:ind w:left="190" w:right="168"/>
        <w:jc w:val="both"/>
      </w:pPr>
      <w:r>
        <w:t>The Company’s financial instruments include cash and cash equivalents, accounts receivable, accounts payable, derivative instruments, notes payable and short and long-term debt. The carrying values for current financial assets and liabilities, including ca</w:t>
      </w:r>
      <w:r>
        <w:t>sh and cash equivalents, accounts receivable, accounts payable and short-term debt approximate fair value due to the short maturity of such instruments. The fair values of the Company’s debt and derivative instruments are disclosed in Footnote 9 and Footno</w:t>
      </w:r>
      <w:r>
        <w:t>te 10, respectively.</w:t>
      </w:r>
    </w:p>
    <w:p w14:paraId="7326CF4D" w14:textId="77777777" w:rsidR="00EF3DFB" w:rsidRDefault="00EF3DFB">
      <w:pPr>
        <w:pStyle w:val="BodyText"/>
        <w:spacing w:before="11"/>
      </w:pPr>
    </w:p>
    <w:p w14:paraId="7326CF4E" w14:textId="77777777" w:rsidR="00EF3DFB" w:rsidRDefault="00D27C17">
      <w:pPr>
        <w:pStyle w:val="Heading2"/>
        <w:jc w:val="left"/>
      </w:pPr>
      <w:r>
        <w:t>Nonrecurring Fair Value Measurements</w:t>
      </w:r>
    </w:p>
    <w:p w14:paraId="7326CF4F" w14:textId="77777777" w:rsidR="00EF3DFB" w:rsidRDefault="00EF3DFB">
      <w:pPr>
        <w:pStyle w:val="BodyText"/>
        <w:rPr>
          <w:b/>
          <w:sz w:val="22"/>
        </w:rPr>
      </w:pPr>
    </w:p>
    <w:p w14:paraId="7326CF50" w14:textId="77777777" w:rsidR="00EF3DFB" w:rsidRDefault="00D27C17">
      <w:pPr>
        <w:pStyle w:val="BodyText"/>
        <w:spacing w:line="249" w:lineRule="auto"/>
        <w:ind w:left="190" w:right="172"/>
        <w:jc w:val="both"/>
      </w:pPr>
      <w:r>
        <w:t>The Company’s non-financial assets which are measured at fair value on a nonrecurring basis include property, plant and equipment, goodwill, intangible assets and certain other</w:t>
      </w:r>
      <w:r>
        <w:rPr>
          <w:spacing w:val="-4"/>
        </w:rPr>
        <w:t xml:space="preserve"> </w:t>
      </w:r>
      <w:r>
        <w:t>assets.</w:t>
      </w:r>
    </w:p>
    <w:p w14:paraId="7326CF51" w14:textId="77777777" w:rsidR="00EF3DFB" w:rsidRDefault="00EF3DFB">
      <w:pPr>
        <w:pStyle w:val="BodyText"/>
        <w:rPr>
          <w:sz w:val="21"/>
        </w:rPr>
      </w:pPr>
    </w:p>
    <w:p w14:paraId="7326CF52" w14:textId="77777777" w:rsidR="00EF3DFB" w:rsidRDefault="00D27C17">
      <w:pPr>
        <w:pStyle w:val="BodyText"/>
        <w:spacing w:line="249" w:lineRule="auto"/>
        <w:ind w:left="190" w:right="169"/>
        <w:jc w:val="both"/>
      </w:pPr>
      <w:r>
        <w:t>The Company’s goodwill and indefinite-lived intangibles are fair valued using discounted cash flows and market multiple methods. Goodwill impairment testing requires significant use of judgment and assumptions including the identification of reporting unit</w:t>
      </w:r>
      <w:r>
        <w:t>s; the assignment of assets and liabilities to reporting units; and the estimation of future cash flows, business growth rates, terminal values and discount rates. The testing of indefinite-lived intangibles under established guidelines for impairment also</w:t>
      </w:r>
      <w:r>
        <w:t xml:space="preserve"> requires significant use of judgment and assumptions, such as the estimation of cash flow projections, terminal values, royalty rates, contributory cross charges, where applicable, and discount rates.</w:t>
      </w:r>
    </w:p>
    <w:p w14:paraId="7326CF53" w14:textId="77777777" w:rsidR="00EF3DFB" w:rsidRDefault="00EF3DFB">
      <w:pPr>
        <w:pStyle w:val="BodyText"/>
        <w:spacing w:before="4"/>
        <w:rPr>
          <w:sz w:val="21"/>
        </w:rPr>
      </w:pPr>
    </w:p>
    <w:p w14:paraId="7326CF54" w14:textId="77777777" w:rsidR="00EF3DFB" w:rsidRDefault="00D27C17">
      <w:pPr>
        <w:pStyle w:val="BodyText"/>
        <w:ind w:left="190"/>
        <w:jc w:val="both"/>
      </w:pPr>
      <w:r>
        <w:t>The following table summarizes the assets that are me</w:t>
      </w:r>
      <w:r>
        <w:t>asured at fair value on a nonrecurring basis at December 1, (in millions):</w:t>
      </w:r>
    </w:p>
    <w:p w14:paraId="7326CF55" w14:textId="77777777" w:rsidR="00EF3DFB" w:rsidRDefault="00EF3DFB">
      <w:pPr>
        <w:pStyle w:val="BodyText"/>
        <w:spacing w:before="8"/>
        <w:rPr>
          <w:sz w:val="19"/>
        </w:rPr>
      </w:pPr>
    </w:p>
    <w:p w14:paraId="7326CF56" w14:textId="77777777" w:rsidR="00EF3DFB" w:rsidRDefault="00D27C17">
      <w:pPr>
        <w:pStyle w:val="Heading2"/>
        <w:tabs>
          <w:tab w:val="left" w:pos="2069"/>
        </w:tabs>
        <w:spacing w:before="92" w:after="19"/>
        <w:ind w:left="0" w:right="965"/>
        <w:jc w:val="right"/>
      </w:pPr>
      <w:r>
        <w:t>2020</w:t>
      </w:r>
      <w:r>
        <w:tab/>
        <w:t>2019</w:t>
      </w:r>
    </w:p>
    <w:p w14:paraId="7326CF57" w14:textId="5CAF9970" w:rsidR="00EF3DFB" w:rsidRDefault="00D27C17">
      <w:pPr>
        <w:spacing w:line="20" w:lineRule="exact"/>
        <w:ind w:left="6735"/>
        <w:rPr>
          <w:sz w:val="2"/>
        </w:rPr>
      </w:pPr>
      <w:r>
        <w:rPr>
          <w:noProof/>
          <w:sz w:val="2"/>
        </w:rPr>
        <mc:AlternateContent>
          <mc:Choice Requires="wpg">
            <w:drawing>
              <wp:inline distT="0" distB="0" distL="0" distR="0" wp14:anchorId="7326D782" wp14:editId="794EBCD8">
                <wp:extent cx="1266825" cy="12700"/>
                <wp:effectExtent l="12700" t="3810" r="15875" b="2540"/>
                <wp:docPr id="167"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700"/>
                          <a:chOff x="0" y="0"/>
                          <a:chExt cx="1995" cy="20"/>
                        </a:xfrm>
                      </wpg:grpSpPr>
                      <wps:wsp>
                        <wps:cNvPr id="168" name="Line 152"/>
                        <wps:cNvCnPr>
                          <a:cxnSpLocks noChangeShapeType="1"/>
                        </wps:cNvCnPr>
                        <wps:spPr bwMode="auto">
                          <a:xfrm>
                            <a:off x="0" y="10"/>
                            <a:ext cx="19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51"/>
                        <wps:cNvCnPr>
                          <a:cxnSpLocks noChangeShapeType="1"/>
                        </wps:cNvCnPr>
                        <wps:spPr bwMode="auto">
                          <a:xfrm>
                            <a:off x="0" y="10"/>
                            <a:ext cx="19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0650E6" id="Group 150" o:spid="_x0000_s1026" style="width:99.75pt;height:1pt;mso-position-horizontal-relative:char;mso-position-vertical-relative:line" coordsize="19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">
                <v:line id="Line 152" o:spid="_x0000_s1027" style="position:absolute;visibility:visible;mso-wrap-style:square" from="0,10" to="19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line id="Line 151" o:spid="_x0000_s1028" style="position:absolute;visibility:visible;mso-wrap-style:square" from="0,10" to="19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84" wp14:editId="2C06F9A7">
                <wp:extent cx="1266825" cy="12700"/>
                <wp:effectExtent l="12700" t="3810" r="6350" b="2540"/>
                <wp:docPr id="16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700"/>
                          <a:chOff x="0" y="0"/>
                          <a:chExt cx="1995" cy="20"/>
                        </a:xfrm>
                      </wpg:grpSpPr>
                      <wps:wsp>
                        <wps:cNvPr id="165" name="Line 149"/>
                        <wps:cNvCnPr>
                          <a:cxnSpLocks noChangeShapeType="1"/>
                        </wps:cNvCnPr>
                        <wps:spPr bwMode="auto">
                          <a:xfrm>
                            <a:off x="0" y="10"/>
                            <a:ext cx="19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48"/>
                        <wps:cNvCnPr>
                          <a:cxnSpLocks noChangeShapeType="1"/>
                        </wps:cNvCnPr>
                        <wps:spPr bwMode="auto">
                          <a:xfrm>
                            <a:off x="0" y="10"/>
                            <a:ext cx="19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221FC9" id="Group 147" o:spid="_x0000_s1026" style="width:99.75pt;height:1pt;mso-position-horizontal-relative:char;mso-position-vertical-relative:line" coordsize="19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">
                <v:line id="Line 149" o:spid="_x0000_s1027" style="position:absolute;visibility:visible;mso-wrap-style:square" from="0,10" to="19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148" o:spid="_x0000_s1028" style="position:absolute;visibility:visible;mso-wrap-style:square" from="0,10" to="19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w10:anchorlock/>
              </v:group>
            </w:pict>
          </mc:Fallback>
        </mc:AlternateContent>
      </w:r>
    </w:p>
    <w:p w14:paraId="7326CF58" w14:textId="1662B3BC" w:rsidR="00EF3DFB" w:rsidRDefault="00D27C17">
      <w:pPr>
        <w:pStyle w:val="Heading2"/>
        <w:spacing w:before="30"/>
        <w:ind w:left="0" w:right="1873"/>
        <w:jc w:val="right"/>
      </w:pPr>
      <w:r>
        <w:rPr>
          <w:noProof/>
        </w:rPr>
        <mc:AlternateContent>
          <mc:Choice Requires="wps">
            <w:drawing>
              <wp:anchor distT="0" distB="0" distL="0" distR="0" simplePos="0" relativeHeight="4384" behindDoc="0" locked="0" layoutInCell="1" allowOverlap="1" wp14:anchorId="7326D786" wp14:editId="2448C2B7">
                <wp:simplePos x="0" y="0"/>
                <wp:positionH relativeFrom="page">
                  <wp:posOffset>514350</wp:posOffset>
                </wp:positionH>
                <wp:positionV relativeFrom="paragraph">
                  <wp:posOffset>190500</wp:posOffset>
                </wp:positionV>
                <wp:extent cx="6743700" cy="184150"/>
                <wp:effectExtent l="0" t="0" r="0" b="0"/>
                <wp:wrapTopAndBottom/>
                <wp:docPr id="16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415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D93C" w14:textId="77777777" w:rsidR="00EF3DFB" w:rsidRDefault="00D27C17">
                            <w:pPr>
                              <w:pStyle w:val="BodyText"/>
                              <w:tabs>
                                <w:tab w:val="left" w:pos="8168"/>
                                <w:tab w:val="left" w:pos="10088"/>
                              </w:tabs>
                              <w:spacing w:before="30"/>
                              <w:ind w:left="52"/>
                            </w:pPr>
                            <w:r>
                              <w:t>Indefinite-lived</w:t>
                            </w:r>
                            <w:r>
                              <w:rPr>
                                <w:spacing w:val="-5"/>
                              </w:rPr>
                              <w:t xml:space="preserve"> </w:t>
                            </w:r>
                            <w:r>
                              <w:t>intangibles</w:t>
                            </w:r>
                            <w:r>
                              <w:tab/>
                              <w:t>135</w:t>
                            </w:r>
                            <w:r>
                              <w:tab/>
                              <w:t>1,</w:t>
                            </w:r>
                            <w:r>
                              <w:t>365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D786" id="Text Box 146" o:spid="_x0000_s1040" type="#_x0000_t202" style="position:absolute;left:0;text-align:left;margin-left:40.5pt;margin-top:15pt;width:531pt;height:14.5pt;z-index: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" fillcolor="#ccedff" stroked="f">
                <v:textbox inset="0,0,0,0">
                  <w:txbxContent>
                    <w:p w14:paraId="7326D93C" w14:textId="77777777" w:rsidR="00EF3DFB" w:rsidRDefault="00D27C17">
                      <w:pPr>
                        <w:pStyle w:val="BodyText"/>
                        <w:tabs>
                          <w:tab w:val="left" w:pos="8168"/>
                          <w:tab w:val="left" w:pos="10088"/>
                        </w:tabs>
                        <w:spacing w:before="30"/>
                        <w:ind w:left="52"/>
                      </w:pPr>
                      <w:r>
                        <w:t>Indefinite-lived</w:t>
                      </w:r>
                      <w:r>
                        <w:rPr>
                          <w:spacing w:val="-5"/>
                        </w:rPr>
                        <w:t xml:space="preserve"> </w:t>
                      </w:r>
                      <w:r>
                        <w:t>intangibles</w:t>
                      </w:r>
                      <w:r>
                        <w:tab/>
                        <w:t>135</w:t>
                      </w:r>
                      <w:r>
                        <w:tab/>
                        <w:t>1,</w:t>
                      </w:r>
                      <w:r>
                        <w:t>365</w:t>
                      </w:r>
                    </w:p>
                  </w:txbxContent>
                </v:textbox>
                <w10:wrap type="topAndBottom" anchorx="page"/>
              </v:shape>
            </w:pict>
          </mc:Fallback>
        </mc:AlternateContent>
      </w:r>
      <w:r>
        <w:rPr>
          <w:noProof/>
        </w:rPr>
        <mc:AlternateContent>
          <mc:Choice Requires="wpg">
            <w:drawing>
              <wp:anchor distT="0" distB="0" distL="114300" distR="114300" simplePos="0" relativeHeight="4408" behindDoc="0" locked="0" layoutInCell="1" allowOverlap="1" wp14:anchorId="7326D787" wp14:editId="59DA8458">
                <wp:simplePos x="0" y="0"/>
                <wp:positionH relativeFrom="page">
                  <wp:posOffset>4676775</wp:posOffset>
                </wp:positionH>
                <wp:positionV relativeFrom="paragraph">
                  <wp:posOffset>177800</wp:posOffset>
                </wp:positionV>
                <wp:extent cx="2581275" cy="12700"/>
                <wp:effectExtent l="9525" t="3175" r="9525" b="3175"/>
                <wp:wrapNone/>
                <wp:docPr id="16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12700"/>
                          <a:chOff x="7365" y="280"/>
                          <a:chExt cx="4065" cy="20"/>
                        </a:xfrm>
                      </wpg:grpSpPr>
                      <wps:wsp>
                        <wps:cNvPr id="161" name="Line 145"/>
                        <wps:cNvCnPr>
                          <a:cxnSpLocks noChangeShapeType="1"/>
                        </wps:cNvCnPr>
                        <wps:spPr bwMode="auto">
                          <a:xfrm>
                            <a:off x="7365" y="290"/>
                            <a:ext cx="4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44"/>
                        <wps:cNvCnPr>
                          <a:cxnSpLocks noChangeShapeType="1"/>
                        </wps:cNvCnPr>
                        <wps:spPr bwMode="auto">
                          <a:xfrm>
                            <a:off x="7365" y="290"/>
                            <a:ext cx="40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A82EE" id="Group 143" o:spid="_x0000_s1026" style="position:absolute;margin-left:368.25pt;margin-top:14pt;width:203.25pt;height:1pt;z-index:4408;mso-position-horizontal-relative:page" coordorigin="7365,280" coordsize="40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">
                <v:line id="Line 145" o:spid="_x0000_s1027" style="position:absolute;visibility:visible;mso-wrap-style:square" from="7365,290" to="1143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line id="Line 144" o:spid="_x0000_s1028" style="position:absolute;visibility:visible;mso-wrap-style:square" from="7365,290" to="1143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w10:wrap anchorx="page"/>
              </v:group>
            </w:pict>
          </mc:Fallback>
        </mc:AlternateContent>
      </w:r>
      <w:r>
        <w:t>Level 3</w:t>
      </w:r>
    </w:p>
    <w:p w14:paraId="7326CF59" w14:textId="77777777" w:rsidR="00EF3DFB" w:rsidRDefault="00EF3DFB">
      <w:pPr>
        <w:pStyle w:val="BodyText"/>
        <w:spacing w:before="1"/>
        <w:rPr>
          <w:b/>
          <w:sz w:val="16"/>
        </w:rPr>
      </w:pPr>
    </w:p>
    <w:p w14:paraId="7326CF5A" w14:textId="77777777" w:rsidR="00EF3DFB" w:rsidRDefault="00D27C17">
      <w:pPr>
        <w:pStyle w:val="BodyText"/>
        <w:spacing w:before="92" w:line="249" w:lineRule="auto"/>
        <w:ind w:left="190" w:right="168"/>
        <w:jc w:val="both"/>
      </w:pPr>
      <w:r>
        <w:t>At December 31, 2020 and 2019, goodwill of certain reporting units and certain intangible assets are recorded at fair value based upon the Company’s impairment testing. The most significant unobservable inputs (Level 3) used to estimate the</w:t>
      </w:r>
      <w:r>
        <w:t xml:space="preserve"> fair values of the Company's reporting unit goodwill and indefinite-lived intangible assets are discount rates, which range from 6.5% to 7.5% for reporting unit goodwill and 7.5% to 10.5% for indefinite-lived intangible assets.</w:t>
      </w:r>
    </w:p>
    <w:p w14:paraId="7326CF5B" w14:textId="77777777" w:rsidR="00EF3DFB" w:rsidRDefault="00EF3DFB">
      <w:pPr>
        <w:pStyle w:val="BodyText"/>
        <w:spacing w:before="1"/>
        <w:rPr>
          <w:sz w:val="21"/>
        </w:rPr>
      </w:pPr>
    </w:p>
    <w:p w14:paraId="7326CF5C" w14:textId="77777777" w:rsidR="00EF3DFB" w:rsidRDefault="00D27C17">
      <w:pPr>
        <w:pStyle w:val="BodyText"/>
        <w:spacing w:line="249" w:lineRule="auto"/>
        <w:ind w:left="190" w:right="169"/>
        <w:jc w:val="both"/>
      </w:pPr>
      <w:r>
        <w:t>In the first quarter 2020,</w:t>
      </w:r>
      <w:r>
        <w:t xml:space="preserve"> as a result of uncertainty related to the COVID-19 pandemic, certain indefinite-lived intangible assets within Appliances and Cookware, Home Solutions, Outdoor and Recreation, and Learning and Development segments were written down to its fair value of $7</w:t>
      </w:r>
      <w:r>
        <w:t>96 million as of March 31, 2020. In the fourth quarter 2020, a trade name within the Learning and Development segment was measured at its fair value of $135 million.</w:t>
      </w:r>
    </w:p>
    <w:p w14:paraId="7326CF5D" w14:textId="77777777" w:rsidR="00EF3DFB" w:rsidRDefault="00EF3DFB">
      <w:pPr>
        <w:pStyle w:val="BodyText"/>
        <w:spacing w:before="2"/>
        <w:rPr>
          <w:sz w:val="21"/>
        </w:rPr>
      </w:pPr>
    </w:p>
    <w:p w14:paraId="7326CF5E" w14:textId="77777777" w:rsidR="00EF3DFB" w:rsidRDefault="00D27C17">
      <w:pPr>
        <w:pStyle w:val="BodyText"/>
        <w:spacing w:line="249" w:lineRule="auto"/>
        <w:ind w:left="190" w:right="169"/>
        <w:jc w:val="both"/>
      </w:pPr>
      <w:r>
        <w:t>The Company reviews property, plant and equipment for impairment whenever events or circumstances indicate that carrying amounts may not be recoverable through future undiscounted cash flows. If the Company concludes that impairment exists, the carrying am</w:t>
      </w:r>
      <w:r>
        <w:t>ount is reduced to fair value.</w:t>
      </w:r>
    </w:p>
    <w:p w14:paraId="7326CF5F" w14:textId="77777777" w:rsidR="00EF3DFB" w:rsidRDefault="00EF3DFB">
      <w:pPr>
        <w:pStyle w:val="BodyText"/>
        <w:spacing w:before="9"/>
      </w:pPr>
    </w:p>
    <w:p w14:paraId="7326CF60" w14:textId="77777777" w:rsidR="00EF3DFB" w:rsidRDefault="00D27C17">
      <w:pPr>
        <w:pStyle w:val="Heading2"/>
      </w:pPr>
      <w:bookmarkStart w:id="65" w:name="Footnote_17_—_Segment_Information"/>
      <w:bookmarkEnd w:id="65"/>
      <w:r>
        <w:t>Footnote 17 — Segment Information</w:t>
      </w:r>
    </w:p>
    <w:p w14:paraId="7326CF61" w14:textId="77777777" w:rsidR="00EF3DFB" w:rsidRDefault="00EF3DFB">
      <w:pPr>
        <w:pStyle w:val="BodyText"/>
        <w:spacing w:before="1"/>
        <w:rPr>
          <w:b/>
          <w:sz w:val="22"/>
        </w:rPr>
      </w:pPr>
    </w:p>
    <w:p w14:paraId="7326CF62" w14:textId="77777777" w:rsidR="00EF3DFB" w:rsidRDefault="00D27C17">
      <w:pPr>
        <w:pStyle w:val="BodyText"/>
        <w:spacing w:line="249" w:lineRule="auto"/>
        <w:ind w:left="190" w:right="168"/>
        <w:jc w:val="both"/>
      </w:pPr>
      <w:r>
        <w:t>During the first quarter of 2020, the Company appointed separate Chief Executive Officers for its Food and Commercial business units, each reporting directly to the Company's chief operatin</w:t>
      </w:r>
      <w:r>
        <w:t>g decision maker (CODM). The Company determined these appointments required a reassessment of its operating and reportable segments. As a result of its assessment, the Company concluded that the Food and Commercial business units were two separate operatin</w:t>
      </w:r>
      <w:r>
        <w:t>g segments but met the requirements to be aggregated into a single reportable segment, pursuant to authoritative accounting literature, as they had similar economic and qualitative characteristics.</w:t>
      </w:r>
    </w:p>
    <w:p w14:paraId="7326CF63" w14:textId="77777777" w:rsidR="00EF3DFB" w:rsidRDefault="00EF3DFB">
      <w:pPr>
        <w:pStyle w:val="BodyText"/>
        <w:spacing w:before="3"/>
        <w:rPr>
          <w:sz w:val="21"/>
        </w:rPr>
      </w:pPr>
    </w:p>
    <w:p w14:paraId="7326CF64" w14:textId="77777777" w:rsidR="00EF3DFB" w:rsidRDefault="00D27C17">
      <w:pPr>
        <w:pStyle w:val="BodyText"/>
        <w:spacing w:line="249" w:lineRule="auto"/>
        <w:ind w:left="190" w:right="333"/>
      </w:pPr>
      <w:r>
        <w:t>During the second quarter of 2020, the Company implemented further changes to its management reporting structure, which included:</w:t>
      </w:r>
    </w:p>
    <w:p w14:paraId="7326CF65" w14:textId="77777777" w:rsidR="00EF3DFB" w:rsidRDefault="00EF3DFB">
      <w:pPr>
        <w:spacing w:line="249" w:lineRule="auto"/>
        <w:sectPr w:rsidR="00EF3DFB">
          <w:pgSz w:w="12240" w:h="15840"/>
          <w:pgMar w:top="600" w:right="640" w:bottom="480" w:left="620" w:header="0" w:footer="291" w:gutter="0"/>
          <w:cols w:space="720"/>
        </w:sectPr>
      </w:pPr>
    </w:p>
    <w:p w14:paraId="7326CF66" w14:textId="7C68BBFB" w:rsidR="00EF3DFB" w:rsidRDefault="00D27C17">
      <w:pPr>
        <w:pStyle w:val="ListParagraph"/>
        <w:numPr>
          <w:ilvl w:val="1"/>
          <w:numId w:val="18"/>
        </w:numPr>
        <w:tabs>
          <w:tab w:val="left" w:pos="909"/>
          <w:tab w:val="left" w:pos="910"/>
        </w:tabs>
        <w:spacing w:before="72"/>
        <w:rPr>
          <w:sz w:val="20"/>
        </w:rPr>
      </w:pPr>
      <w:r>
        <w:rPr>
          <w:noProof/>
        </w:rPr>
        <w:lastRenderedPageBreak/>
        <mc:AlternateContent>
          <mc:Choice Requires="wps">
            <w:drawing>
              <wp:anchor distT="0" distB="0" distL="114300" distR="114300" simplePos="0" relativeHeight="4432" behindDoc="0" locked="0" layoutInCell="1" allowOverlap="1" wp14:anchorId="7326D788" wp14:editId="44BF5D3D">
                <wp:simplePos x="0" y="0"/>
                <wp:positionH relativeFrom="page">
                  <wp:posOffset>4876800</wp:posOffset>
                </wp:positionH>
                <wp:positionV relativeFrom="page">
                  <wp:posOffset>7915910</wp:posOffset>
                </wp:positionV>
                <wp:extent cx="762000" cy="0"/>
                <wp:effectExtent l="9525" t="10160" r="9525" b="8890"/>
                <wp:wrapNone/>
                <wp:docPr id="15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A163" id="Line 142" o:spid="_x0000_s1026" style="position:absolute;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623.3pt" to="444pt,6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" strokeweight="1pt">
                <w10:wrap anchorx="page" anchory="page"/>
              </v:line>
            </w:pict>
          </mc:Fallback>
        </mc:AlternateContent>
      </w:r>
      <w:r>
        <w:rPr>
          <w:noProof/>
        </w:rPr>
        <mc:AlternateContent>
          <mc:Choice Requires="wps">
            <w:drawing>
              <wp:anchor distT="0" distB="0" distL="114300" distR="114300" simplePos="0" relativeHeight="4456" behindDoc="0" locked="0" layoutInCell="1" allowOverlap="1" wp14:anchorId="7326D789" wp14:editId="4145B917">
                <wp:simplePos x="0" y="0"/>
                <wp:positionH relativeFrom="page">
                  <wp:posOffset>5686425</wp:posOffset>
                </wp:positionH>
                <wp:positionV relativeFrom="page">
                  <wp:posOffset>7915910</wp:posOffset>
                </wp:positionV>
                <wp:extent cx="762000" cy="0"/>
                <wp:effectExtent l="9525" t="10160" r="9525" b="8890"/>
                <wp:wrapNone/>
                <wp:docPr id="15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6A40" id="Line 141" o:spid="_x0000_s1026" style="position:absolute;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75pt,623.3pt" to="507.75pt,6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" strokeweight="1pt">
                <w10:wrap anchorx="page" anchory="page"/>
              </v:line>
            </w:pict>
          </mc:Fallback>
        </mc:AlternateContent>
      </w:r>
      <w:r>
        <w:rPr>
          <w:noProof/>
        </w:rPr>
        <mc:AlternateContent>
          <mc:Choice Requires="wps">
            <w:drawing>
              <wp:anchor distT="0" distB="0" distL="114300" distR="114300" simplePos="0" relativeHeight="4480" behindDoc="0" locked="0" layoutInCell="1" allowOverlap="1" wp14:anchorId="7326D78A" wp14:editId="5752D55F">
                <wp:simplePos x="0" y="0"/>
                <wp:positionH relativeFrom="page">
                  <wp:posOffset>6496050</wp:posOffset>
                </wp:positionH>
                <wp:positionV relativeFrom="page">
                  <wp:posOffset>7915910</wp:posOffset>
                </wp:positionV>
                <wp:extent cx="762000" cy="0"/>
                <wp:effectExtent l="9525" t="10160" r="9525" b="8890"/>
                <wp:wrapNone/>
                <wp:docPr id="15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DF47" id="Line 140" o:spid="_x0000_s1026" style="position:absolute;z-index: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623.3pt" to="571.5pt,6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" strokeweight="1pt">
                <w10:wrap anchorx="page" anchory="page"/>
              </v:line>
            </w:pict>
          </mc:Fallback>
        </mc:AlternateContent>
      </w:r>
      <w:r>
        <w:rPr>
          <w:sz w:val="20"/>
        </w:rPr>
        <w:t>The appointment of Chief Executive Officers for the Appliances and Cookware and Outdoor and Recreation</w:t>
      </w:r>
      <w:r>
        <w:rPr>
          <w:spacing w:val="-30"/>
          <w:sz w:val="20"/>
        </w:rPr>
        <w:t xml:space="preserve"> </w:t>
      </w:r>
      <w:r>
        <w:rPr>
          <w:sz w:val="20"/>
        </w:rPr>
        <w:t>busine</w:t>
      </w:r>
      <w:r>
        <w:rPr>
          <w:sz w:val="20"/>
        </w:rPr>
        <w:t>ss</w:t>
      </w:r>
    </w:p>
    <w:p w14:paraId="7326CF67" w14:textId="77777777" w:rsidR="00EF3DFB" w:rsidRDefault="00D27C17">
      <w:pPr>
        <w:pStyle w:val="ListParagraph"/>
        <w:numPr>
          <w:ilvl w:val="1"/>
          <w:numId w:val="18"/>
        </w:numPr>
        <w:tabs>
          <w:tab w:val="left" w:pos="909"/>
          <w:tab w:val="left" w:pos="910"/>
        </w:tabs>
        <w:spacing w:before="10"/>
        <w:rPr>
          <w:sz w:val="20"/>
        </w:rPr>
      </w:pPr>
      <w:r>
        <w:rPr>
          <w:sz w:val="20"/>
        </w:rPr>
        <w:t>units;</w:t>
      </w:r>
    </w:p>
    <w:p w14:paraId="7326CF68" w14:textId="77777777" w:rsidR="00EF3DFB" w:rsidRDefault="00D27C17">
      <w:pPr>
        <w:pStyle w:val="ListParagraph"/>
        <w:numPr>
          <w:ilvl w:val="1"/>
          <w:numId w:val="18"/>
        </w:numPr>
        <w:tabs>
          <w:tab w:val="left" w:pos="909"/>
          <w:tab w:val="left" w:pos="910"/>
        </w:tabs>
        <w:spacing w:before="10" w:line="249" w:lineRule="auto"/>
        <w:ind w:right="168"/>
        <w:rPr>
          <w:sz w:val="20"/>
        </w:rPr>
      </w:pPr>
      <w:r>
        <w:rPr>
          <w:sz w:val="20"/>
        </w:rPr>
        <w:t>Expanding the responsibilities of the Food business unit Chief Executive Officer to include oversight of the Home Fragrance business unit;</w:t>
      </w:r>
      <w:r>
        <w:rPr>
          <w:spacing w:val="-4"/>
          <w:sz w:val="20"/>
        </w:rPr>
        <w:t xml:space="preserve"> </w:t>
      </w:r>
      <w:r>
        <w:rPr>
          <w:sz w:val="20"/>
        </w:rPr>
        <w:t>and</w:t>
      </w:r>
    </w:p>
    <w:p w14:paraId="7326CF69" w14:textId="77777777" w:rsidR="00EF3DFB" w:rsidRDefault="00D27C17">
      <w:pPr>
        <w:pStyle w:val="ListParagraph"/>
        <w:numPr>
          <w:ilvl w:val="1"/>
          <w:numId w:val="18"/>
        </w:numPr>
        <w:tabs>
          <w:tab w:val="left" w:pos="909"/>
          <w:tab w:val="left" w:pos="910"/>
        </w:tabs>
        <w:spacing w:before="1" w:line="249" w:lineRule="auto"/>
        <w:ind w:right="169"/>
        <w:rPr>
          <w:sz w:val="20"/>
        </w:rPr>
      </w:pPr>
      <w:r>
        <w:rPr>
          <w:sz w:val="20"/>
        </w:rPr>
        <w:t>Expanding the responsibilities of the Commercial business unit Chief Executive Officer to include overs</w:t>
      </w:r>
      <w:r>
        <w:rPr>
          <w:sz w:val="20"/>
        </w:rPr>
        <w:t>ight of the Connected Home &amp; Security business</w:t>
      </w:r>
      <w:r>
        <w:rPr>
          <w:spacing w:val="-4"/>
          <w:sz w:val="20"/>
        </w:rPr>
        <w:t xml:space="preserve"> </w:t>
      </w:r>
      <w:r>
        <w:rPr>
          <w:sz w:val="20"/>
        </w:rPr>
        <w:t>unit.</w:t>
      </w:r>
    </w:p>
    <w:p w14:paraId="7326CF6A" w14:textId="77777777" w:rsidR="00EF3DFB" w:rsidRDefault="00EF3DFB">
      <w:pPr>
        <w:pStyle w:val="BodyText"/>
        <w:rPr>
          <w:sz w:val="21"/>
        </w:rPr>
      </w:pPr>
    </w:p>
    <w:p w14:paraId="7326CF6B" w14:textId="77777777" w:rsidR="00EF3DFB" w:rsidRDefault="00D27C17">
      <w:pPr>
        <w:pStyle w:val="BodyText"/>
        <w:spacing w:line="249" w:lineRule="auto"/>
        <w:ind w:left="190"/>
      </w:pPr>
      <w:r>
        <w:t xml:space="preserve">The Company determined these appointments required a reassessment of its operating and reportable segments. As a result of its assessment, the Company concluded that it had the following </w:t>
      </w:r>
      <w:r>
        <w:rPr>
          <w:color w:val="202528"/>
        </w:rPr>
        <w:t xml:space="preserve">five </w:t>
      </w:r>
      <w:r>
        <w:t>primary reportable segments:</w:t>
      </w:r>
    </w:p>
    <w:p w14:paraId="7326CF6C" w14:textId="77777777" w:rsidR="00EF3DFB" w:rsidRDefault="00EF3DFB">
      <w:pPr>
        <w:pStyle w:val="BodyText"/>
        <w:spacing w:before="4"/>
        <w:rPr>
          <w:sz w:val="13"/>
        </w:rPr>
      </w:pPr>
    </w:p>
    <w:tbl>
      <w:tblPr>
        <w:tblW w:w="0" w:type="auto"/>
        <w:tblInd w:w="190" w:type="dxa"/>
        <w:tblLayout w:type="fixed"/>
        <w:tblCellMar>
          <w:left w:w="0" w:type="dxa"/>
          <w:right w:w="0" w:type="dxa"/>
        </w:tblCellMar>
        <w:tblLook w:val="01E0" w:firstRow="1" w:lastRow="1" w:firstColumn="1" w:lastColumn="1" w:noHBand="0" w:noVBand="0"/>
      </w:tblPr>
      <w:tblGrid>
        <w:gridCol w:w="2880"/>
        <w:gridCol w:w="3889"/>
        <w:gridCol w:w="3850"/>
      </w:tblGrid>
      <w:tr w:rsidR="00EF3DFB" w14:paraId="7326CF70" w14:textId="77777777">
        <w:trPr>
          <w:trHeight w:val="241"/>
        </w:trPr>
        <w:tc>
          <w:tcPr>
            <w:tcW w:w="2880" w:type="dxa"/>
            <w:tcBorders>
              <w:bottom w:val="single" w:sz="8" w:space="0" w:color="000000"/>
            </w:tcBorders>
          </w:tcPr>
          <w:p w14:paraId="7326CF6D" w14:textId="77777777" w:rsidR="00EF3DFB" w:rsidRDefault="00D27C17">
            <w:pPr>
              <w:pStyle w:val="TableParagraph"/>
              <w:spacing w:line="221" w:lineRule="exact"/>
              <w:ind w:left="52"/>
              <w:rPr>
                <w:b/>
                <w:sz w:val="20"/>
              </w:rPr>
            </w:pPr>
            <w:r>
              <w:rPr>
                <w:b/>
                <w:sz w:val="20"/>
              </w:rPr>
              <w:t>Segment</w:t>
            </w:r>
          </w:p>
        </w:tc>
        <w:tc>
          <w:tcPr>
            <w:tcW w:w="3889" w:type="dxa"/>
            <w:tcBorders>
              <w:bottom w:val="single" w:sz="8" w:space="0" w:color="000000"/>
            </w:tcBorders>
          </w:tcPr>
          <w:p w14:paraId="7326CF6E" w14:textId="77777777" w:rsidR="00EF3DFB" w:rsidRDefault="00D27C17">
            <w:pPr>
              <w:pStyle w:val="TableParagraph"/>
              <w:spacing w:line="221" w:lineRule="exact"/>
              <w:ind w:left="127"/>
              <w:rPr>
                <w:b/>
                <w:sz w:val="20"/>
              </w:rPr>
            </w:pPr>
            <w:r>
              <w:rPr>
                <w:b/>
                <w:sz w:val="20"/>
              </w:rPr>
              <w:t>Key Brands</w:t>
            </w:r>
          </w:p>
        </w:tc>
        <w:tc>
          <w:tcPr>
            <w:tcW w:w="3850" w:type="dxa"/>
            <w:tcBorders>
              <w:bottom w:val="single" w:sz="8" w:space="0" w:color="000000"/>
            </w:tcBorders>
          </w:tcPr>
          <w:p w14:paraId="7326CF6F" w14:textId="77777777" w:rsidR="00EF3DFB" w:rsidRDefault="00D27C17">
            <w:pPr>
              <w:pStyle w:val="TableParagraph"/>
              <w:spacing w:line="221" w:lineRule="exact"/>
              <w:ind w:left="108"/>
              <w:rPr>
                <w:b/>
                <w:sz w:val="20"/>
              </w:rPr>
            </w:pPr>
            <w:r>
              <w:rPr>
                <w:b/>
                <w:sz w:val="20"/>
              </w:rPr>
              <w:t xml:space="preserve">Description of </w:t>
            </w:r>
            <w:r>
              <w:rPr>
                <w:b/>
                <w:sz w:val="20"/>
              </w:rPr>
              <w:t>Primary Products</w:t>
            </w:r>
          </w:p>
        </w:tc>
      </w:tr>
      <w:tr w:rsidR="00EF3DFB" w14:paraId="7326CF74" w14:textId="77777777">
        <w:trPr>
          <w:trHeight w:val="213"/>
        </w:trPr>
        <w:tc>
          <w:tcPr>
            <w:tcW w:w="2880" w:type="dxa"/>
            <w:tcBorders>
              <w:top w:val="single" w:sz="8" w:space="0" w:color="000000"/>
            </w:tcBorders>
            <w:shd w:val="clear" w:color="auto" w:fill="CCEDFF"/>
          </w:tcPr>
          <w:p w14:paraId="7326CF71" w14:textId="77777777" w:rsidR="00EF3DFB" w:rsidRDefault="00D27C17">
            <w:pPr>
              <w:pStyle w:val="TableParagraph"/>
              <w:spacing w:line="194" w:lineRule="exact"/>
              <w:ind w:left="52"/>
              <w:rPr>
                <w:sz w:val="20"/>
              </w:rPr>
            </w:pPr>
            <w:r>
              <w:rPr>
                <w:sz w:val="20"/>
              </w:rPr>
              <w:t>Appliances and Cookware</w:t>
            </w:r>
          </w:p>
        </w:tc>
        <w:tc>
          <w:tcPr>
            <w:tcW w:w="3889" w:type="dxa"/>
            <w:tcBorders>
              <w:top w:val="single" w:sz="8" w:space="0" w:color="000000"/>
            </w:tcBorders>
            <w:shd w:val="clear" w:color="auto" w:fill="CCEDFF"/>
          </w:tcPr>
          <w:p w14:paraId="7326CF72" w14:textId="77777777" w:rsidR="00EF3DFB" w:rsidRDefault="00D27C17">
            <w:pPr>
              <w:pStyle w:val="TableParagraph"/>
              <w:spacing w:line="194" w:lineRule="exact"/>
              <w:ind w:left="127"/>
              <w:rPr>
                <w:sz w:val="20"/>
              </w:rPr>
            </w:pPr>
            <w:r>
              <w:rPr>
                <w:sz w:val="20"/>
              </w:rPr>
              <w:t>Calphalon®, Crock-Pot®, Mr. Coffee®,</w:t>
            </w:r>
          </w:p>
        </w:tc>
        <w:tc>
          <w:tcPr>
            <w:tcW w:w="3850" w:type="dxa"/>
            <w:tcBorders>
              <w:top w:val="single" w:sz="8" w:space="0" w:color="000000"/>
            </w:tcBorders>
            <w:shd w:val="clear" w:color="auto" w:fill="CCEDFF"/>
          </w:tcPr>
          <w:p w14:paraId="7326CF73" w14:textId="77777777" w:rsidR="00EF3DFB" w:rsidRDefault="00D27C17">
            <w:pPr>
              <w:pStyle w:val="TableParagraph"/>
              <w:spacing w:line="194" w:lineRule="exact"/>
              <w:ind w:left="108"/>
              <w:rPr>
                <w:sz w:val="20"/>
              </w:rPr>
            </w:pPr>
            <w:r>
              <w:rPr>
                <w:sz w:val="20"/>
              </w:rPr>
              <w:t>Household products, including kitchen</w:t>
            </w:r>
          </w:p>
        </w:tc>
      </w:tr>
      <w:tr w:rsidR="00EF3DFB" w14:paraId="7326CF78" w14:textId="77777777">
        <w:trPr>
          <w:trHeight w:val="200"/>
        </w:trPr>
        <w:tc>
          <w:tcPr>
            <w:tcW w:w="2880" w:type="dxa"/>
            <w:shd w:val="clear" w:color="auto" w:fill="CCEDFF"/>
          </w:tcPr>
          <w:p w14:paraId="7326CF75" w14:textId="77777777" w:rsidR="00EF3DFB" w:rsidRDefault="00EF3DFB">
            <w:pPr>
              <w:pStyle w:val="TableParagraph"/>
              <w:rPr>
                <w:sz w:val="12"/>
              </w:rPr>
            </w:pPr>
          </w:p>
        </w:tc>
        <w:tc>
          <w:tcPr>
            <w:tcW w:w="3889" w:type="dxa"/>
            <w:shd w:val="clear" w:color="auto" w:fill="CCEDFF"/>
          </w:tcPr>
          <w:p w14:paraId="7326CF76" w14:textId="77777777" w:rsidR="00EF3DFB" w:rsidRDefault="00D27C17">
            <w:pPr>
              <w:pStyle w:val="TableParagraph"/>
              <w:spacing w:line="180" w:lineRule="exact"/>
              <w:ind w:left="127"/>
              <w:rPr>
                <w:sz w:val="20"/>
              </w:rPr>
            </w:pPr>
            <w:r>
              <w:rPr>
                <w:sz w:val="20"/>
              </w:rPr>
              <w:t>Oster® and Sunbeam®</w:t>
            </w:r>
          </w:p>
        </w:tc>
        <w:tc>
          <w:tcPr>
            <w:tcW w:w="3850" w:type="dxa"/>
            <w:shd w:val="clear" w:color="auto" w:fill="CCEDFF"/>
          </w:tcPr>
          <w:p w14:paraId="7326CF77" w14:textId="77777777" w:rsidR="00EF3DFB" w:rsidRDefault="00D27C17">
            <w:pPr>
              <w:pStyle w:val="TableParagraph"/>
              <w:spacing w:line="180" w:lineRule="exact"/>
              <w:ind w:left="108"/>
              <w:rPr>
                <w:sz w:val="20"/>
              </w:rPr>
            </w:pPr>
            <w:r>
              <w:rPr>
                <w:sz w:val="20"/>
              </w:rPr>
              <w:t>appliances, gourmet cookware, bakeware and</w:t>
            </w:r>
          </w:p>
        </w:tc>
      </w:tr>
      <w:tr w:rsidR="00EF3DFB" w14:paraId="7326CF7C" w14:textId="77777777">
        <w:trPr>
          <w:trHeight w:val="251"/>
        </w:trPr>
        <w:tc>
          <w:tcPr>
            <w:tcW w:w="2880" w:type="dxa"/>
            <w:shd w:val="clear" w:color="auto" w:fill="CCEDFF"/>
          </w:tcPr>
          <w:p w14:paraId="7326CF79" w14:textId="77777777" w:rsidR="00EF3DFB" w:rsidRDefault="00EF3DFB">
            <w:pPr>
              <w:pStyle w:val="TableParagraph"/>
              <w:rPr>
                <w:sz w:val="18"/>
              </w:rPr>
            </w:pPr>
          </w:p>
        </w:tc>
        <w:tc>
          <w:tcPr>
            <w:tcW w:w="3889" w:type="dxa"/>
            <w:shd w:val="clear" w:color="auto" w:fill="CCEDFF"/>
          </w:tcPr>
          <w:p w14:paraId="7326CF7A" w14:textId="77777777" w:rsidR="00EF3DFB" w:rsidRDefault="00EF3DFB">
            <w:pPr>
              <w:pStyle w:val="TableParagraph"/>
              <w:rPr>
                <w:sz w:val="18"/>
              </w:rPr>
            </w:pPr>
          </w:p>
        </w:tc>
        <w:tc>
          <w:tcPr>
            <w:tcW w:w="3850" w:type="dxa"/>
            <w:shd w:val="clear" w:color="auto" w:fill="CCEDFF"/>
          </w:tcPr>
          <w:p w14:paraId="7326CF7B" w14:textId="77777777" w:rsidR="00EF3DFB" w:rsidRDefault="00D27C17">
            <w:pPr>
              <w:pStyle w:val="TableParagraph"/>
              <w:spacing w:line="211" w:lineRule="exact"/>
              <w:ind w:left="108"/>
              <w:rPr>
                <w:sz w:val="20"/>
              </w:rPr>
            </w:pPr>
            <w:r>
              <w:rPr>
                <w:sz w:val="20"/>
              </w:rPr>
              <w:t>cutlery</w:t>
            </w:r>
          </w:p>
        </w:tc>
      </w:tr>
      <w:tr w:rsidR="00EF3DFB" w14:paraId="7326CF80" w14:textId="77777777">
        <w:trPr>
          <w:trHeight w:val="223"/>
        </w:trPr>
        <w:tc>
          <w:tcPr>
            <w:tcW w:w="2880" w:type="dxa"/>
          </w:tcPr>
          <w:p w14:paraId="7326CF7D" w14:textId="77777777" w:rsidR="00EF3DFB" w:rsidRDefault="00D27C17">
            <w:pPr>
              <w:pStyle w:val="TableParagraph"/>
              <w:spacing w:before="4" w:line="199" w:lineRule="exact"/>
              <w:ind w:left="52"/>
              <w:rPr>
                <w:sz w:val="20"/>
              </w:rPr>
            </w:pPr>
            <w:r>
              <w:rPr>
                <w:sz w:val="20"/>
              </w:rPr>
              <w:t>Commercial Solutions</w:t>
            </w:r>
          </w:p>
        </w:tc>
        <w:tc>
          <w:tcPr>
            <w:tcW w:w="3889" w:type="dxa"/>
          </w:tcPr>
          <w:p w14:paraId="7326CF7E" w14:textId="77777777" w:rsidR="00EF3DFB" w:rsidRDefault="00D27C17">
            <w:pPr>
              <w:pStyle w:val="TableParagraph"/>
              <w:spacing w:before="4" w:line="199" w:lineRule="exact"/>
              <w:ind w:left="127"/>
              <w:rPr>
                <w:sz w:val="20"/>
              </w:rPr>
            </w:pPr>
            <w:r>
              <w:rPr>
                <w:sz w:val="20"/>
              </w:rPr>
              <w:t>BRK®, First Alert®, Mapa®, Quickie®,</w:t>
            </w:r>
          </w:p>
        </w:tc>
        <w:tc>
          <w:tcPr>
            <w:tcW w:w="3850" w:type="dxa"/>
          </w:tcPr>
          <w:p w14:paraId="7326CF7F" w14:textId="77777777" w:rsidR="00EF3DFB" w:rsidRDefault="00D27C17">
            <w:pPr>
              <w:pStyle w:val="TableParagraph"/>
              <w:spacing w:before="4" w:line="199" w:lineRule="exact"/>
              <w:ind w:left="108"/>
              <w:rPr>
                <w:sz w:val="20"/>
              </w:rPr>
            </w:pPr>
            <w:r>
              <w:rPr>
                <w:sz w:val="20"/>
              </w:rPr>
              <w:t>Commercial cleaning and maintenance</w:t>
            </w:r>
          </w:p>
        </w:tc>
      </w:tr>
      <w:tr w:rsidR="00EF3DFB" w14:paraId="7326CF84" w14:textId="77777777">
        <w:trPr>
          <w:trHeight w:val="200"/>
        </w:trPr>
        <w:tc>
          <w:tcPr>
            <w:tcW w:w="2880" w:type="dxa"/>
          </w:tcPr>
          <w:p w14:paraId="7326CF81" w14:textId="77777777" w:rsidR="00EF3DFB" w:rsidRDefault="00EF3DFB">
            <w:pPr>
              <w:pStyle w:val="TableParagraph"/>
              <w:rPr>
                <w:sz w:val="12"/>
              </w:rPr>
            </w:pPr>
          </w:p>
        </w:tc>
        <w:tc>
          <w:tcPr>
            <w:tcW w:w="3889" w:type="dxa"/>
          </w:tcPr>
          <w:p w14:paraId="7326CF82" w14:textId="77777777" w:rsidR="00EF3DFB" w:rsidRDefault="00D27C17">
            <w:pPr>
              <w:pStyle w:val="TableParagraph"/>
              <w:spacing w:line="180" w:lineRule="exact"/>
              <w:ind w:left="127"/>
              <w:rPr>
                <w:sz w:val="20"/>
              </w:rPr>
            </w:pPr>
            <w:r>
              <w:rPr>
                <w:sz w:val="20"/>
              </w:rPr>
              <w:t>Rubbermaid®, Rubbermaid Commercial</w:t>
            </w:r>
          </w:p>
        </w:tc>
        <w:tc>
          <w:tcPr>
            <w:tcW w:w="3850" w:type="dxa"/>
          </w:tcPr>
          <w:p w14:paraId="7326CF83" w14:textId="77777777" w:rsidR="00EF3DFB" w:rsidRDefault="00D27C17">
            <w:pPr>
              <w:pStyle w:val="TableParagraph"/>
              <w:spacing w:line="180" w:lineRule="exact"/>
              <w:ind w:left="108"/>
              <w:rPr>
                <w:sz w:val="20"/>
              </w:rPr>
            </w:pPr>
            <w:r>
              <w:rPr>
                <w:sz w:val="20"/>
              </w:rPr>
              <w:t>solutions; closet and garage organization;</w:t>
            </w:r>
          </w:p>
        </w:tc>
      </w:tr>
      <w:tr w:rsidR="00EF3DFB" w14:paraId="7326CF88" w14:textId="77777777">
        <w:trPr>
          <w:trHeight w:val="200"/>
        </w:trPr>
        <w:tc>
          <w:tcPr>
            <w:tcW w:w="2880" w:type="dxa"/>
          </w:tcPr>
          <w:p w14:paraId="7326CF85" w14:textId="77777777" w:rsidR="00EF3DFB" w:rsidRDefault="00EF3DFB">
            <w:pPr>
              <w:pStyle w:val="TableParagraph"/>
              <w:rPr>
                <w:sz w:val="12"/>
              </w:rPr>
            </w:pPr>
          </w:p>
        </w:tc>
        <w:tc>
          <w:tcPr>
            <w:tcW w:w="3889" w:type="dxa"/>
          </w:tcPr>
          <w:p w14:paraId="7326CF86" w14:textId="77777777" w:rsidR="00EF3DFB" w:rsidRDefault="00D27C17">
            <w:pPr>
              <w:pStyle w:val="TableParagraph"/>
              <w:spacing w:line="180" w:lineRule="exact"/>
              <w:ind w:left="127"/>
              <w:rPr>
                <w:sz w:val="20"/>
              </w:rPr>
            </w:pPr>
            <w:r>
              <w:rPr>
                <w:sz w:val="20"/>
              </w:rPr>
              <w:t>Products®, and Spontex®</w:t>
            </w:r>
          </w:p>
        </w:tc>
        <w:tc>
          <w:tcPr>
            <w:tcW w:w="3850" w:type="dxa"/>
          </w:tcPr>
          <w:p w14:paraId="7326CF87" w14:textId="77777777" w:rsidR="00EF3DFB" w:rsidRDefault="00D27C17">
            <w:pPr>
              <w:pStyle w:val="TableParagraph"/>
              <w:spacing w:line="180" w:lineRule="exact"/>
              <w:ind w:left="108"/>
              <w:rPr>
                <w:sz w:val="20"/>
              </w:rPr>
            </w:pPr>
            <w:r>
              <w:rPr>
                <w:sz w:val="20"/>
              </w:rPr>
              <w:t>hygiene systems and material handling</w:t>
            </w:r>
          </w:p>
        </w:tc>
      </w:tr>
      <w:tr w:rsidR="00EF3DFB" w14:paraId="7326CF8C" w14:textId="77777777">
        <w:trPr>
          <w:trHeight w:val="200"/>
        </w:trPr>
        <w:tc>
          <w:tcPr>
            <w:tcW w:w="2880" w:type="dxa"/>
          </w:tcPr>
          <w:p w14:paraId="7326CF89" w14:textId="77777777" w:rsidR="00EF3DFB" w:rsidRDefault="00EF3DFB">
            <w:pPr>
              <w:pStyle w:val="TableParagraph"/>
              <w:rPr>
                <w:sz w:val="12"/>
              </w:rPr>
            </w:pPr>
          </w:p>
        </w:tc>
        <w:tc>
          <w:tcPr>
            <w:tcW w:w="3889" w:type="dxa"/>
          </w:tcPr>
          <w:p w14:paraId="7326CF8A" w14:textId="77777777" w:rsidR="00EF3DFB" w:rsidRDefault="00EF3DFB">
            <w:pPr>
              <w:pStyle w:val="TableParagraph"/>
              <w:rPr>
                <w:sz w:val="12"/>
              </w:rPr>
            </w:pPr>
          </w:p>
        </w:tc>
        <w:tc>
          <w:tcPr>
            <w:tcW w:w="3850" w:type="dxa"/>
          </w:tcPr>
          <w:p w14:paraId="7326CF8B" w14:textId="77777777" w:rsidR="00EF3DFB" w:rsidRDefault="00D27C17">
            <w:pPr>
              <w:pStyle w:val="TableParagraph"/>
              <w:spacing w:line="180" w:lineRule="exact"/>
              <w:ind w:left="108"/>
              <w:rPr>
                <w:sz w:val="20"/>
              </w:rPr>
            </w:pPr>
            <w:r>
              <w:rPr>
                <w:sz w:val="20"/>
              </w:rPr>
              <w:t>solutions; connected home and security and</w:t>
            </w:r>
          </w:p>
        </w:tc>
      </w:tr>
      <w:tr w:rsidR="00EF3DFB" w14:paraId="7326CF90" w14:textId="77777777">
        <w:trPr>
          <w:trHeight w:val="241"/>
        </w:trPr>
        <w:tc>
          <w:tcPr>
            <w:tcW w:w="2880" w:type="dxa"/>
          </w:tcPr>
          <w:p w14:paraId="7326CF8D" w14:textId="77777777" w:rsidR="00EF3DFB" w:rsidRDefault="00EF3DFB">
            <w:pPr>
              <w:pStyle w:val="TableParagraph"/>
              <w:rPr>
                <w:sz w:val="16"/>
              </w:rPr>
            </w:pPr>
          </w:p>
        </w:tc>
        <w:tc>
          <w:tcPr>
            <w:tcW w:w="3889" w:type="dxa"/>
          </w:tcPr>
          <w:p w14:paraId="7326CF8E" w14:textId="77777777" w:rsidR="00EF3DFB" w:rsidRDefault="00EF3DFB">
            <w:pPr>
              <w:pStyle w:val="TableParagraph"/>
              <w:rPr>
                <w:sz w:val="16"/>
              </w:rPr>
            </w:pPr>
          </w:p>
        </w:tc>
        <w:tc>
          <w:tcPr>
            <w:tcW w:w="3850" w:type="dxa"/>
          </w:tcPr>
          <w:p w14:paraId="7326CF8F" w14:textId="77777777" w:rsidR="00EF3DFB" w:rsidRDefault="00D27C17">
            <w:pPr>
              <w:pStyle w:val="TableParagraph"/>
              <w:spacing w:line="211" w:lineRule="exact"/>
              <w:ind w:left="108"/>
              <w:rPr>
                <w:sz w:val="20"/>
              </w:rPr>
            </w:pPr>
            <w:r>
              <w:rPr>
                <w:sz w:val="20"/>
              </w:rPr>
              <w:t>smoke and carbon monoxide alarms</w:t>
            </w:r>
          </w:p>
        </w:tc>
      </w:tr>
      <w:tr w:rsidR="00EF3DFB" w14:paraId="7326CF94" w14:textId="77777777">
        <w:trPr>
          <w:trHeight w:val="223"/>
        </w:trPr>
        <w:tc>
          <w:tcPr>
            <w:tcW w:w="2880" w:type="dxa"/>
            <w:shd w:val="clear" w:color="auto" w:fill="CCEDFF"/>
          </w:tcPr>
          <w:p w14:paraId="7326CF91" w14:textId="77777777" w:rsidR="00EF3DFB" w:rsidRDefault="00D27C17">
            <w:pPr>
              <w:pStyle w:val="TableParagraph"/>
              <w:spacing w:before="4" w:line="199" w:lineRule="exact"/>
              <w:ind w:left="52"/>
              <w:rPr>
                <w:sz w:val="20"/>
              </w:rPr>
            </w:pPr>
            <w:r>
              <w:rPr>
                <w:sz w:val="20"/>
              </w:rPr>
              <w:t>Home Solutions</w:t>
            </w:r>
          </w:p>
        </w:tc>
        <w:tc>
          <w:tcPr>
            <w:tcW w:w="3889" w:type="dxa"/>
            <w:shd w:val="clear" w:color="auto" w:fill="CCEDFF"/>
          </w:tcPr>
          <w:p w14:paraId="7326CF92" w14:textId="77777777" w:rsidR="00EF3DFB" w:rsidRDefault="00D27C17">
            <w:pPr>
              <w:pStyle w:val="TableParagraph"/>
              <w:spacing w:before="4" w:line="199" w:lineRule="exact"/>
              <w:ind w:left="127"/>
              <w:rPr>
                <w:sz w:val="20"/>
              </w:rPr>
            </w:pPr>
            <w:r>
              <w:rPr>
                <w:sz w:val="20"/>
              </w:rPr>
              <w:t>Ball® (1), Chesapeake Bay Candle®,</w:t>
            </w:r>
          </w:p>
        </w:tc>
        <w:tc>
          <w:tcPr>
            <w:tcW w:w="3850" w:type="dxa"/>
            <w:shd w:val="clear" w:color="auto" w:fill="CCEDFF"/>
          </w:tcPr>
          <w:p w14:paraId="7326CF93" w14:textId="77777777" w:rsidR="00EF3DFB" w:rsidRDefault="00D27C17">
            <w:pPr>
              <w:pStyle w:val="TableParagraph"/>
              <w:spacing w:before="4" w:line="199" w:lineRule="exact"/>
              <w:ind w:left="108"/>
              <w:rPr>
                <w:sz w:val="20"/>
              </w:rPr>
            </w:pPr>
            <w:r>
              <w:rPr>
                <w:sz w:val="20"/>
              </w:rPr>
              <w:t>Food and home storage products; fresh</w:t>
            </w:r>
          </w:p>
        </w:tc>
      </w:tr>
      <w:tr w:rsidR="00EF3DFB" w14:paraId="7326CF98" w14:textId="77777777">
        <w:trPr>
          <w:trHeight w:val="200"/>
        </w:trPr>
        <w:tc>
          <w:tcPr>
            <w:tcW w:w="2880" w:type="dxa"/>
            <w:shd w:val="clear" w:color="auto" w:fill="CCEDFF"/>
          </w:tcPr>
          <w:p w14:paraId="7326CF95" w14:textId="77777777" w:rsidR="00EF3DFB" w:rsidRDefault="00EF3DFB">
            <w:pPr>
              <w:pStyle w:val="TableParagraph"/>
              <w:rPr>
                <w:sz w:val="12"/>
              </w:rPr>
            </w:pPr>
          </w:p>
        </w:tc>
        <w:tc>
          <w:tcPr>
            <w:tcW w:w="3889" w:type="dxa"/>
            <w:shd w:val="clear" w:color="auto" w:fill="CCEDFF"/>
          </w:tcPr>
          <w:p w14:paraId="7326CF96" w14:textId="77777777" w:rsidR="00EF3DFB" w:rsidRDefault="00D27C17">
            <w:pPr>
              <w:pStyle w:val="TableParagraph"/>
              <w:spacing w:line="180" w:lineRule="exact"/>
              <w:ind w:left="127"/>
              <w:rPr>
                <w:sz w:val="20"/>
              </w:rPr>
            </w:pPr>
            <w:r>
              <w:rPr>
                <w:sz w:val="20"/>
              </w:rPr>
              <w:t>FoodSaver®, Rubbermaid®, Sistema®,</w:t>
            </w:r>
          </w:p>
        </w:tc>
        <w:tc>
          <w:tcPr>
            <w:tcW w:w="3850" w:type="dxa"/>
            <w:shd w:val="clear" w:color="auto" w:fill="CCEDFF"/>
          </w:tcPr>
          <w:p w14:paraId="7326CF97" w14:textId="77777777" w:rsidR="00EF3DFB" w:rsidRDefault="00D27C17">
            <w:pPr>
              <w:pStyle w:val="TableParagraph"/>
              <w:spacing w:line="180" w:lineRule="exact"/>
              <w:ind w:left="108"/>
              <w:rPr>
                <w:sz w:val="20"/>
              </w:rPr>
            </w:pPr>
            <w:r>
              <w:rPr>
                <w:sz w:val="20"/>
              </w:rPr>
              <w:t>preserving products, vacuum sealing products</w:t>
            </w:r>
          </w:p>
        </w:tc>
      </w:tr>
      <w:tr w:rsidR="00EF3DFB" w14:paraId="7326CF9C" w14:textId="77777777">
        <w:trPr>
          <w:trHeight w:val="251"/>
        </w:trPr>
        <w:tc>
          <w:tcPr>
            <w:tcW w:w="2880" w:type="dxa"/>
            <w:shd w:val="clear" w:color="auto" w:fill="CCEDFF"/>
          </w:tcPr>
          <w:p w14:paraId="7326CF99" w14:textId="77777777" w:rsidR="00EF3DFB" w:rsidRDefault="00EF3DFB">
            <w:pPr>
              <w:pStyle w:val="TableParagraph"/>
              <w:rPr>
                <w:sz w:val="18"/>
              </w:rPr>
            </w:pPr>
          </w:p>
        </w:tc>
        <w:tc>
          <w:tcPr>
            <w:tcW w:w="3889" w:type="dxa"/>
            <w:shd w:val="clear" w:color="auto" w:fill="CCEDFF"/>
          </w:tcPr>
          <w:p w14:paraId="7326CF9A" w14:textId="77777777" w:rsidR="00EF3DFB" w:rsidRDefault="00D27C17">
            <w:pPr>
              <w:pStyle w:val="TableParagraph"/>
              <w:spacing w:line="211" w:lineRule="exact"/>
              <w:ind w:left="127"/>
              <w:rPr>
                <w:sz w:val="20"/>
              </w:rPr>
            </w:pPr>
            <w:r>
              <w:rPr>
                <w:sz w:val="20"/>
              </w:rPr>
              <w:t>WoodWick® and Yankee Candle®</w:t>
            </w:r>
          </w:p>
        </w:tc>
        <w:tc>
          <w:tcPr>
            <w:tcW w:w="3850" w:type="dxa"/>
            <w:shd w:val="clear" w:color="auto" w:fill="CCEDFF"/>
          </w:tcPr>
          <w:p w14:paraId="7326CF9B" w14:textId="77777777" w:rsidR="00EF3DFB" w:rsidRDefault="00D27C17">
            <w:pPr>
              <w:pStyle w:val="TableParagraph"/>
              <w:spacing w:line="211" w:lineRule="exact"/>
              <w:ind w:left="108"/>
              <w:rPr>
                <w:sz w:val="20"/>
              </w:rPr>
            </w:pPr>
            <w:r>
              <w:rPr>
                <w:sz w:val="20"/>
              </w:rPr>
              <w:t>and home fragrance products</w:t>
            </w:r>
          </w:p>
        </w:tc>
      </w:tr>
      <w:tr w:rsidR="00EF3DFB" w14:paraId="7326CFA0" w14:textId="77777777">
        <w:trPr>
          <w:trHeight w:val="223"/>
        </w:trPr>
        <w:tc>
          <w:tcPr>
            <w:tcW w:w="2880" w:type="dxa"/>
          </w:tcPr>
          <w:p w14:paraId="7326CF9D" w14:textId="77777777" w:rsidR="00EF3DFB" w:rsidRDefault="00D27C17">
            <w:pPr>
              <w:pStyle w:val="TableParagraph"/>
              <w:spacing w:before="4" w:line="199" w:lineRule="exact"/>
              <w:ind w:left="52"/>
              <w:rPr>
                <w:sz w:val="20"/>
              </w:rPr>
            </w:pPr>
            <w:r>
              <w:rPr>
                <w:sz w:val="20"/>
              </w:rPr>
              <w:t>Learning and Development</w:t>
            </w:r>
          </w:p>
        </w:tc>
        <w:tc>
          <w:tcPr>
            <w:tcW w:w="3889" w:type="dxa"/>
          </w:tcPr>
          <w:p w14:paraId="7326CF9E" w14:textId="77777777" w:rsidR="00EF3DFB" w:rsidRDefault="00D27C17">
            <w:pPr>
              <w:pStyle w:val="TableParagraph"/>
              <w:spacing w:before="4" w:line="199" w:lineRule="exact"/>
              <w:ind w:left="127"/>
              <w:rPr>
                <w:sz w:val="20"/>
              </w:rPr>
            </w:pPr>
            <w:r>
              <w:rPr>
                <w:sz w:val="20"/>
              </w:rPr>
              <w:t>Aprica®, Baby Jogger®, Dymo®, Elmer’s®,</w:t>
            </w:r>
          </w:p>
        </w:tc>
        <w:tc>
          <w:tcPr>
            <w:tcW w:w="3850" w:type="dxa"/>
          </w:tcPr>
          <w:p w14:paraId="7326CF9F" w14:textId="77777777" w:rsidR="00EF3DFB" w:rsidRDefault="00D27C17">
            <w:pPr>
              <w:pStyle w:val="TableParagraph"/>
              <w:spacing w:before="4" w:line="199" w:lineRule="exact"/>
              <w:ind w:left="108"/>
              <w:rPr>
                <w:sz w:val="20"/>
              </w:rPr>
            </w:pPr>
            <w:r>
              <w:rPr>
                <w:sz w:val="20"/>
              </w:rPr>
              <w:t>Baby gear and infant care products; writing</w:t>
            </w:r>
          </w:p>
        </w:tc>
      </w:tr>
      <w:tr w:rsidR="00EF3DFB" w14:paraId="7326CFA4" w14:textId="77777777">
        <w:trPr>
          <w:trHeight w:val="200"/>
        </w:trPr>
        <w:tc>
          <w:tcPr>
            <w:tcW w:w="2880" w:type="dxa"/>
          </w:tcPr>
          <w:p w14:paraId="7326CFA1" w14:textId="77777777" w:rsidR="00EF3DFB" w:rsidRDefault="00EF3DFB">
            <w:pPr>
              <w:pStyle w:val="TableParagraph"/>
              <w:rPr>
                <w:sz w:val="12"/>
              </w:rPr>
            </w:pPr>
          </w:p>
        </w:tc>
        <w:tc>
          <w:tcPr>
            <w:tcW w:w="3889" w:type="dxa"/>
          </w:tcPr>
          <w:p w14:paraId="7326CFA2" w14:textId="77777777" w:rsidR="00EF3DFB" w:rsidRDefault="00D27C17">
            <w:pPr>
              <w:pStyle w:val="TableParagraph"/>
              <w:spacing w:line="180" w:lineRule="exact"/>
              <w:ind w:left="127"/>
              <w:rPr>
                <w:sz w:val="20"/>
              </w:rPr>
            </w:pPr>
            <w:r>
              <w:rPr>
                <w:sz w:val="20"/>
              </w:rPr>
              <w:t>EXPO®, Graco®, Mr. Sketch®, NUK®,</w:t>
            </w:r>
          </w:p>
        </w:tc>
        <w:tc>
          <w:tcPr>
            <w:tcW w:w="3850" w:type="dxa"/>
          </w:tcPr>
          <w:p w14:paraId="7326CFA3" w14:textId="77777777" w:rsidR="00EF3DFB" w:rsidRDefault="00D27C17">
            <w:pPr>
              <w:pStyle w:val="TableParagraph"/>
              <w:spacing w:line="180" w:lineRule="exact"/>
              <w:ind w:left="108"/>
              <w:rPr>
                <w:sz w:val="20"/>
              </w:rPr>
            </w:pPr>
            <w:r>
              <w:rPr>
                <w:sz w:val="20"/>
              </w:rPr>
              <w:t>instruments, including markers and</w:t>
            </w:r>
          </w:p>
        </w:tc>
      </w:tr>
      <w:tr w:rsidR="00EF3DFB" w14:paraId="7326CFA8" w14:textId="77777777">
        <w:trPr>
          <w:trHeight w:val="200"/>
        </w:trPr>
        <w:tc>
          <w:tcPr>
            <w:tcW w:w="2880" w:type="dxa"/>
          </w:tcPr>
          <w:p w14:paraId="7326CFA5" w14:textId="77777777" w:rsidR="00EF3DFB" w:rsidRDefault="00EF3DFB">
            <w:pPr>
              <w:pStyle w:val="TableParagraph"/>
              <w:rPr>
                <w:sz w:val="12"/>
              </w:rPr>
            </w:pPr>
          </w:p>
        </w:tc>
        <w:tc>
          <w:tcPr>
            <w:tcW w:w="3889" w:type="dxa"/>
          </w:tcPr>
          <w:p w14:paraId="7326CFA6" w14:textId="77777777" w:rsidR="00EF3DFB" w:rsidRDefault="00D27C17">
            <w:pPr>
              <w:pStyle w:val="TableParagraph"/>
              <w:spacing w:line="180" w:lineRule="exact"/>
              <w:ind w:left="127"/>
              <w:rPr>
                <w:sz w:val="20"/>
              </w:rPr>
            </w:pPr>
            <w:r>
              <w:rPr>
                <w:sz w:val="20"/>
              </w:rPr>
              <w:t>Paper Mate®, Parker®, Prismacolor®,</w:t>
            </w:r>
          </w:p>
        </w:tc>
        <w:tc>
          <w:tcPr>
            <w:tcW w:w="3850" w:type="dxa"/>
          </w:tcPr>
          <w:p w14:paraId="7326CFA7" w14:textId="77777777" w:rsidR="00EF3DFB" w:rsidRDefault="00D27C17">
            <w:pPr>
              <w:pStyle w:val="TableParagraph"/>
              <w:spacing w:line="180" w:lineRule="exact"/>
              <w:ind w:left="108"/>
              <w:rPr>
                <w:sz w:val="20"/>
              </w:rPr>
            </w:pPr>
            <w:r>
              <w:rPr>
                <w:sz w:val="20"/>
              </w:rPr>
              <w:t>highlighters, pens and pencils; art products;</w:t>
            </w:r>
          </w:p>
        </w:tc>
      </w:tr>
      <w:tr w:rsidR="00EF3DFB" w14:paraId="7326CFAC" w14:textId="77777777">
        <w:trPr>
          <w:trHeight w:val="200"/>
        </w:trPr>
        <w:tc>
          <w:tcPr>
            <w:tcW w:w="2880" w:type="dxa"/>
          </w:tcPr>
          <w:p w14:paraId="7326CFA9" w14:textId="77777777" w:rsidR="00EF3DFB" w:rsidRDefault="00EF3DFB">
            <w:pPr>
              <w:pStyle w:val="TableParagraph"/>
              <w:rPr>
                <w:sz w:val="12"/>
              </w:rPr>
            </w:pPr>
          </w:p>
        </w:tc>
        <w:tc>
          <w:tcPr>
            <w:tcW w:w="3889" w:type="dxa"/>
          </w:tcPr>
          <w:p w14:paraId="7326CFAA" w14:textId="77777777" w:rsidR="00EF3DFB" w:rsidRDefault="00D27C17">
            <w:pPr>
              <w:pStyle w:val="TableParagraph"/>
              <w:spacing w:line="180" w:lineRule="exact"/>
              <w:ind w:left="127"/>
              <w:rPr>
                <w:sz w:val="20"/>
              </w:rPr>
            </w:pPr>
            <w:r>
              <w:rPr>
                <w:sz w:val="20"/>
              </w:rPr>
              <w:t>Sharpie®, Tigex® Waterman® and X-Acto®</w:t>
            </w:r>
          </w:p>
        </w:tc>
        <w:tc>
          <w:tcPr>
            <w:tcW w:w="3850" w:type="dxa"/>
          </w:tcPr>
          <w:p w14:paraId="7326CFAB" w14:textId="77777777" w:rsidR="00EF3DFB" w:rsidRDefault="00D27C17">
            <w:pPr>
              <w:pStyle w:val="TableParagraph"/>
              <w:spacing w:line="180" w:lineRule="exact"/>
              <w:ind w:left="108"/>
              <w:rPr>
                <w:sz w:val="20"/>
              </w:rPr>
            </w:pPr>
            <w:r>
              <w:rPr>
                <w:sz w:val="20"/>
              </w:rPr>
              <w:t>activity-based adhesive and cutting products</w:t>
            </w:r>
          </w:p>
        </w:tc>
      </w:tr>
      <w:tr w:rsidR="00EF3DFB" w14:paraId="7326CFB0" w14:textId="77777777">
        <w:trPr>
          <w:trHeight w:val="241"/>
        </w:trPr>
        <w:tc>
          <w:tcPr>
            <w:tcW w:w="2880" w:type="dxa"/>
          </w:tcPr>
          <w:p w14:paraId="7326CFAD" w14:textId="77777777" w:rsidR="00EF3DFB" w:rsidRDefault="00EF3DFB">
            <w:pPr>
              <w:pStyle w:val="TableParagraph"/>
              <w:rPr>
                <w:sz w:val="16"/>
              </w:rPr>
            </w:pPr>
          </w:p>
        </w:tc>
        <w:tc>
          <w:tcPr>
            <w:tcW w:w="3889" w:type="dxa"/>
          </w:tcPr>
          <w:p w14:paraId="7326CFAE" w14:textId="77777777" w:rsidR="00EF3DFB" w:rsidRDefault="00EF3DFB">
            <w:pPr>
              <w:pStyle w:val="TableParagraph"/>
              <w:rPr>
                <w:sz w:val="16"/>
              </w:rPr>
            </w:pPr>
          </w:p>
        </w:tc>
        <w:tc>
          <w:tcPr>
            <w:tcW w:w="3850" w:type="dxa"/>
          </w:tcPr>
          <w:p w14:paraId="7326CFAF" w14:textId="77777777" w:rsidR="00EF3DFB" w:rsidRDefault="00D27C17">
            <w:pPr>
              <w:pStyle w:val="TableParagraph"/>
              <w:spacing w:line="211" w:lineRule="exact"/>
              <w:ind w:left="108"/>
              <w:rPr>
                <w:sz w:val="20"/>
              </w:rPr>
            </w:pPr>
            <w:r>
              <w:rPr>
                <w:sz w:val="20"/>
              </w:rPr>
              <w:t>and labeling s</w:t>
            </w:r>
            <w:r>
              <w:rPr>
                <w:sz w:val="20"/>
              </w:rPr>
              <w:t>olutions</w:t>
            </w:r>
          </w:p>
        </w:tc>
      </w:tr>
      <w:tr w:rsidR="00EF3DFB" w14:paraId="7326CFB4" w14:textId="77777777">
        <w:trPr>
          <w:trHeight w:val="223"/>
        </w:trPr>
        <w:tc>
          <w:tcPr>
            <w:tcW w:w="2880" w:type="dxa"/>
            <w:shd w:val="clear" w:color="auto" w:fill="CCEDFF"/>
          </w:tcPr>
          <w:p w14:paraId="7326CFB1" w14:textId="77777777" w:rsidR="00EF3DFB" w:rsidRDefault="00D27C17">
            <w:pPr>
              <w:pStyle w:val="TableParagraph"/>
              <w:spacing w:before="4" w:line="199" w:lineRule="exact"/>
              <w:ind w:left="52"/>
              <w:rPr>
                <w:sz w:val="20"/>
              </w:rPr>
            </w:pPr>
            <w:r>
              <w:rPr>
                <w:sz w:val="20"/>
              </w:rPr>
              <w:t>Outdoor and Recreation</w:t>
            </w:r>
          </w:p>
        </w:tc>
        <w:tc>
          <w:tcPr>
            <w:tcW w:w="3889" w:type="dxa"/>
            <w:shd w:val="clear" w:color="auto" w:fill="CCEDFF"/>
          </w:tcPr>
          <w:p w14:paraId="7326CFB2" w14:textId="77777777" w:rsidR="00EF3DFB" w:rsidRDefault="00D27C17">
            <w:pPr>
              <w:pStyle w:val="TableParagraph"/>
              <w:spacing w:before="4" w:line="199" w:lineRule="exact"/>
              <w:ind w:left="127"/>
              <w:rPr>
                <w:sz w:val="20"/>
              </w:rPr>
            </w:pPr>
            <w:r>
              <w:rPr>
                <w:sz w:val="20"/>
              </w:rPr>
              <w:t>Coleman®, Contigo®, ExOfficio®,</w:t>
            </w:r>
          </w:p>
        </w:tc>
        <w:tc>
          <w:tcPr>
            <w:tcW w:w="3850" w:type="dxa"/>
            <w:shd w:val="clear" w:color="auto" w:fill="CCEDFF"/>
          </w:tcPr>
          <w:p w14:paraId="7326CFB3" w14:textId="77777777" w:rsidR="00EF3DFB" w:rsidRDefault="00D27C17">
            <w:pPr>
              <w:pStyle w:val="TableParagraph"/>
              <w:spacing w:before="4" w:line="199" w:lineRule="exact"/>
              <w:ind w:left="108"/>
              <w:rPr>
                <w:sz w:val="20"/>
              </w:rPr>
            </w:pPr>
            <w:r>
              <w:rPr>
                <w:sz w:val="20"/>
              </w:rPr>
              <w:t>Products for outdoor and outdoor-related</w:t>
            </w:r>
          </w:p>
        </w:tc>
      </w:tr>
      <w:tr w:rsidR="00EF3DFB" w14:paraId="7326CFB8" w14:textId="77777777">
        <w:trPr>
          <w:trHeight w:val="241"/>
        </w:trPr>
        <w:tc>
          <w:tcPr>
            <w:tcW w:w="2880" w:type="dxa"/>
            <w:shd w:val="clear" w:color="auto" w:fill="CCEDFF"/>
          </w:tcPr>
          <w:p w14:paraId="7326CFB5" w14:textId="77777777" w:rsidR="00EF3DFB" w:rsidRDefault="00EF3DFB">
            <w:pPr>
              <w:pStyle w:val="TableParagraph"/>
              <w:rPr>
                <w:sz w:val="16"/>
              </w:rPr>
            </w:pPr>
          </w:p>
        </w:tc>
        <w:tc>
          <w:tcPr>
            <w:tcW w:w="3889" w:type="dxa"/>
            <w:shd w:val="clear" w:color="auto" w:fill="CCEDFF"/>
          </w:tcPr>
          <w:p w14:paraId="7326CFB6" w14:textId="77777777" w:rsidR="00EF3DFB" w:rsidRDefault="00D27C17">
            <w:pPr>
              <w:pStyle w:val="TableParagraph"/>
              <w:spacing w:line="211" w:lineRule="exact"/>
              <w:ind w:left="127"/>
              <w:rPr>
                <w:sz w:val="20"/>
              </w:rPr>
            </w:pPr>
            <w:r>
              <w:rPr>
                <w:sz w:val="20"/>
              </w:rPr>
              <w:t>Marmot®</w:t>
            </w:r>
          </w:p>
        </w:tc>
        <w:tc>
          <w:tcPr>
            <w:tcW w:w="3850" w:type="dxa"/>
            <w:shd w:val="clear" w:color="auto" w:fill="CCEDFF"/>
          </w:tcPr>
          <w:p w14:paraId="7326CFB7" w14:textId="77777777" w:rsidR="00EF3DFB" w:rsidRDefault="00D27C17">
            <w:pPr>
              <w:pStyle w:val="TableParagraph"/>
              <w:spacing w:line="211" w:lineRule="exact"/>
              <w:ind w:left="108"/>
              <w:rPr>
                <w:sz w:val="20"/>
              </w:rPr>
            </w:pPr>
            <w:r>
              <w:rPr>
                <w:sz w:val="20"/>
              </w:rPr>
              <w:t>activities</w:t>
            </w:r>
          </w:p>
        </w:tc>
      </w:tr>
    </w:tbl>
    <w:p w14:paraId="7326CFB9" w14:textId="77777777" w:rsidR="00EF3DFB" w:rsidRDefault="00EF3DFB">
      <w:pPr>
        <w:pStyle w:val="BodyText"/>
        <w:spacing w:before="4"/>
        <w:rPr>
          <w:sz w:val="17"/>
        </w:rPr>
      </w:pPr>
    </w:p>
    <w:p w14:paraId="7326CFBA" w14:textId="77777777" w:rsidR="00EF3DFB" w:rsidRDefault="00D27C17">
      <w:pPr>
        <w:ind w:left="190"/>
        <w:rPr>
          <w:sz w:val="16"/>
        </w:rPr>
      </w:pPr>
      <w:r>
        <w:rPr>
          <w:sz w:val="16"/>
        </w:rPr>
        <w:t xml:space="preserve">(1) </w:t>
      </w:r>
      <w:r>
        <w:rPr>
          <w:noProof/>
          <w:spacing w:val="8"/>
          <w:sz w:val="16"/>
        </w:rPr>
        <w:drawing>
          <wp:inline distT="0" distB="0" distL="0" distR="0" wp14:anchorId="7326D78B" wp14:editId="7326D78C">
            <wp:extent cx="276224" cy="1905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276224" cy="190500"/>
                    </a:xfrm>
                    <a:prstGeom prst="rect">
                      <a:avLst/>
                    </a:prstGeom>
                  </pic:spPr>
                </pic:pic>
              </a:graphicData>
            </a:graphic>
          </wp:inline>
        </w:drawing>
      </w:r>
      <w:r>
        <w:rPr>
          <w:spacing w:val="10"/>
          <w:sz w:val="16"/>
        </w:rPr>
        <w:t xml:space="preserve"> </w:t>
      </w:r>
      <w:r>
        <w:rPr>
          <w:sz w:val="16"/>
        </w:rPr>
        <w:t>and Ball®, TMs Ball Corporation, used under</w:t>
      </w:r>
      <w:r>
        <w:rPr>
          <w:spacing w:val="6"/>
          <w:sz w:val="16"/>
        </w:rPr>
        <w:t xml:space="preserve"> </w:t>
      </w:r>
      <w:r>
        <w:rPr>
          <w:sz w:val="16"/>
        </w:rPr>
        <w:t>license.</w:t>
      </w:r>
    </w:p>
    <w:p w14:paraId="7326CFBB" w14:textId="77777777" w:rsidR="00EF3DFB" w:rsidRDefault="00EF3DFB">
      <w:pPr>
        <w:pStyle w:val="BodyText"/>
        <w:spacing w:before="6"/>
        <w:rPr>
          <w:sz w:val="14"/>
        </w:rPr>
      </w:pPr>
    </w:p>
    <w:p w14:paraId="7326CFBC" w14:textId="77777777" w:rsidR="00EF3DFB" w:rsidRDefault="00D27C17">
      <w:pPr>
        <w:pStyle w:val="BodyText"/>
        <w:spacing w:before="92" w:line="249" w:lineRule="auto"/>
        <w:ind w:left="190" w:right="168"/>
        <w:jc w:val="both"/>
      </w:pPr>
      <w:r>
        <w:rPr>
          <w:color w:val="202528"/>
        </w:rPr>
        <w:t>The financial information below for 2019 and 2018 has been recast for the current segment structure. This structure reflects the manner in which the CODM regularly assesses information for decision-making purposes, including the allocation of resources. Th</w:t>
      </w:r>
      <w:r>
        <w:rPr>
          <w:color w:val="202528"/>
        </w:rPr>
        <w:t>e Company also provides general corporate services to its segments which is reported as a non-operating segment, Corporate.</w:t>
      </w:r>
    </w:p>
    <w:p w14:paraId="7326CFBD" w14:textId="77777777" w:rsidR="00EF3DFB" w:rsidRDefault="00EF3DFB">
      <w:pPr>
        <w:pStyle w:val="BodyText"/>
        <w:rPr>
          <w:sz w:val="22"/>
        </w:rPr>
      </w:pPr>
    </w:p>
    <w:p w14:paraId="7326CFBE" w14:textId="77777777" w:rsidR="00EF3DFB" w:rsidRDefault="00EF3DFB">
      <w:pPr>
        <w:pStyle w:val="BodyText"/>
        <w:spacing w:before="11"/>
        <w:rPr>
          <w:sz w:val="19"/>
        </w:rPr>
      </w:pPr>
    </w:p>
    <w:p w14:paraId="7326CFBF" w14:textId="77777777" w:rsidR="00EF3DFB" w:rsidRDefault="00D27C17">
      <w:pPr>
        <w:pStyle w:val="BodyText"/>
        <w:ind w:left="190"/>
        <w:jc w:val="both"/>
      </w:pPr>
      <w:r>
        <w:t>The Company’s segment and geographic results are as follows at and for the years ended December 31, (in millions):</w:t>
      </w:r>
    </w:p>
    <w:p w14:paraId="7326CFC0" w14:textId="77777777" w:rsidR="00EF3DFB" w:rsidRDefault="00EF3DFB">
      <w:pPr>
        <w:pStyle w:val="BodyText"/>
      </w:pPr>
    </w:p>
    <w:p w14:paraId="7326CFC1" w14:textId="77777777" w:rsidR="00EF3DFB" w:rsidRDefault="00EF3DFB">
      <w:pPr>
        <w:pStyle w:val="BodyText"/>
        <w:spacing w:before="1"/>
        <w:rPr>
          <w:sz w:val="14"/>
        </w:rPr>
      </w:pPr>
    </w:p>
    <w:tbl>
      <w:tblPr>
        <w:tblW w:w="0" w:type="auto"/>
        <w:tblInd w:w="190" w:type="dxa"/>
        <w:tblLayout w:type="fixed"/>
        <w:tblCellMar>
          <w:left w:w="0" w:type="dxa"/>
          <w:right w:w="0" w:type="dxa"/>
        </w:tblCellMar>
        <w:tblLook w:val="01E0" w:firstRow="1" w:lastRow="1" w:firstColumn="1" w:lastColumn="1" w:noHBand="0" w:noVBand="0"/>
      </w:tblPr>
      <w:tblGrid>
        <w:gridCol w:w="4581"/>
        <w:gridCol w:w="3512"/>
        <w:gridCol w:w="1275"/>
        <w:gridCol w:w="1252"/>
      </w:tblGrid>
      <w:tr w:rsidR="00EF3DFB" w14:paraId="7326CFC6" w14:textId="77777777">
        <w:trPr>
          <w:trHeight w:val="241"/>
        </w:trPr>
        <w:tc>
          <w:tcPr>
            <w:tcW w:w="4581" w:type="dxa"/>
          </w:tcPr>
          <w:p w14:paraId="7326CFC2" w14:textId="77777777" w:rsidR="00EF3DFB" w:rsidRDefault="00EF3DFB">
            <w:pPr>
              <w:pStyle w:val="TableParagraph"/>
              <w:rPr>
                <w:sz w:val="16"/>
              </w:rPr>
            </w:pPr>
          </w:p>
        </w:tc>
        <w:tc>
          <w:tcPr>
            <w:tcW w:w="3512" w:type="dxa"/>
            <w:tcBorders>
              <w:bottom w:val="single" w:sz="8" w:space="0" w:color="000000"/>
            </w:tcBorders>
          </w:tcPr>
          <w:p w14:paraId="7326CFC3" w14:textId="77777777" w:rsidR="00EF3DFB" w:rsidRDefault="00D27C17">
            <w:pPr>
              <w:pStyle w:val="TableParagraph"/>
              <w:spacing w:line="221" w:lineRule="exact"/>
              <w:ind w:right="422"/>
              <w:jc w:val="right"/>
              <w:rPr>
                <w:b/>
                <w:sz w:val="20"/>
              </w:rPr>
            </w:pPr>
            <w:r>
              <w:rPr>
                <w:b/>
                <w:sz w:val="20"/>
              </w:rPr>
              <w:t>2020</w:t>
            </w:r>
          </w:p>
        </w:tc>
        <w:tc>
          <w:tcPr>
            <w:tcW w:w="1275" w:type="dxa"/>
            <w:tcBorders>
              <w:bottom w:val="single" w:sz="8" w:space="0" w:color="000000"/>
            </w:tcBorders>
          </w:tcPr>
          <w:p w14:paraId="7326CFC4" w14:textId="77777777" w:rsidR="00EF3DFB" w:rsidRDefault="00D27C17">
            <w:pPr>
              <w:pStyle w:val="TableParagraph"/>
              <w:spacing w:line="221" w:lineRule="exact"/>
              <w:ind w:left="452"/>
              <w:rPr>
                <w:b/>
                <w:sz w:val="20"/>
              </w:rPr>
            </w:pPr>
            <w:r>
              <w:rPr>
                <w:b/>
                <w:sz w:val="20"/>
              </w:rPr>
              <w:t>2019</w:t>
            </w:r>
          </w:p>
        </w:tc>
        <w:tc>
          <w:tcPr>
            <w:tcW w:w="1252" w:type="dxa"/>
            <w:tcBorders>
              <w:bottom w:val="single" w:sz="8" w:space="0" w:color="000000"/>
            </w:tcBorders>
          </w:tcPr>
          <w:p w14:paraId="7326CFC5" w14:textId="77777777" w:rsidR="00EF3DFB" w:rsidRDefault="00D27C17">
            <w:pPr>
              <w:pStyle w:val="TableParagraph"/>
              <w:spacing w:line="221" w:lineRule="exact"/>
              <w:ind w:left="452"/>
              <w:rPr>
                <w:b/>
                <w:sz w:val="20"/>
              </w:rPr>
            </w:pPr>
            <w:r>
              <w:rPr>
                <w:b/>
                <w:sz w:val="20"/>
              </w:rPr>
              <w:t>2018</w:t>
            </w:r>
          </w:p>
        </w:tc>
      </w:tr>
      <w:tr w:rsidR="00EF3DFB" w14:paraId="7326CFCB" w14:textId="77777777">
        <w:trPr>
          <w:trHeight w:val="290"/>
        </w:trPr>
        <w:tc>
          <w:tcPr>
            <w:tcW w:w="4581" w:type="dxa"/>
            <w:shd w:val="clear" w:color="auto" w:fill="CCEDFF"/>
          </w:tcPr>
          <w:p w14:paraId="7326CFC7" w14:textId="77777777" w:rsidR="00EF3DFB" w:rsidRDefault="00D27C17">
            <w:pPr>
              <w:pStyle w:val="TableParagraph"/>
              <w:spacing w:line="221" w:lineRule="exact"/>
              <w:ind w:left="52"/>
              <w:rPr>
                <w:b/>
                <w:sz w:val="20"/>
              </w:rPr>
            </w:pPr>
            <w:r>
              <w:rPr>
                <w:b/>
                <w:sz w:val="20"/>
              </w:rPr>
              <w:t>Net sales (1)</w:t>
            </w:r>
          </w:p>
        </w:tc>
        <w:tc>
          <w:tcPr>
            <w:tcW w:w="3512" w:type="dxa"/>
            <w:tcBorders>
              <w:top w:val="single" w:sz="8" w:space="0" w:color="000000"/>
            </w:tcBorders>
            <w:shd w:val="clear" w:color="auto" w:fill="CCEDFF"/>
          </w:tcPr>
          <w:p w14:paraId="7326CFC8" w14:textId="77777777" w:rsidR="00EF3DFB" w:rsidRDefault="00EF3DFB">
            <w:pPr>
              <w:pStyle w:val="TableParagraph"/>
              <w:rPr>
                <w:sz w:val="18"/>
              </w:rPr>
            </w:pPr>
          </w:p>
        </w:tc>
        <w:tc>
          <w:tcPr>
            <w:tcW w:w="1275" w:type="dxa"/>
            <w:tcBorders>
              <w:top w:val="single" w:sz="8" w:space="0" w:color="000000"/>
            </w:tcBorders>
            <w:shd w:val="clear" w:color="auto" w:fill="CCEDFF"/>
          </w:tcPr>
          <w:p w14:paraId="7326CFC9" w14:textId="77777777" w:rsidR="00EF3DFB" w:rsidRDefault="00EF3DFB">
            <w:pPr>
              <w:pStyle w:val="TableParagraph"/>
              <w:rPr>
                <w:sz w:val="18"/>
              </w:rPr>
            </w:pPr>
          </w:p>
        </w:tc>
        <w:tc>
          <w:tcPr>
            <w:tcW w:w="1252" w:type="dxa"/>
            <w:tcBorders>
              <w:top w:val="single" w:sz="8" w:space="0" w:color="000000"/>
            </w:tcBorders>
            <w:shd w:val="clear" w:color="auto" w:fill="CCEDFF"/>
          </w:tcPr>
          <w:p w14:paraId="7326CFCA" w14:textId="77777777" w:rsidR="00EF3DFB" w:rsidRDefault="00EF3DFB">
            <w:pPr>
              <w:pStyle w:val="TableParagraph"/>
              <w:rPr>
                <w:sz w:val="18"/>
              </w:rPr>
            </w:pPr>
          </w:p>
        </w:tc>
      </w:tr>
      <w:tr w:rsidR="00EF3DFB" w14:paraId="7326CFD0" w14:textId="77777777">
        <w:trPr>
          <w:trHeight w:val="300"/>
        </w:trPr>
        <w:tc>
          <w:tcPr>
            <w:tcW w:w="4581" w:type="dxa"/>
          </w:tcPr>
          <w:p w14:paraId="7326CFCC" w14:textId="77777777" w:rsidR="00EF3DFB" w:rsidRDefault="00D27C17">
            <w:pPr>
              <w:pStyle w:val="TableParagraph"/>
              <w:spacing w:before="4"/>
              <w:ind w:left="52"/>
              <w:rPr>
                <w:sz w:val="20"/>
              </w:rPr>
            </w:pPr>
            <w:r>
              <w:rPr>
                <w:sz w:val="20"/>
              </w:rPr>
              <w:t>Appliances and Cookware</w:t>
            </w:r>
          </w:p>
        </w:tc>
        <w:tc>
          <w:tcPr>
            <w:tcW w:w="3512" w:type="dxa"/>
          </w:tcPr>
          <w:p w14:paraId="7326CFCD" w14:textId="77777777" w:rsidR="00EF3DFB" w:rsidRDefault="00D27C17">
            <w:pPr>
              <w:pStyle w:val="TableParagraph"/>
              <w:tabs>
                <w:tab w:val="left" w:pos="615"/>
              </w:tabs>
              <w:spacing w:before="40"/>
              <w:ind w:right="102"/>
              <w:jc w:val="right"/>
              <w:rPr>
                <w:sz w:val="20"/>
              </w:rPr>
            </w:pPr>
            <w:r>
              <w:rPr>
                <w:sz w:val="20"/>
              </w:rPr>
              <w:t>$</w:t>
            </w:r>
            <w:r>
              <w:rPr>
                <w:sz w:val="20"/>
              </w:rPr>
              <w:tab/>
              <w:t>1,706</w:t>
            </w:r>
          </w:p>
        </w:tc>
        <w:tc>
          <w:tcPr>
            <w:tcW w:w="1275" w:type="dxa"/>
          </w:tcPr>
          <w:p w14:paraId="7326CFCE" w14:textId="77777777" w:rsidR="00EF3DFB" w:rsidRDefault="00D27C17">
            <w:pPr>
              <w:pStyle w:val="TableParagraph"/>
              <w:tabs>
                <w:tab w:val="left" w:pos="615"/>
              </w:tabs>
              <w:spacing w:before="40"/>
              <w:ind w:right="102"/>
              <w:jc w:val="right"/>
              <w:rPr>
                <w:sz w:val="20"/>
              </w:rPr>
            </w:pPr>
            <w:r>
              <w:rPr>
                <w:sz w:val="20"/>
              </w:rPr>
              <w:t>$</w:t>
            </w:r>
            <w:r>
              <w:rPr>
                <w:sz w:val="20"/>
              </w:rPr>
              <w:tab/>
              <w:t>1,692</w:t>
            </w:r>
          </w:p>
        </w:tc>
        <w:tc>
          <w:tcPr>
            <w:tcW w:w="1252" w:type="dxa"/>
          </w:tcPr>
          <w:p w14:paraId="7326CFCF" w14:textId="77777777" w:rsidR="00EF3DFB" w:rsidRDefault="00D27C17">
            <w:pPr>
              <w:pStyle w:val="TableParagraph"/>
              <w:tabs>
                <w:tab w:val="left" w:pos="615"/>
              </w:tabs>
              <w:spacing w:before="40"/>
              <w:ind w:right="79"/>
              <w:jc w:val="right"/>
              <w:rPr>
                <w:sz w:val="20"/>
              </w:rPr>
            </w:pPr>
            <w:r>
              <w:rPr>
                <w:sz w:val="20"/>
              </w:rPr>
              <w:t>$</w:t>
            </w:r>
            <w:r>
              <w:rPr>
                <w:sz w:val="20"/>
              </w:rPr>
              <w:tab/>
              <w:t>1,819</w:t>
            </w:r>
          </w:p>
        </w:tc>
      </w:tr>
      <w:tr w:rsidR="00EF3DFB" w14:paraId="7326CFD5" w14:textId="77777777">
        <w:trPr>
          <w:trHeight w:val="300"/>
        </w:trPr>
        <w:tc>
          <w:tcPr>
            <w:tcW w:w="4581" w:type="dxa"/>
            <w:shd w:val="clear" w:color="auto" w:fill="CCEDFF"/>
          </w:tcPr>
          <w:p w14:paraId="7326CFD1" w14:textId="77777777" w:rsidR="00EF3DFB" w:rsidRDefault="00D27C17">
            <w:pPr>
              <w:pStyle w:val="TableParagraph"/>
              <w:spacing w:before="4"/>
              <w:ind w:left="52"/>
              <w:rPr>
                <w:sz w:val="20"/>
              </w:rPr>
            </w:pPr>
            <w:r>
              <w:rPr>
                <w:sz w:val="20"/>
              </w:rPr>
              <w:t>Commercial Solutions</w:t>
            </w:r>
          </w:p>
        </w:tc>
        <w:tc>
          <w:tcPr>
            <w:tcW w:w="3512" w:type="dxa"/>
            <w:shd w:val="clear" w:color="auto" w:fill="CCEDFF"/>
          </w:tcPr>
          <w:p w14:paraId="7326CFD2" w14:textId="77777777" w:rsidR="00EF3DFB" w:rsidRDefault="00D27C17">
            <w:pPr>
              <w:pStyle w:val="TableParagraph"/>
              <w:spacing w:before="40"/>
              <w:ind w:right="102"/>
              <w:jc w:val="right"/>
              <w:rPr>
                <w:sz w:val="20"/>
              </w:rPr>
            </w:pPr>
            <w:r>
              <w:rPr>
                <w:sz w:val="20"/>
              </w:rPr>
              <w:t>1,859</w:t>
            </w:r>
          </w:p>
        </w:tc>
        <w:tc>
          <w:tcPr>
            <w:tcW w:w="1275" w:type="dxa"/>
            <w:shd w:val="clear" w:color="auto" w:fill="CCEDFF"/>
          </w:tcPr>
          <w:p w14:paraId="7326CFD3" w14:textId="77777777" w:rsidR="00EF3DFB" w:rsidRDefault="00D27C17">
            <w:pPr>
              <w:pStyle w:val="TableParagraph"/>
              <w:spacing w:before="40"/>
              <w:ind w:right="102"/>
              <w:jc w:val="right"/>
              <w:rPr>
                <w:sz w:val="20"/>
              </w:rPr>
            </w:pPr>
            <w:r>
              <w:rPr>
                <w:sz w:val="20"/>
              </w:rPr>
              <w:t>1,779</w:t>
            </w:r>
          </w:p>
        </w:tc>
        <w:tc>
          <w:tcPr>
            <w:tcW w:w="1252" w:type="dxa"/>
            <w:shd w:val="clear" w:color="auto" w:fill="CCEDFF"/>
          </w:tcPr>
          <w:p w14:paraId="7326CFD4" w14:textId="77777777" w:rsidR="00EF3DFB" w:rsidRDefault="00D27C17">
            <w:pPr>
              <w:pStyle w:val="TableParagraph"/>
              <w:spacing w:before="40"/>
              <w:ind w:right="79"/>
              <w:jc w:val="right"/>
              <w:rPr>
                <w:sz w:val="20"/>
              </w:rPr>
            </w:pPr>
            <w:r>
              <w:rPr>
                <w:sz w:val="20"/>
              </w:rPr>
              <w:t>1,900</w:t>
            </w:r>
          </w:p>
        </w:tc>
      </w:tr>
      <w:tr w:rsidR="00EF3DFB" w14:paraId="7326CFDA" w14:textId="77777777">
        <w:trPr>
          <w:trHeight w:val="299"/>
        </w:trPr>
        <w:tc>
          <w:tcPr>
            <w:tcW w:w="4581" w:type="dxa"/>
          </w:tcPr>
          <w:p w14:paraId="7326CFD6" w14:textId="77777777" w:rsidR="00EF3DFB" w:rsidRDefault="00D27C17">
            <w:pPr>
              <w:pStyle w:val="TableParagraph"/>
              <w:spacing w:before="4"/>
              <w:ind w:left="52"/>
              <w:rPr>
                <w:sz w:val="20"/>
              </w:rPr>
            </w:pPr>
            <w:r>
              <w:rPr>
                <w:sz w:val="20"/>
              </w:rPr>
              <w:t>Home Solutions</w:t>
            </w:r>
          </w:p>
        </w:tc>
        <w:tc>
          <w:tcPr>
            <w:tcW w:w="3512" w:type="dxa"/>
          </w:tcPr>
          <w:p w14:paraId="7326CFD7" w14:textId="77777777" w:rsidR="00EF3DFB" w:rsidRDefault="00D27C17">
            <w:pPr>
              <w:pStyle w:val="TableParagraph"/>
              <w:spacing w:before="40"/>
              <w:ind w:right="102"/>
              <w:jc w:val="right"/>
              <w:rPr>
                <w:sz w:val="20"/>
              </w:rPr>
            </w:pPr>
            <w:r>
              <w:rPr>
                <w:sz w:val="20"/>
              </w:rPr>
              <w:t>1,971</w:t>
            </w:r>
          </w:p>
        </w:tc>
        <w:tc>
          <w:tcPr>
            <w:tcW w:w="1275" w:type="dxa"/>
          </w:tcPr>
          <w:p w14:paraId="7326CFD8" w14:textId="77777777" w:rsidR="00EF3DFB" w:rsidRDefault="00D27C17">
            <w:pPr>
              <w:pStyle w:val="TableParagraph"/>
              <w:spacing w:before="40"/>
              <w:ind w:right="102"/>
              <w:jc w:val="right"/>
              <w:rPr>
                <w:sz w:val="20"/>
              </w:rPr>
            </w:pPr>
            <w:r>
              <w:rPr>
                <w:sz w:val="20"/>
              </w:rPr>
              <w:t>1,875</w:t>
            </w:r>
          </w:p>
        </w:tc>
        <w:tc>
          <w:tcPr>
            <w:tcW w:w="1252" w:type="dxa"/>
          </w:tcPr>
          <w:p w14:paraId="7326CFD9" w14:textId="77777777" w:rsidR="00EF3DFB" w:rsidRDefault="00D27C17">
            <w:pPr>
              <w:pStyle w:val="TableParagraph"/>
              <w:spacing w:before="40"/>
              <w:ind w:right="79"/>
              <w:jc w:val="right"/>
              <w:rPr>
                <w:sz w:val="20"/>
              </w:rPr>
            </w:pPr>
            <w:r>
              <w:rPr>
                <w:sz w:val="20"/>
              </w:rPr>
              <w:t>1,935</w:t>
            </w:r>
          </w:p>
        </w:tc>
      </w:tr>
      <w:tr w:rsidR="00EF3DFB" w14:paraId="7326CFDF" w14:textId="77777777">
        <w:trPr>
          <w:trHeight w:val="300"/>
        </w:trPr>
        <w:tc>
          <w:tcPr>
            <w:tcW w:w="4581" w:type="dxa"/>
            <w:shd w:val="clear" w:color="auto" w:fill="CCEDFF"/>
          </w:tcPr>
          <w:p w14:paraId="7326CFDB" w14:textId="77777777" w:rsidR="00EF3DFB" w:rsidRDefault="00D27C17">
            <w:pPr>
              <w:pStyle w:val="TableParagraph"/>
              <w:spacing w:before="4"/>
              <w:ind w:left="52"/>
              <w:rPr>
                <w:sz w:val="20"/>
              </w:rPr>
            </w:pPr>
            <w:r>
              <w:rPr>
                <w:sz w:val="20"/>
              </w:rPr>
              <w:t>Learning and Development</w:t>
            </w:r>
          </w:p>
        </w:tc>
        <w:tc>
          <w:tcPr>
            <w:tcW w:w="3512" w:type="dxa"/>
            <w:shd w:val="clear" w:color="auto" w:fill="CCEDFF"/>
          </w:tcPr>
          <w:p w14:paraId="7326CFDC" w14:textId="77777777" w:rsidR="00EF3DFB" w:rsidRDefault="00D27C17">
            <w:pPr>
              <w:pStyle w:val="TableParagraph"/>
              <w:spacing w:before="40"/>
              <w:ind w:right="102"/>
              <w:jc w:val="right"/>
              <w:rPr>
                <w:sz w:val="20"/>
              </w:rPr>
            </w:pPr>
            <w:r>
              <w:rPr>
                <w:sz w:val="20"/>
              </w:rPr>
              <w:t>2,557</w:t>
            </w:r>
          </w:p>
        </w:tc>
        <w:tc>
          <w:tcPr>
            <w:tcW w:w="1275" w:type="dxa"/>
            <w:shd w:val="clear" w:color="auto" w:fill="CCEDFF"/>
          </w:tcPr>
          <w:p w14:paraId="7326CFDD" w14:textId="77777777" w:rsidR="00EF3DFB" w:rsidRDefault="00D27C17">
            <w:pPr>
              <w:pStyle w:val="TableParagraph"/>
              <w:spacing w:before="40"/>
              <w:ind w:right="102"/>
              <w:jc w:val="right"/>
              <w:rPr>
                <w:sz w:val="20"/>
              </w:rPr>
            </w:pPr>
            <w:r>
              <w:rPr>
                <w:sz w:val="20"/>
              </w:rPr>
              <w:t>2,956</w:t>
            </w:r>
          </w:p>
        </w:tc>
        <w:tc>
          <w:tcPr>
            <w:tcW w:w="1252" w:type="dxa"/>
            <w:shd w:val="clear" w:color="auto" w:fill="CCEDFF"/>
          </w:tcPr>
          <w:p w14:paraId="7326CFDE" w14:textId="77777777" w:rsidR="00EF3DFB" w:rsidRDefault="00D27C17">
            <w:pPr>
              <w:pStyle w:val="TableParagraph"/>
              <w:spacing w:before="40"/>
              <w:ind w:right="79"/>
              <w:jc w:val="right"/>
              <w:rPr>
                <w:sz w:val="20"/>
              </w:rPr>
            </w:pPr>
            <w:r>
              <w:rPr>
                <w:sz w:val="20"/>
              </w:rPr>
              <w:t>2,982</w:t>
            </w:r>
          </w:p>
        </w:tc>
      </w:tr>
      <w:tr w:rsidR="00EF3DFB" w14:paraId="7326CFE4" w14:textId="77777777">
        <w:trPr>
          <w:trHeight w:val="300"/>
        </w:trPr>
        <w:tc>
          <w:tcPr>
            <w:tcW w:w="4581" w:type="dxa"/>
          </w:tcPr>
          <w:p w14:paraId="7326CFE0" w14:textId="77777777" w:rsidR="00EF3DFB" w:rsidRDefault="00D27C17">
            <w:pPr>
              <w:pStyle w:val="TableParagraph"/>
              <w:spacing w:before="4"/>
              <w:ind w:left="52"/>
              <w:rPr>
                <w:sz w:val="20"/>
              </w:rPr>
            </w:pPr>
            <w:r>
              <w:rPr>
                <w:sz w:val="20"/>
              </w:rPr>
              <w:t>Outdoor and Recreation</w:t>
            </w:r>
          </w:p>
        </w:tc>
        <w:tc>
          <w:tcPr>
            <w:tcW w:w="3512" w:type="dxa"/>
          </w:tcPr>
          <w:p w14:paraId="7326CFE1" w14:textId="77777777" w:rsidR="00EF3DFB" w:rsidRDefault="00D27C17">
            <w:pPr>
              <w:pStyle w:val="TableParagraph"/>
              <w:spacing w:before="40"/>
              <w:ind w:right="102"/>
              <w:jc w:val="right"/>
              <w:rPr>
                <w:sz w:val="20"/>
              </w:rPr>
            </w:pPr>
            <w:r>
              <w:rPr>
                <w:sz w:val="20"/>
              </w:rPr>
              <w:t>1,292</w:t>
            </w:r>
          </w:p>
        </w:tc>
        <w:tc>
          <w:tcPr>
            <w:tcW w:w="1275" w:type="dxa"/>
          </w:tcPr>
          <w:p w14:paraId="7326CFE2" w14:textId="77777777" w:rsidR="00EF3DFB" w:rsidRDefault="00D27C17">
            <w:pPr>
              <w:pStyle w:val="TableParagraph"/>
              <w:spacing w:before="40"/>
              <w:ind w:right="102"/>
              <w:jc w:val="right"/>
              <w:rPr>
                <w:sz w:val="20"/>
              </w:rPr>
            </w:pPr>
            <w:r>
              <w:rPr>
                <w:sz w:val="20"/>
              </w:rPr>
              <w:t>1,413</w:t>
            </w:r>
          </w:p>
        </w:tc>
        <w:tc>
          <w:tcPr>
            <w:tcW w:w="1252" w:type="dxa"/>
          </w:tcPr>
          <w:p w14:paraId="7326CFE3" w14:textId="77777777" w:rsidR="00EF3DFB" w:rsidRDefault="00D27C17">
            <w:pPr>
              <w:pStyle w:val="TableParagraph"/>
              <w:spacing w:before="40"/>
              <w:ind w:right="79"/>
              <w:jc w:val="right"/>
              <w:rPr>
                <w:sz w:val="20"/>
              </w:rPr>
            </w:pPr>
            <w:r>
              <w:rPr>
                <w:sz w:val="20"/>
              </w:rPr>
              <w:t>1,515</w:t>
            </w:r>
          </w:p>
        </w:tc>
      </w:tr>
      <w:tr w:rsidR="00EF3DFB" w14:paraId="7326CFE9" w14:textId="77777777">
        <w:trPr>
          <w:trHeight w:val="290"/>
        </w:trPr>
        <w:tc>
          <w:tcPr>
            <w:tcW w:w="4581" w:type="dxa"/>
            <w:shd w:val="clear" w:color="auto" w:fill="CCEDFF"/>
          </w:tcPr>
          <w:p w14:paraId="7326CFE5" w14:textId="77777777" w:rsidR="00EF3DFB" w:rsidRDefault="00D27C17">
            <w:pPr>
              <w:pStyle w:val="TableParagraph"/>
              <w:spacing w:before="4"/>
              <w:ind w:left="52"/>
              <w:rPr>
                <w:sz w:val="20"/>
              </w:rPr>
            </w:pPr>
            <w:r>
              <w:rPr>
                <w:sz w:val="20"/>
              </w:rPr>
              <w:t>Other</w:t>
            </w:r>
          </w:p>
        </w:tc>
        <w:tc>
          <w:tcPr>
            <w:tcW w:w="3512" w:type="dxa"/>
            <w:tcBorders>
              <w:bottom w:val="single" w:sz="8" w:space="0" w:color="000000"/>
            </w:tcBorders>
            <w:shd w:val="clear" w:color="auto" w:fill="CCEDFF"/>
          </w:tcPr>
          <w:p w14:paraId="7326CFE6" w14:textId="77777777" w:rsidR="00EF3DFB" w:rsidRDefault="00D27C17">
            <w:pPr>
              <w:pStyle w:val="TableParagraph"/>
              <w:spacing w:before="40" w:line="230" w:lineRule="exact"/>
              <w:ind w:right="102"/>
              <w:jc w:val="right"/>
              <w:rPr>
                <w:sz w:val="20"/>
              </w:rPr>
            </w:pPr>
            <w:r>
              <w:rPr>
                <w:sz w:val="20"/>
              </w:rPr>
              <w:t>—</w:t>
            </w:r>
          </w:p>
        </w:tc>
        <w:tc>
          <w:tcPr>
            <w:tcW w:w="1275" w:type="dxa"/>
            <w:tcBorders>
              <w:bottom w:val="single" w:sz="8" w:space="0" w:color="000000"/>
            </w:tcBorders>
            <w:shd w:val="clear" w:color="auto" w:fill="CCEDFF"/>
          </w:tcPr>
          <w:p w14:paraId="7326CFE7" w14:textId="77777777" w:rsidR="00EF3DFB" w:rsidRDefault="00D27C17">
            <w:pPr>
              <w:pStyle w:val="TableParagraph"/>
              <w:spacing w:before="40" w:line="230" w:lineRule="exact"/>
              <w:ind w:right="102"/>
              <w:jc w:val="right"/>
              <w:rPr>
                <w:sz w:val="20"/>
              </w:rPr>
            </w:pPr>
            <w:r>
              <w:rPr>
                <w:sz w:val="20"/>
              </w:rPr>
              <w:t>—</w:t>
            </w:r>
          </w:p>
        </w:tc>
        <w:tc>
          <w:tcPr>
            <w:tcW w:w="1252" w:type="dxa"/>
            <w:tcBorders>
              <w:bottom w:val="single" w:sz="8" w:space="0" w:color="000000"/>
            </w:tcBorders>
            <w:shd w:val="clear" w:color="auto" w:fill="CCEDFF"/>
          </w:tcPr>
          <w:p w14:paraId="7326CFE8" w14:textId="77777777" w:rsidR="00EF3DFB" w:rsidRDefault="00D27C17">
            <w:pPr>
              <w:pStyle w:val="TableParagraph"/>
              <w:spacing w:before="40" w:line="230" w:lineRule="exact"/>
              <w:ind w:right="79"/>
              <w:jc w:val="right"/>
              <w:rPr>
                <w:sz w:val="20"/>
              </w:rPr>
            </w:pPr>
            <w:r>
              <w:rPr>
                <w:sz w:val="20"/>
              </w:rPr>
              <w:t>3</w:t>
            </w:r>
          </w:p>
        </w:tc>
      </w:tr>
      <w:tr w:rsidR="00EF3DFB" w14:paraId="7326CFEE" w14:textId="77777777">
        <w:trPr>
          <w:trHeight w:val="320"/>
        </w:trPr>
        <w:tc>
          <w:tcPr>
            <w:tcW w:w="4581" w:type="dxa"/>
          </w:tcPr>
          <w:p w14:paraId="7326CFEA" w14:textId="77777777" w:rsidR="00EF3DFB" w:rsidRDefault="00EF3DFB">
            <w:pPr>
              <w:pStyle w:val="TableParagraph"/>
              <w:rPr>
                <w:sz w:val="18"/>
              </w:rPr>
            </w:pPr>
          </w:p>
        </w:tc>
        <w:tc>
          <w:tcPr>
            <w:tcW w:w="3512" w:type="dxa"/>
            <w:tcBorders>
              <w:top w:val="single" w:sz="8" w:space="0" w:color="000000"/>
            </w:tcBorders>
          </w:tcPr>
          <w:p w14:paraId="7326CFEB" w14:textId="77777777" w:rsidR="00EF3DFB" w:rsidRDefault="00D27C17">
            <w:pPr>
              <w:pStyle w:val="TableParagraph"/>
              <w:tabs>
                <w:tab w:val="left" w:pos="615"/>
              </w:tabs>
              <w:spacing w:before="30"/>
              <w:ind w:right="102"/>
              <w:jc w:val="right"/>
              <w:rPr>
                <w:sz w:val="20"/>
              </w:rPr>
            </w:pPr>
            <w:r>
              <w:rPr>
                <w:sz w:val="20"/>
                <w:u w:val="single"/>
              </w:rPr>
              <w:t>$</w:t>
            </w:r>
            <w:r>
              <w:rPr>
                <w:sz w:val="20"/>
                <w:u w:val="single"/>
              </w:rPr>
              <w:tab/>
            </w:r>
            <w:r>
              <w:rPr>
                <w:sz w:val="20"/>
                <w:u w:val="single"/>
              </w:rPr>
              <w:t>9,385</w:t>
            </w:r>
          </w:p>
        </w:tc>
        <w:tc>
          <w:tcPr>
            <w:tcW w:w="1275" w:type="dxa"/>
            <w:tcBorders>
              <w:top w:val="single" w:sz="8" w:space="0" w:color="000000"/>
            </w:tcBorders>
          </w:tcPr>
          <w:p w14:paraId="7326CFEC" w14:textId="77777777" w:rsidR="00EF3DFB" w:rsidRDefault="00D27C17">
            <w:pPr>
              <w:pStyle w:val="TableParagraph"/>
              <w:tabs>
                <w:tab w:val="left" w:pos="615"/>
              </w:tabs>
              <w:spacing w:before="30"/>
              <w:ind w:right="102"/>
              <w:jc w:val="right"/>
              <w:rPr>
                <w:sz w:val="20"/>
              </w:rPr>
            </w:pPr>
            <w:r>
              <w:rPr>
                <w:sz w:val="20"/>
                <w:u w:val="single"/>
              </w:rPr>
              <w:t>$</w:t>
            </w:r>
            <w:r>
              <w:rPr>
                <w:sz w:val="20"/>
                <w:u w:val="single"/>
              </w:rPr>
              <w:tab/>
              <w:t>9,715</w:t>
            </w:r>
          </w:p>
        </w:tc>
        <w:tc>
          <w:tcPr>
            <w:tcW w:w="1252" w:type="dxa"/>
            <w:tcBorders>
              <w:top w:val="single" w:sz="8" w:space="0" w:color="000000"/>
            </w:tcBorders>
          </w:tcPr>
          <w:p w14:paraId="7326CFED" w14:textId="77777777" w:rsidR="00EF3DFB" w:rsidRDefault="00D27C17">
            <w:pPr>
              <w:pStyle w:val="TableParagraph"/>
              <w:tabs>
                <w:tab w:val="left" w:pos="515"/>
              </w:tabs>
              <w:spacing w:before="30"/>
              <w:ind w:right="79"/>
              <w:jc w:val="right"/>
              <w:rPr>
                <w:sz w:val="20"/>
              </w:rPr>
            </w:pPr>
            <w:r>
              <w:rPr>
                <w:sz w:val="20"/>
                <w:u w:val="single"/>
              </w:rPr>
              <w:t>$</w:t>
            </w:r>
            <w:r>
              <w:rPr>
                <w:sz w:val="20"/>
                <w:u w:val="single"/>
              </w:rPr>
              <w:tab/>
              <w:t>10,154</w:t>
            </w:r>
          </w:p>
        </w:tc>
      </w:tr>
    </w:tbl>
    <w:p w14:paraId="7326CFEF" w14:textId="77777777" w:rsidR="00EF3DFB" w:rsidRDefault="00EF3DFB">
      <w:pPr>
        <w:jc w:val="right"/>
        <w:rPr>
          <w:sz w:val="20"/>
        </w:rPr>
        <w:sectPr w:rsidR="00EF3DFB">
          <w:pgSz w:w="12240" w:h="15840"/>
          <w:pgMar w:top="60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4798"/>
        <w:gridCol w:w="2932"/>
        <w:gridCol w:w="398"/>
        <w:gridCol w:w="829"/>
        <w:gridCol w:w="448"/>
        <w:gridCol w:w="829"/>
        <w:gridCol w:w="392"/>
      </w:tblGrid>
      <w:tr w:rsidR="00EF3DFB" w14:paraId="7326CFF4" w14:textId="77777777">
        <w:trPr>
          <w:trHeight w:val="241"/>
        </w:trPr>
        <w:tc>
          <w:tcPr>
            <w:tcW w:w="4798" w:type="dxa"/>
          </w:tcPr>
          <w:p w14:paraId="7326CFF0" w14:textId="77777777" w:rsidR="00EF3DFB" w:rsidRDefault="00EF3DFB">
            <w:pPr>
              <w:pStyle w:val="TableParagraph"/>
              <w:rPr>
                <w:sz w:val="16"/>
              </w:rPr>
            </w:pPr>
          </w:p>
        </w:tc>
        <w:tc>
          <w:tcPr>
            <w:tcW w:w="3330" w:type="dxa"/>
            <w:gridSpan w:val="2"/>
          </w:tcPr>
          <w:p w14:paraId="7326CFF1" w14:textId="77777777" w:rsidR="00EF3DFB" w:rsidRDefault="00D27C17">
            <w:pPr>
              <w:pStyle w:val="TableParagraph"/>
              <w:spacing w:line="215" w:lineRule="exact"/>
              <w:ind w:right="457"/>
              <w:jc w:val="right"/>
              <w:rPr>
                <w:b/>
                <w:sz w:val="20"/>
              </w:rPr>
            </w:pPr>
            <w:r>
              <w:rPr>
                <w:b/>
                <w:sz w:val="20"/>
              </w:rPr>
              <w:t>2020</w:t>
            </w:r>
          </w:p>
        </w:tc>
        <w:tc>
          <w:tcPr>
            <w:tcW w:w="1277" w:type="dxa"/>
            <w:gridSpan w:val="2"/>
            <w:tcBorders>
              <w:bottom w:val="single" w:sz="8" w:space="0" w:color="000000"/>
            </w:tcBorders>
          </w:tcPr>
          <w:p w14:paraId="7326CFF2" w14:textId="77777777" w:rsidR="00EF3DFB" w:rsidRDefault="00D27C17">
            <w:pPr>
              <w:pStyle w:val="TableParagraph"/>
              <w:spacing w:line="215" w:lineRule="exact"/>
              <w:ind w:left="417"/>
              <w:rPr>
                <w:b/>
                <w:sz w:val="20"/>
              </w:rPr>
            </w:pPr>
            <w:r>
              <w:rPr>
                <w:b/>
                <w:sz w:val="20"/>
              </w:rPr>
              <w:t>2019</w:t>
            </w:r>
          </w:p>
        </w:tc>
        <w:tc>
          <w:tcPr>
            <w:tcW w:w="1221" w:type="dxa"/>
            <w:gridSpan w:val="2"/>
            <w:tcBorders>
              <w:bottom w:val="single" w:sz="8" w:space="0" w:color="000000"/>
            </w:tcBorders>
          </w:tcPr>
          <w:p w14:paraId="7326CFF3" w14:textId="77777777" w:rsidR="00EF3DFB" w:rsidRDefault="00D27C17">
            <w:pPr>
              <w:pStyle w:val="TableParagraph"/>
              <w:spacing w:line="215" w:lineRule="exact"/>
              <w:ind w:left="415"/>
              <w:rPr>
                <w:b/>
                <w:sz w:val="20"/>
              </w:rPr>
            </w:pPr>
            <w:r>
              <w:rPr>
                <w:b/>
                <w:sz w:val="20"/>
              </w:rPr>
              <w:t>2018</w:t>
            </w:r>
          </w:p>
        </w:tc>
      </w:tr>
      <w:tr w:rsidR="00EF3DFB" w14:paraId="7326CFF9" w14:textId="77777777">
        <w:trPr>
          <w:trHeight w:val="290"/>
        </w:trPr>
        <w:tc>
          <w:tcPr>
            <w:tcW w:w="4798" w:type="dxa"/>
            <w:shd w:val="clear" w:color="auto" w:fill="CCEDFF"/>
          </w:tcPr>
          <w:p w14:paraId="7326CFF5" w14:textId="77777777" w:rsidR="00EF3DFB" w:rsidRDefault="00D27C17">
            <w:pPr>
              <w:pStyle w:val="TableParagraph"/>
              <w:spacing w:line="215" w:lineRule="exact"/>
              <w:ind w:left="52"/>
              <w:rPr>
                <w:b/>
                <w:sz w:val="20"/>
              </w:rPr>
            </w:pPr>
            <w:r>
              <w:rPr>
                <w:b/>
                <w:sz w:val="20"/>
              </w:rPr>
              <w:t>Operating income (loss) (2)</w:t>
            </w:r>
          </w:p>
        </w:tc>
        <w:tc>
          <w:tcPr>
            <w:tcW w:w="3330" w:type="dxa"/>
            <w:gridSpan w:val="2"/>
            <w:shd w:val="clear" w:color="auto" w:fill="CCEDFF"/>
          </w:tcPr>
          <w:p w14:paraId="7326CFF6" w14:textId="77777777" w:rsidR="00EF3DFB" w:rsidRDefault="00EF3DFB">
            <w:pPr>
              <w:pStyle w:val="TableParagraph"/>
              <w:rPr>
                <w:sz w:val="20"/>
              </w:rPr>
            </w:pPr>
          </w:p>
        </w:tc>
        <w:tc>
          <w:tcPr>
            <w:tcW w:w="1277" w:type="dxa"/>
            <w:gridSpan w:val="2"/>
            <w:tcBorders>
              <w:top w:val="single" w:sz="8" w:space="0" w:color="000000"/>
            </w:tcBorders>
            <w:shd w:val="clear" w:color="auto" w:fill="CCEDFF"/>
          </w:tcPr>
          <w:p w14:paraId="7326CFF7" w14:textId="77777777" w:rsidR="00EF3DFB" w:rsidRDefault="00EF3DFB">
            <w:pPr>
              <w:pStyle w:val="TableParagraph"/>
              <w:rPr>
                <w:sz w:val="20"/>
              </w:rPr>
            </w:pPr>
          </w:p>
        </w:tc>
        <w:tc>
          <w:tcPr>
            <w:tcW w:w="1221" w:type="dxa"/>
            <w:gridSpan w:val="2"/>
            <w:tcBorders>
              <w:top w:val="single" w:sz="8" w:space="0" w:color="000000"/>
            </w:tcBorders>
            <w:shd w:val="clear" w:color="auto" w:fill="CCEDFF"/>
          </w:tcPr>
          <w:p w14:paraId="7326CFF8" w14:textId="77777777" w:rsidR="00EF3DFB" w:rsidRDefault="00EF3DFB">
            <w:pPr>
              <w:pStyle w:val="TableParagraph"/>
              <w:rPr>
                <w:sz w:val="20"/>
              </w:rPr>
            </w:pPr>
          </w:p>
        </w:tc>
      </w:tr>
      <w:tr w:rsidR="00EF3DFB" w14:paraId="7326CFFE" w14:textId="77777777">
        <w:trPr>
          <w:trHeight w:val="300"/>
        </w:trPr>
        <w:tc>
          <w:tcPr>
            <w:tcW w:w="4798" w:type="dxa"/>
          </w:tcPr>
          <w:p w14:paraId="7326CFFA" w14:textId="77777777" w:rsidR="00EF3DFB" w:rsidRDefault="00D27C17">
            <w:pPr>
              <w:pStyle w:val="TableParagraph"/>
              <w:spacing w:line="228" w:lineRule="exact"/>
              <w:ind w:left="52"/>
              <w:rPr>
                <w:sz w:val="20"/>
              </w:rPr>
            </w:pPr>
            <w:r>
              <w:rPr>
                <w:sz w:val="20"/>
              </w:rPr>
              <w:t>Appliances and Cookware</w:t>
            </w:r>
          </w:p>
        </w:tc>
        <w:tc>
          <w:tcPr>
            <w:tcW w:w="3330" w:type="dxa"/>
            <w:gridSpan w:val="2"/>
          </w:tcPr>
          <w:p w14:paraId="7326CFFB" w14:textId="77777777" w:rsidR="00EF3DFB" w:rsidRDefault="00D27C17">
            <w:pPr>
              <w:pStyle w:val="TableParagraph"/>
              <w:tabs>
                <w:tab w:val="left" w:pos="2823"/>
              </w:tabs>
              <w:spacing w:before="34"/>
              <w:ind w:left="2124"/>
              <w:rPr>
                <w:sz w:val="20"/>
              </w:rPr>
            </w:pPr>
            <w:r>
              <w:rPr>
                <w:sz w:val="20"/>
              </w:rPr>
              <w:t>$</w:t>
            </w:r>
            <w:r>
              <w:rPr>
                <w:sz w:val="20"/>
              </w:rPr>
              <w:tab/>
              <w:t>(217)</w:t>
            </w:r>
          </w:p>
        </w:tc>
        <w:tc>
          <w:tcPr>
            <w:tcW w:w="1277" w:type="dxa"/>
            <w:gridSpan w:val="2"/>
          </w:tcPr>
          <w:p w14:paraId="7326CFFC" w14:textId="77777777" w:rsidR="00EF3DFB" w:rsidRDefault="00D27C17">
            <w:pPr>
              <w:pStyle w:val="TableParagraph"/>
              <w:tabs>
                <w:tab w:val="left" w:pos="768"/>
              </w:tabs>
              <w:spacing w:before="34"/>
              <w:ind w:left="69"/>
              <w:rPr>
                <w:sz w:val="20"/>
              </w:rPr>
            </w:pPr>
            <w:r>
              <w:rPr>
                <w:sz w:val="20"/>
              </w:rPr>
              <w:t>$</w:t>
            </w:r>
            <w:r>
              <w:rPr>
                <w:sz w:val="20"/>
              </w:rPr>
              <w:tab/>
              <w:t>(535)</w:t>
            </w:r>
          </w:p>
        </w:tc>
        <w:tc>
          <w:tcPr>
            <w:tcW w:w="1221" w:type="dxa"/>
            <w:gridSpan w:val="2"/>
          </w:tcPr>
          <w:p w14:paraId="7326CFFD" w14:textId="77777777" w:rsidR="00EF3DFB" w:rsidRDefault="00D27C17">
            <w:pPr>
              <w:pStyle w:val="TableParagraph"/>
              <w:tabs>
                <w:tab w:val="left" w:pos="616"/>
              </w:tabs>
              <w:spacing w:before="34"/>
              <w:ind w:left="67"/>
              <w:rPr>
                <w:sz w:val="20"/>
              </w:rPr>
            </w:pPr>
            <w:r>
              <w:rPr>
                <w:sz w:val="20"/>
              </w:rPr>
              <w:t>$</w:t>
            </w:r>
            <w:r>
              <w:rPr>
                <w:sz w:val="20"/>
              </w:rPr>
              <w:tab/>
              <w:t>(1,596)</w:t>
            </w:r>
          </w:p>
        </w:tc>
      </w:tr>
      <w:tr w:rsidR="00EF3DFB" w14:paraId="7326D003" w14:textId="77777777">
        <w:trPr>
          <w:trHeight w:val="300"/>
        </w:trPr>
        <w:tc>
          <w:tcPr>
            <w:tcW w:w="4798" w:type="dxa"/>
            <w:shd w:val="clear" w:color="auto" w:fill="CCEDFF"/>
          </w:tcPr>
          <w:p w14:paraId="7326CFFF" w14:textId="77777777" w:rsidR="00EF3DFB" w:rsidRDefault="00D27C17">
            <w:pPr>
              <w:pStyle w:val="TableParagraph"/>
              <w:spacing w:line="228" w:lineRule="exact"/>
              <w:ind w:left="52"/>
              <w:rPr>
                <w:sz w:val="20"/>
              </w:rPr>
            </w:pPr>
            <w:r>
              <w:rPr>
                <w:sz w:val="20"/>
              </w:rPr>
              <w:t>Commercial Solutions</w:t>
            </w:r>
          </w:p>
        </w:tc>
        <w:tc>
          <w:tcPr>
            <w:tcW w:w="3330" w:type="dxa"/>
            <w:gridSpan w:val="2"/>
            <w:shd w:val="clear" w:color="auto" w:fill="CCEDFF"/>
          </w:tcPr>
          <w:p w14:paraId="7326D000" w14:textId="77777777" w:rsidR="00EF3DFB" w:rsidRDefault="00D27C17">
            <w:pPr>
              <w:pStyle w:val="TableParagraph"/>
              <w:spacing w:before="34"/>
              <w:ind w:right="72"/>
              <w:jc w:val="right"/>
              <w:rPr>
                <w:sz w:val="20"/>
              </w:rPr>
            </w:pPr>
            <w:r>
              <w:rPr>
                <w:sz w:val="20"/>
              </w:rPr>
              <w:t>(85)</w:t>
            </w:r>
          </w:p>
        </w:tc>
        <w:tc>
          <w:tcPr>
            <w:tcW w:w="1277" w:type="dxa"/>
            <w:gridSpan w:val="2"/>
            <w:shd w:val="clear" w:color="auto" w:fill="CCEDFF"/>
          </w:tcPr>
          <w:p w14:paraId="7326D001" w14:textId="77777777" w:rsidR="00EF3DFB" w:rsidRDefault="00D27C17">
            <w:pPr>
              <w:pStyle w:val="TableParagraph"/>
              <w:spacing w:before="34"/>
              <w:ind w:left="768"/>
              <w:rPr>
                <w:sz w:val="20"/>
              </w:rPr>
            </w:pPr>
            <w:r>
              <w:rPr>
                <w:sz w:val="20"/>
              </w:rPr>
              <w:t>(136)</w:t>
            </w:r>
          </w:p>
        </w:tc>
        <w:tc>
          <w:tcPr>
            <w:tcW w:w="1221" w:type="dxa"/>
            <w:gridSpan w:val="2"/>
            <w:shd w:val="clear" w:color="auto" w:fill="CCEDFF"/>
          </w:tcPr>
          <w:p w14:paraId="7326D002" w14:textId="77777777" w:rsidR="00EF3DFB" w:rsidRDefault="00D27C17">
            <w:pPr>
              <w:pStyle w:val="TableParagraph"/>
              <w:spacing w:before="34"/>
              <w:ind w:left="766"/>
              <w:rPr>
                <w:sz w:val="20"/>
              </w:rPr>
            </w:pPr>
            <w:r>
              <w:rPr>
                <w:sz w:val="20"/>
              </w:rPr>
              <w:t>(134)</w:t>
            </w:r>
          </w:p>
        </w:tc>
      </w:tr>
      <w:tr w:rsidR="00EF3DFB" w14:paraId="7326D008" w14:textId="77777777">
        <w:trPr>
          <w:trHeight w:val="300"/>
        </w:trPr>
        <w:tc>
          <w:tcPr>
            <w:tcW w:w="4798" w:type="dxa"/>
          </w:tcPr>
          <w:p w14:paraId="7326D004" w14:textId="77777777" w:rsidR="00EF3DFB" w:rsidRDefault="00D27C17">
            <w:pPr>
              <w:pStyle w:val="TableParagraph"/>
              <w:spacing w:line="228" w:lineRule="exact"/>
              <w:ind w:left="52"/>
              <w:rPr>
                <w:sz w:val="20"/>
              </w:rPr>
            </w:pPr>
            <w:r>
              <w:rPr>
                <w:sz w:val="20"/>
              </w:rPr>
              <w:t>Home Solutions</w:t>
            </w:r>
          </w:p>
        </w:tc>
        <w:tc>
          <w:tcPr>
            <w:tcW w:w="3330" w:type="dxa"/>
            <w:gridSpan w:val="2"/>
          </w:tcPr>
          <w:p w14:paraId="7326D005" w14:textId="77777777" w:rsidR="00EF3DFB" w:rsidRDefault="00D27C17">
            <w:pPr>
              <w:pStyle w:val="TableParagraph"/>
              <w:spacing w:before="34"/>
              <w:ind w:right="72"/>
              <w:jc w:val="right"/>
              <w:rPr>
                <w:sz w:val="20"/>
              </w:rPr>
            </w:pPr>
            <w:r>
              <w:rPr>
                <w:sz w:val="20"/>
              </w:rPr>
              <w:t>(12)</w:t>
            </w:r>
          </w:p>
        </w:tc>
        <w:tc>
          <w:tcPr>
            <w:tcW w:w="1277" w:type="dxa"/>
            <w:gridSpan w:val="2"/>
          </w:tcPr>
          <w:p w14:paraId="7326D006" w14:textId="77777777" w:rsidR="00EF3DFB" w:rsidRDefault="00D27C17">
            <w:pPr>
              <w:pStyle w:val="TableParagraph"/>
              <w:spacing w:before="34"/>
              <w:ind w:right="74"/>
              <w:jc w:val="right"/>
              <w:rPr>
                <w:sz w:val="20"/>
              </w:rPr>
            </w:pPr>
            <w:r>
              <w:rPr>
                <w:sz w:val="20"/>
              </w:rPr>
              <w:t>(17)</w:t>
            </w:r>
          </w:p>
        </w:tc>
        <w:tc>
          <w:tcPr>
            <w:tcW w:w="1221" w:type="dxa"/>
            <w:gridSpan w:val="2"/>
          </w:tcPr>
          <w:p w14:paraId="7326D007" w14:textId="77777777" w:rsidR="00EF3DFB" w:rsidRDefault="00D27C17">
            <w:pPr>
              <w:pStyle w:val="TableParagraph"/>
              <w:spacing w:before="34"/>
              <w:ind w:left="616"/>
              <w:rPr>
                <w:sz w:val="20"/>
              </w:rPr>
            </w:pPr>
            <w:r>
              <w:rPr>
                <w:sz w:val="20"/>
              </w:rPr>
              <w:t>(4,270)</w:t>
            </w:r>
          </w:p>
        </w:tc>
      </w:tr>
      <w:tr w:rsidR="00EF3DFB" w14:paraId="7326D00D" w14:textId="77777777">
        <w:trPr>
          <w:trHeight w:val="300"/>
        </w:trPr>
        <w:tc>
          <w:tcPr>
            <w:tcW w:w="4798" w:type="dxa"/>
            <w:shd w:val="clear" w:color="auto" w:fill="CCEDFF"/>
          </w:tcPr>
          <w:p w14:paraId="7326D009" w14:textId="77777777" w:rsidR="00EF3DFB" w:rsidRDefault="00D27C17">
            <w:pPr>
              <w:pStyle w:val="TableParagraph"/>
              <w:spacing w:line="228" w:lineRule="exact"/>
              <w:ind w:left="52"/>
              <w:rPr>
                <w:sz w:val="20"/>
              </w:rPr>
            </w:pPr>
            <w:r>
              <w:rPr>
                <w:sz w:val="20"/>
              </w:rPr>
              <w:t>Learning and Development</w:t>
            </w:r>
          </w:p>
        </w:tc>
        <w:tc>
          <w:tcPr>
            <w:tcW w:w="3330" w:type="dxa"/>
            <w:gridSpan w:val="2"/>
            <w:shd w:val="clear" w:color="auto" w:fill="CCEDFF"/>
          </w:tcPr>
          <w:p w14:paraId="7326D00A" w14:textId="77777777" w:rsidR="00EF3DFB" w:rsidRDefault="00D27C17">
            <w:pPr>
              <w:pStyle w:val="TableParagraph"/>
              <w:spacing w:before="34"/>
              <w:ind w:right="137"/>
              <w:jc w:val="right"/>
              <w:rPr>
                <w:sz w:val="20"/>
              </w:rPr>
            </w:pPr>
            <w:r>
              <w:rPr>
                <w:sz w:val="20"/>
              </w:rPr>
              <w:t>362</w:t>
            </w:r>
          </w:p>
        </w:tc>
        <w:tc>
          <w:tcPr>
            <w:tcW w:w="1277" w:type="dxa"/>
            <w:gridSpan w:val="2"/>
            <w:shd w:val="clear" w:color="auto" w:fill="CCEDFF"/>
          </w:tcPr>
          <w:p w14:paraId="7326D00B" w14:textId="77777777" w:rsidR="00EF3DFB" w:rsidRDefault="00D27C17">
            <w:pPr>
              <w:pStyle w:val="TableParagraph"/>
              <w:spacing w:before="34"/>
              <w:ind w:left="835"/>
              <w:rPr>
                <w:sz w:val="20"/>
              </w:rPr>
            </w:pPr>
            <w:r>
              <w:rPr>
                <w:sz w:val="20"/>
              </w:rPr>
              <w:t>588</w:t>
            </w:r>
          </w:p>
        </w:tc>
        <w:tc>
          <w:tcPr>
            <w:tcW w:w="1221" w:type="dxa"/>
            <w:gridSpan w:val="2"/>
            <w:shd w:val="clear" w:color="auto" w:fill="CCEDFF"/>
          </w:tcPr>
          <w:p w14:paraId="7326D00C" w14:textId="77777777" w:rsidR="00EF3DFB" w:rsidRDefault="00D27C17">
            <w:pPr>
              <w:pStyle w:val="TableParagraph"/>
              <w:spacing w:before="34"/>
              <w:ind w:right="85"/>
              <w:jc w:val="right"/>
              <w:rPr>
                <w:sz w:val="20"/>
              </w:rPr>
            </w:pPr>
            <w:r>
              <w:rPr>
                <w:sz w:val="20"/>
              </w:rPr>
              <w:t>238</w:t>
            </w:r>
          </w:p>
        </w:tc>
      </w:tr>
      <w:tr w:rsidR="00EF3DFB" w14:paraId="7326D012" w14:textId="77777777">
        <w:trPr>
          <w:trHeight w:val="300"/>
        </w:trPr>
        <w:tc>
          <w:tcPr>
            <w:tcW w:w="4798" w:type="dxa"/>
          </w:tcPr>
          <w:p w14:paraId="7326D00E" w14:textId="77777777" w:rsidR="00EF3DFB" w:rsidRDefault="00D27C17">
            <w:pPr>
              <w:pStyle w:val="TableParagraph"/>
              <w:spacing w:line="228" w:lineRule="exact"/>
              <w:ind w:left="52"/>
              <w:rPr>
                <w:sz w:val="20"/>
              </w:rPr>
            </w:pPr>
            <w:r>
              <w:rPr>
                <w:sz w:val="20"/>
              </w:rPr>
              <w:t>Outdoor and Recreation</w:t>
            </w:r>
          </w:p>
        </w:tc>
        <w:tc>
          <w:tcPr>
            <w:tcW w:w="3330" w:type="dxa"/>
            <w:gridSpan w:val="2"/>
          </w:tcPr>
          <w:p w14:paraId="7326D00F" w14:textId="77777777" w:rsidR="00EF3DFB" w:rsidRDefault="00D27C17">
            <w:pPr>
              <w:pStyle w:val="TableParagraph"/>
              <w:spacing w:before="34"/>
              <w:ind w:right="72"/>
              <w:jc w:val="right"/>
              <w:rPr>
                <w:sz w:val="20"/>
              </w:rPr>
            </w:pPr>
            <w:r>
              <w:rPr>
                <w:sz w:val="20"/>
              </w:rPr>
              <w:t>(418)</w:t>
            </w:r>
          </w:p>
        </w:tc>
        <w:tc>
          <w:tcPr>
            <w:tcW w:w="1277" w:type="dxa"/>
            <w:gridSpan w:val="2"/>
          </w:tcPr>
          <w:p w14:paraId="7326D010" w14:textId="77777777" w:rsidR="00EF3DFB" w:rsidRDefault="00D27C17">
            <w:pPr>
              <w:pStyle w:val="TableParagraph"/>
              <w:spacing w:before="34"/>
              <w:ind w:right="74"/>
              <w:jc w:val="right"/>
              <w:rPr>
                <w:sz w:val="20"/>
              </w:rPr>
            </w:pPr>
            <w:r>
              <w:rPr>
                <w:sz w:val="20"/>
              </w:rPr>
              <w:t>(64)</w:t>
            </w:r>
          </w:p>
        </w:tc>
        <w:tc>
          <w:tcPr>
            <w:tcW w:w="1221" w:type="dxa"/>
            <w:gridSpan w:val="2"/>
          </w:tcPr>
          <w:p w14:paraId="7326D011" w14:textId="77777777" w:rsidR="00EF3DFB" w:rsidRDefault="00D27C17">
            <w:pPr>
              <w:pStyle w:val="TableParagraph"/>
              <w:spacing w:before="34"/>
              <w:ind w:left="616"/>
              <w:rPr>
                <w:sz w:val="20"/>
              </w:rPr>
            </w:pPr>
            <w:r>
              <w:rPr>
                <w:sz w:val="20"/>
              </w:rPr>
              <w:t>(1,293)</w:t>
            </w:r>
          </w:p>
        </w:tc>
      </w:tr>
      <w:tr w:rsidR="00EF3DFB" w14:paraId="7326D017" w14:textId="77777777">
        <w:trPr>
          <w:trHeight w:val="300"/>
        </w:trPr>
        <w:tc>
          <w:tcPr>
            <w:tcW w:w="4798" w:type="dxa"/>
            <w:shd w:val="clear" w:color="auto" w:fill="CCEDFF"/>
          </w:tcPr>
          <w:p w14:paraId="7326D013" w14:textId="77777777" w:rsidR="00EF3DFB" w:rsidRDefault="00D27C17">
            <w:pPr>
              <w:pStyle w:val="TableParagraph"/>
              <w:spacing w:line="228" w:lineRule="exact"/>
              <w:ind w:left="52"/>
              <w:rPr>
                <w:sz w:val="20"/>
              </w:rPr>
            </w:pPr>
            <w:r>
              <w:rPr>
                <w:sz w:val="20"/>
              </w:rPr>
              <w:t>Other</w:t>
            </w:r>
          </w:p>
        </w:tc>
        <w:tc>
          <w:tcPr>
            <w:tcW w:w="3330" w:type="dxa"/>
            <w:gridSpan w:val="2"/>
            <w:shd w:val="clear" w:color="auto" w:fill="CCEDFF"/>
          </w:tcPr>
          <w:p w14:paraId="7326D014" w14:textId="77777777" w:rsidR="00EF3DFB" w:rsidRDefault="00D27C17">
            <w:pPr>
              <w:pStyle w:val="TableParagraph"/>
              <w:spacing w:before="34"/>
              <w:ind w:right="137"/>
              <w:jc w:val="right"/>
              <w:rPr>
                <w:sz w:val="20"/>
              </w:rPr>
            </w:pPr>
            <w:r>
              <w:rPr>
                <w:sz w:val="20"/>
              </w:rPr>
              <w:t>—</w:t>
            </w:r>
          </w:p>
        </w:tc>
        <w:tc>
          <w:tcPr>
            <w:tcW w:w="1277" w:type="dxa"/>
            <w:gridSpan w:val="2"/>
            <w:shd w:val="clear" w:color="auto" w:fill="CCEDFF"/>
          </w:tcPr>
          <w:p w14:paraId="7326D015" w14:textId="77777777" w:rsidR="00EF3DFB" w:rsidRDefault="00D27C17">
            <w:pPr>
              <w:pStyle w:val="TableParagraph"/>
              <w:spacing w:before="34"/>
              <w:ind w:right="139"/>
              <w:jc w:val="right"/>
              <w:rPr>
                <w:sz w:val="20"/>
              </w:rPr>
            </w:pPr>
            <w:r>
              <w:rPr>
                <w:sz w:val="20"/>
              </w:rPr>
              <w:t>—</w:t>
            </w:r>
          </w:p>
        </w:tc>
        <w:tc>
          <w:tcPr>
            <w:tcW w:w="1221" w:type="dxa"/>
            <w:gridSpan w:val="2"/>
            <w:shd w:val="clear" w:color="auto" w:fill="CCEDFF"/>
          </w:tcPr>
          <w:p w14:paraId="7326D016" w14:textId="77777777" w:rsidR="00EF3DFB" w:rsidRDefault="00D27C17">
            <w:pPr>
              <w:pStyle w:val="TableParagraph"/>
              <w:spacing w:before="34"/>
              <w:ind w:right="85"/>
              <w:jc w:val="right"/>
              <w:rPr>
                <w:sz w:val="20"/>
              </w:rPr>
            </w:pPr>
            <w:r>
              <w:rPr>
                <w:sz w:val="20"/>
              </w:rPr>
              <w:t>4</w:t>
            </w:r>
          </w:p>
        </w:tc>
      </w:tr>
      <w:tr w:rsidR="00EF3DFB" w14:paraId="7326D01C" w14:textId="77777777">
        <w:trPr>
          <w:trHeight w:val="300"/>
        </w:trPr>
        <w:tc>
          <w:tcPr>
            <w:tcW w:w="4798" w:type="dxa"/>
          </w:tcPr>
          <w:p w14:paraId="7326D018" w14:textId="77777777" w:rsidR="00EF3DFB" w:rsidRDefault="00D27C17">
            <w:pPr>
              <w:pStyle w:val="TableParagraph"/>
              <w:spacing w:line="228" w:lineRule="exact"/>
              <w:ind w:left="52"/>
              <w:rPr>
                <w:sz w:val="20"/>
              </w:rPr>
            </w:pPr>
            <w:r>
              <w:rPr>
                <w:sz w:val="20"/>
              </w:rPr>
              <w:t>Corporate</w:t>
            </w:r>
          </w:p>
        </w:tc>
        <w:tc>
          <w:tcPr>
            <w:tcW w:w="3330" w:type="dxa"/>
            <w:gridSpan w:val="2"/>
          </w:tcPr>
          <w:p w14:paraId="7326D019" w14:textId="77777777" w:rsidR="00EF3DFB" w:rsidRDefault="00D27C17">
            <w:pPr>
              <w:pStyle w:val="TableParagraph"/>
              <w:spacing w:before="34"/>
              <w:ind w:right="72"/>
              <w:jc w:val="right"/>
              <w:rPr>
                <w:sz w:val="20"/>
              </w:rPr>
            </w:pPr>
            <w:r>
              <w:rPr>
                <w:sz w:val="20"/>
              </w:rPr>
              <w:t>(243)</w:t>
            </w:r>
          </w:p>
        </w:tc>
        <w:tc>
          <w:tcPr>
            <w:tcW w:w="1277" w:type="dxa"/>
            <w:gridSpan w:val="2"/>
          </w:tcPr>
          <w:p w14:paraId="7326D01A" w14:textId="77777777" w:rsidR="00EF3DFB" w:rsidRDefault="00D27C17">
            <w:pPr>
              <w:pStyle w:val="TableParagraph"/>
              <w:spacing w:before="34"/>
              <w:ind w:left="768"/>
              <w:rPr>
                <w:sz w:val="20"/>
              </w:rPr>
            </w:pPr>
            <w:r>
              <w:rPr>
                <w:sz w:val="20"/>
              </w:rPr>
              <w:t>(291)</w:t>
            </w:r>
          </w:p>
        </w:tc>
        <w:tc>
          <w:tcPr>
            <w:tcW w:w="1221" w:type="dxa"/>
            <w:gridSpan w:val="2"/>
          </w:tcPr>
          <w:p w14:paraId="7326D01B" w14:textId="77777777" w:rsidR="00EF3DFB" w:rsidRDefault="00D27C17">
            <w:pPr>
              <w:pStyle w:val="TableParagraph"/>
              <w:spacing w:before="34"/>
              <w:ind w:left="766"/>
              <w:rPr>
                <w:sz w:val="20"/>
              </w:rPr>
            </w:pPr>
            <w:r>
              <w:rPr>
                <w:sz w:val="20"/>
              </w:rPr>
              <w:t>(416)</w:t>
            </w:r>
          </w:p>
        </w:tc>
      </w:tr>
      <w:tr w:rsidR="00EF3DFB" w14:paraId="7326D021" w14:textId="77777777">
        <w:trPr>
          <w:trHeight w:val="290"/>
        </w:trPr>
        <w:tc>
          <w:tcPr>
            <w:tcW w:w="4798" w:type="dxa"/>
            <w:shd w:val="clear" w:color="auto" w:fill="CCEDFF"/>
          </w:tcPr>
          <w:p w14:paraId="7326D01D" w14:textId="77777777" w:rsidR="00EF3DFB" w:rsidRDefault="00D27C17">
            <w:pPr>
              <w:pStyle w:val="TableParagraph"/>
              <w:spacing w:line="228" w:lineRule="exact"/>
              <w:ind w:left="52"/>
              <w:rPr>
                <w:sz w:val="20"/>
              </w:rPr>
            </w:pPr>
            <w:r>
              <w:rPr>
                <w:sz w:val="20"/>
              </w:rPr>
              <w:t>Restructuring</w:t>
            </w:r>
          </w:p>
        </w:tc>
        <w:tc>
          <w:tcPr>
            <w:tcW w:w="3330" w:type="dxa"/>
            <w:gridSpan w:val="2"/>
            <w:shd w:val="clear" w:color="auto" w:fill="CCEDFF"/>
          </w:tcPr>
          <w:p w14:paraId="7326D01E" w14:textId="77777777" w:rsidR="00EF3DFB" w:rsidRDefault="00D27C17">
            <w:pPr>
              <w:pStyle w:val="TableParagraph"/>
              <w:spacing w:before="34"/>
              <w:ind w:right="72"/>
              <w:jc w:val="right"/>
              <w:rPr>
                <w:sz w:val="20"/>
              </w:rPr>
            </w:pPr>
            <w:r>
              <w:rPr>
                <w:sz w:val="20"/>
              </w:rPr>
              <w:t>(21)</w:t>
            </w:r>
          </w:p>
        </w:tc>
        <w:tc>
          <w:tcPr>
            <w:tcW w:w="1277" w:type="dxa"/>
            <w:gridSpan w:val="2"/>
            <w:tcBorders>
              <w:bottom w:val="single" w:sz="8" w:space="0" w:color="000000"/>
            </w:tcBorders>
            <w:shd w:val="clear" w:color="auto" w:fill="CCEDFF"/>
          </w:tcPr>
          <w:p w14:paraId="7326D01F" w14:textId="77777777" w:rsidR="00EF3DFB" w:rsidRDefault="00D27C17">
            <w:pPr>
              <w:pStyle w:val="TableParagraph"/>
              <w:spacing w:before="34"/>
              <w:ind w:right="74"/>
              <w:jc w:val="right"/>
              <w:rPr>
                <w:sz w:val="20"/>
              </w:rPr>
            </w:pPr>
            <w:r>
              <w:rPr>
                <w:sz w:val="20"/>
              </w:rPr>
              <w:t>(27)</w:t>
            </w:r>
          </w:p>
        </w:tc>
        <w:tc>
          <w:tcPr>
            <w:tcW w:w="1221" w:type="dxa"/>
            <w:gridSpan w:val="2"/>
            <w:tcBorders>
              <w:bottom w:val="single" w:sz="8" w:space="0" w:color="000000"/>
            </w:tcBorders>
            <w:shd w:val="clear" w:color="auto" w:fill="CCEDFF"/>
          </w:tcPr>
          <w:p w14:paraId="7326D020" w14:textId="77777777" w:rsidR="00EF3DFB" w:rsidRDefault="00D27C17">
            <w:pPr>
              <w:pStyle w:val="TableParagraph"/>
              <w:spacing w:before="34"/>
              <w:ind w:right="20"/>
              <w:jc w:val="right"/>
              <w:rPr>
                <w:sz w:val="20"/>
              </w:rPr>
            </w:pPr>
            <w:r>
              <w:rPr>
                <w:sz w:val="20"/>
              </w:rPr>
              <w:t>(87)</w:t>
            </w:r>
          </w:p>
        </w:tc>
      </w:tr>
      <w:tr w:rsidR="00EF3DFB" w14:paraId="7326D026" w14:textId="77777777">
        <w:trPr>
          <w:trHeight w:val="521"/>
        </w:trPr>
        <w:tc>
          <w:tcPr>
            <w:tcW w:w="4798" w:type="dxa"/>
          </w:tcPr>
          <w:p w14:paraId="7326D022" w14:textId="77777777" w:rsidR="00EF3DFB" w:rsidRDefault="00EF3DFB">
            <w:pPr>
              <w:pStyle w:val="TableParagraph"/>
              <w:rPr>
                <w:sz w:val="20"/>
              </w:rPr>
            </w:pPr>
          </w:p>
        </w:tc>
        <w:tc>
          <w:tcPr>
            <w:tcW w:w="3330" w:type="dxa"/>
            <w:gridSpan w:val="2"/>
          </w:tcPr>
          <w:p w14:paraId="7326D023" w14:textId="77777777" w:rsidR="00EF3DFB" w:rsidRDefault="00D27C17">
            <w:pPr>
              <w:pStyle w:val="TableParagraph"/>
              <w:tabs>
                <w:tab w:val="left" w:pos="2823"/>
              </w:tabs>
              <w:spacing w:before="24"/>
              <w:ind w:left="2124"/>
              <w:rPr>
                <w:sz w:val="20"/>
              </w:rPr>
            </w:pPr>
            <w:r>
              <w:rPr>
                <w:sz w:val="20"/>
                <w:u w:val="single"/>
              </w:rPr>
              <w:t>$</w:t>
            </w:r>
            <w:r>
              <w:rPr>
                <w:sz w:val="20"/>
                <w:u w:val="single"/>
              </w:rPr>
              <w:tab/>
              <w:t>(634)</w:t>
            </w:r>
          </w:p>
        </w:tc>
        <w:tc>
          <w:tcPr>
            <w:tcW w:w="1277" w:type="dxa"/>
            <w:gridSpan w:val="2"/>
            <w:tcBorders>
              <w:top w:val="single" w:sz="8" w:space="0" w:color="000000"/>
            </w:tcBorders>
          </w:tcPr>
          <w:p w14:paraId="7326D024" w14:textId="77777777" w:rsidR="00EF3DFB" w:rsidRDefault="00D27C17">
            <w:pPr>
              <w:pStyle w:val="TableParagraph"/>
              <w:tabs>
                <w:tab w:val="left" w:pos="768"/>
              </w:tabs>
              <w:spacing w:before="24"/>
              <w:ind w:left="69"/>
              <w:rPr>
                <w:sz w:val="20"/>
              </w:rPr>
            </w:pPr>
            <w:r>
              <w:rPr>
                <w:sz w:val="20"/>
                <w:u w:val="single"/>
              </w:rPr>
              <w:t>$</w:t>
            </w:r>
            <w:r>
              <w:rPr>
                <w:sz w:val="20"/>
                <w:u w:val="single"/>
              </w:rPr>
              <w:tab/>
              <w:t>(482)</w:t>
            </w:r>
          </w:p>
        </w:tc>
        <w:tc>
          <w:tcPr>
            <w:tcW w:w="1221" w:type="dxa"/>
            <w:gridSpan w:val="2"/>
            <w:tcBorders>
              <w:top w:val="single" w:sz="8" w:space="0" w:color="000000"/>
            </w:tcBorders>
          </w:tcPr>
          <w:p w14:paraId="7326D025" w14:textId="77777777" w:rsidR="00EF3DFB" w:rsidRDefault="00D27C17">
            <w:pPr>
              <w:pStyle w:val="TableParagraph"/>
              <w:tabs>
                <w:tab w:val="left" w:pos="616"/>
              </w:tabs>
              <w:spacing w:before="24"/>
              <w:ind w:left="67"/>
              <w:rPr>
                <w:sz w:val="20"/>
              </w:rPr>
            </w:pPr>
            <w:r>
              <w:rPr>
                <w:sz w:val="20"/>
                <w:u w:val="single"/>
              </w:rPr>
              <w:t>$</w:t>
            </w:r>
            <w:r>
              <w:rPr>
                <w:sz w:val="20"/>
                <w:u w:val="single"/>
              </w:rPr>
              <w:tab/>
              <w:t>(7,554)</w:t>
            </w:r>
          </w:p>
        </w:tc>
      </w:tr>
      <w:tr w:rsidR="00EF3DFB" w14:paraId="7326D02E" w14:textId="77777777">
        <w:trPr>
          <w:trHeight w:val="443"/>
        </w:trPr>
        <w:tc>
          <w:tcPr>
            <w:tcW w:w="4798" w:type="dxa"/>
          </w:tcPr>
          <w:p w14:paraId="7326D027" w14:textId="77777777" w:rsidR="00EF3DFB" w:rsidRDefault="00EF3DFB">
            <w:pPr>
              <w:pStyle w:val="TableParagraph"/>
              <w:rPr>
                <w:sz w:val="20"/>
              </w:rPr>
            </w:pPr>
          </w:p>
        </w:tc>
        <w:tc>
          <w:tcPr>
            <w:tcW w:w="2932" w:type="dxa"/>
            <w:tcBorders>
              <w:bottom w:val="single" w:sz="8" w:space="0" w:color="000000"/>
            </w:tcBorders>
          </w:tcPr>
          <w:p w14:paraId="7326D028" w14:textId="77777777" w:rsidR="00EF3DFB" w:rsidRDefault="00D27C17">
            <w:pPr>
              <w:pStyle w:val="TableParagraph"/>
              <w:spacing w:before="187"/>
              <w:ind w:right="59"/>
              <w:jc w:val="right"/>
              <w:rPr>
                <w:b/>
                <w:sz w:val="20"/>
              </w:rPr>
            </w:pPr>
            <w:r>
              <w:rPr>
                <w:b/>
                <w:sz w:val="20"/>
              </w:rPr>
              <w:t>2020</w:t>
            </w:r>
          </w:p>
        </w:tc>
        <w:tc>
          <w:tcPr>
            <w:tcW w:w="398" w:type="dxa"/>
            <w:tcBorders>
              <w:bottom w:val="single" w:sz="8" w:space="0" w:color="000000"/>
            </w:tcBorders>
          </w:tcPr>
          <w:p w14:paraId="7326D029" w14:textId="77777777" w:rsidR="00EF3DFB" w:rsidRDefault="00EF3DFB">
            <w:pPr>
              <w:pStyle w:val="TableParagraph"/>
              <w:rPr>
                <w:sz w:val="20"/>
              </w:rPr>
            </w:pPr>
          </w:p>
        </w:tc>
        <w:tc>
          <w:tcPr>
            <w:tcW w:w="829" w:type="dxa"/>
            <w:tcBorders>
              <w:bottom w:val="single" w:sz="8" w:space="0" w:color="000000"/>
            </w:tcBorders>
          </w:tcPr>
          <w:p w14:paraId="7326D02A" w14:textId="77777777" w:rsidR="00EF3DFB" w:rsidRDefault="00D27C17">
            <w:pPr>
              <w:pStyle w:val="TableParagraph"/>
              <w:spacing w:before="187"/>
              <w:ind w:left="417"/>
              <w:rPr>
                <w:b/>
                <w:sz w:val="20"/>
              </w:rPr>
            </w:pPr>
            <w:r>
              <w:rPr>
                <w:b/>
                <w:sz w:val="20"/>
              </w:rPr>
              <w:t>2019</w:t>
            </w:r>
          </w:p>
        </w:tc>
        <w:tc>
          <w:tcPr>
            <w:tcW w:w="448" w:type="dxa"/>
            <w:tcBorders>
              <w:bottom w:val="single" w:sz="8" w:space="0" w:color="000000"/>
            </w:tcBorders>
          </w:tcPr>
          <w:p w14:paraId="7326D02B" w14:textId="77777777" w:rsidR="00EF3DFB" w:rsidRDefault="00EF3DFB">
            <w:pPr>
              <w:pStyle w:val="TableParagraph"/>
              <w:rPr>
                <w:sz w:val="20"/>
              </w:rPr>
            </w:pPr>
          </w:p>
        </w:tc>
        <w:tc>
          <w:tcPr>
            <w:tcW w:w="829" w:type="dxa"/>
            <w:tcBorders>
              <w:bottom w:val="single" w:sz="8" w:space="0" w:color="000000"/>
            </w:tcBorders>
          </w:tcPr>
          <w:p w14:paraId="7326D02C" w14:textId="77777777" w:rsidR="00EF3DFB" w:rsidRDefault="00D27C17">
            <w:pPr>
              <w:pStyle w:val="TableParagraph"/>
              <w:spacing w:before="187"/>
              <w:ind w:left="415"/>
              <w:rPr>
                <w:b/>
                <w:sz w:val="20"/>
              </w:rPr>
            </w:pPr>
            <w:r>
              <w:rPr>
                <w:b/>
                <w:sz w:val="20"/>
              </w:rPr>
              <w:t>2018</w:t>
            </w:r>
          </w:p>
        </w:tc>
        <w:tc>
          <w:tcPr>
            <w:tcW w:w="392" w:type="dxa"/>
            <w:tcBorders>
              <w:bottom w:val="single" w:sz="8" w:space="0" w:color="000000"/>
            </w:tcBorders>
          </w:tcPr>
          <w:p w14:paraId="7326D02D" w14:textId="77777777" w:rsidR="00EF3DFB" w:rsidRDefault="00EF3DFB">
            <w:pPr>
              <w:pStyle w:val="TableParagraph"/>
              <w:rPr>
                <w:sz w:val="20"/>
              </w:rPr>
            </w:pPr>
          </w:p>
        </w:tc>
      </w:tr>
      <w:tr w:rsidR="00EF3DFB" w14:paraId="7326D036" w14:textId="77777777">
        <w:trPr>
          <w:trHeight w:val="290"/>
        </w:trPr>
        <w:tc>
          <w:tcPr>
            <w:tcW w:w="4798" w:type="dxa"/>
            <w:shd w:val="clear" w:color="auto" w:fill="CCEDFF"/>
          </w:tcPr>
          <w:p w14:paraId="7326D02F" w14:textId="77777777" w:rsidR="00EF3DFB" w:rsidRDefault="00D27C17">
            <w:pPr>
              <w:pStyle w:val="TableParagraph"/>
              <w:spacing w:line="215" w:lineRule="exact"/>
              <w:ind w:left="52"/>
              <w:rPr>
                <w:b/>
                <w:sz w:val="20"/>
              </w:rPr>
            </w:pPr>
            <w:r>
              <w:rPr>
                <w:b/>
                <w:sz w:val="20"/>
              </w:rPr>
              <w:t>Depreciation and amortization</w:t>
            </w:r>
          </w:p>
        </w:tc>
        <w:tc>
          <w:tcPr>
            <w:tcW w:w="2932" w:type="dxa"/>
            <w:tcBorders>
              <w:top w:val="single" w:sz="8" w:space="0" w:color="000000"/>
            </w:tcBorders>
            <w:shd w:val="clear" w:color="auto" w:fill="CCEDFF"/>
          </w:tcPr>
          <w:p w14:paraId="7326D030" w14:textId="77777777" w:rsidR="00EF3DFB" w:rsidRDefault="00EF3DFB">
            <w:pPr>
              <w:pStyle w:val="TableParagraph"/>
              <w:rPr>
                <w:sz w:val="20"/>
              </w:rPr>
            </w:pPr>
          </w:p>
        </w:tc>
        <w:tc>
          <w:tcPr>
            <w:tcW w:w="398" w:type="dxa"/>
            <w:tcBorders>
              <w:top w:val="single" w:sz="8" w:space="0" w:color="000000"/>
            </w:tcBorders>
            <w:shd w:val="clear" w:color="auto" w:fill="CCEDFF"/>
          </w:tcPr>
          <w:p w14:paraId="7326D031" w14:textId="77777777" w:rsidR="00EF3DFB" w:rsidRDefault="00EF3DFB">
            <w:pPr>
              <w:pStyle w:val="TableParagraph"/>
              <w:rPr>
                <w:sz w:val="20"/>
              </w:rPr>
            </w:pPr>
          </w:p>
        </w:tc>
        <w:tc>
          <w:tcPr>
            <w:tcW w:w="829" w:type="dxa"/>
            <w:tcBorders>
              <w:top w:val="single" w:sz="8" w:space="0" w:color="000000"/>
            </w:tcBorders>
            <w:shd w:val="clear" w:color="auto" w:fill="CCEDFF"/>
          </w:tcPr>
          <w:p w14:paraId="7326D032" w14:textId="77777777" w:rsidR="00EF3DFB" w:rsidRDefault="00EF3DFB">
            <w:pPr>
              <w:pStyle w:val="TableParagraph"/>
              <w:rPr>
                <w:sz w:val="20"/>
              </w:rPr>
            </w:pPr>
          </w:p>
        </w:tc>
        <w:tc>
          <w:tcPr>
            <w:tcW w:w="448" w:type="dxa"/>
            <w:tcBorders>
              <w:top w:val="single" w:sz="8" w:space="0" w:color="000000"/>
            </w:tcBorders>
            <w:shd w:val="clear" w:color="auto" w:fill="CCEDFF"/>
          </w:tcPr>
          <w:p w14:paraId="7326D033" w14:textId="77777777" w:rsidR="00EF3DFB" w:rsidRDefault="00EF3DFB">
            <w:pPr>
              <w:pStyle w:val="TableParagraph"/>
              <w:rPr>
                <w:sz w:val="20"/>
              </w:rPr>
            </w:pPr>
          </w:p>
        </w:tc>
        <w:tc>
          <w:tcPr>
            <w:tcW w:w="829" w:type="dxa"/>
            <w:tcBorders>
              <w:top w:val="single" w:sz="8" w:space="0" w:color="000000"/>
            </w:tcBorders>
            <w:shd w:val="clear" w:color="auto" w:fill="CCEDFF"/>
          </w:tcPr>
          <w:p w14:paraId="7326D034" w14:textId="77777777" w:rsidR="00EF3DFB" w:rsidRDefault="00EF3DFB">
            <w:pPr>
              <w:pStyle w:val="TableParagraph"/>
              <w:rPr>
                <w:sz w:val="20"/>
              </w:rPr>
            </w:pPr>
          </w:p>
        </w:tc>
        <w:tc>
          <w:tcPr>
            <w:tcW w:w="392" w:type="dxa"/>
            <w:tcBorders>
              <w:top w:val="single" w:sz="8" w:space="0" w:color="000000"/>
            </w:tcBorders>
            <w:shd w:val="clear" w:color="auto" w:fill="CCEDFF"/>
          </w:tcPr>
          <w:p w14:paraId="7326D035" w14:textId="77777777" w:rsidR="00EF3DFB" w:rsidRDefault="00EF3DFB">
            <w:pPr>
              <w:pStyle w:val="TableParagraph"/>
              <w:rPr>
                <w:sz w:val="20"/>
              </w:rPr>
            </w:pPr>
          </w:p>
        </w:tc>
      </w:tr>
      <w:tr w:rsidR="00EF3DFB" w14:paraId="7326D03E" w14:textId="77777777">
        <w:trPr>
          <w:trHeight w:val="300"/>
        </w:trPr>
        <w:tc>
          <w:tcPr>
            <w:tcW w:w="4798" w:type="dxa"/>
          </w:tcPr>
          <w:p w14:paraId="7326D037" w14:textId="77777777" w:rsidR="00EF3DFB" w:rsidRDefault="00D27C17">
            <w:pPr>
              <w:pStyle w:val="TableParagraph"/>
              <w:spacing w:line="228" w:lineRule="exact"/>
              <w:ind w:left="52"/>
              <w:rPr>
                <w:sz w:val="20"/>
              </w:rPr>
            </w:pPr>
            <w:r>
              <w:rPr>
                <w:sz w:val="20"/>
              </w:rPr>
              <w:t>Appliances and Cookware</w:t>
            </w:r>
          </w:p>
        </w:tc>
        <w:tc>
          <w:tcPr>
            <w:tcW w:w="2932" w:type="dxa"/>
          </w:tcPr>
          <w:p w14:paraId="7326D038" w14:textId="77777777" w:rsidR="00EF3DFB" w:rsidRDefault="00D27C17">
            <w:pPr>
              <w:pStyle w:val="TableParagraph"/>
              <w:spacing w:before="34"/>
              <w:ind w:right="705"/>
              <w:jc w:val="right"/>
              <w:rPr>
                <w:sz w:val="20"/>
              </w:rPr>
            </w:pPr>
            <w:r>
              <w:rPr>
                <w:sz w:val="20"/>
              </w:rPr>
              <w:t>$</w:t>
            </w:r>
          </w:p>
        </w:tc>
        <w:tc>
          <w:tcPr>
            <w:tcW w:w="398" w:type="dxa"/>
          </w:tcPr>
          <w:p w14:paraId="7326D039" w14:textId="77777777" w:rsidR="00EF3DFB" w:rsidRDefault="00D27C17">
            <w:pPr>
              <w:pStyle w:val="TableParagraph"/>
              <w:spacing w:before="34"/>
              <w:ind w:left="58"/>
              <w:rPr>
                <w:sz w:val="20"/>
              </w:rPr>
            </w:pPr>
            <w:r>
              <w:rPr>
                <w:sz w:val="20"/>
              </w:rPr>
              <w:t>21</w:t>
            </w:r>
          </w:p>
        </w:tc>
        <w:tc>
          <w:tcPr>
            <w:tcW w:w="829" w:type="dxa"/>
          </w:tcPr>
          <w:p w14:paraId="7326D03A" w14:textId="77777777" w:rsidR="00EF3DFB" w:rsidRDefault="00D27C17">
            <w:pPr>
              <w:pStyle w:val="TableParagraph"/>
              <w:spacing w:before="34"/>
              <w:ind w:left="69"/>
              <w:rPr>
                <w:sz w:val="20"/>
              </w:rPr>
            </w:pPr>
            <w:r>
              <w:rPr>
                <w:sz w:val="20"/>
              </w:rPr>
              <w:t>$</w:t>
            </w:r>
          </w:p>
        </w:tc>
        <w:tc>
          <w:tcPr>
            <w:tcW w:w="448" w:type="dxa"/>
          </w:tcPr>
          <w:p w14:paraId="7326D03B" w14:textId="77777777" w:rsidR="00EF3DFB" w:rsidRDefault="00D27C17">
            <w:pPr>
              <w:pStyle w:val="TableParagraph"/>
              <w:spacing w:before="34"/>
              <w:ind w:right="139"/>
              <w:jc w:val="right"/>
              <w:rPr>
                <w:sz w:val="20"/>
              </w:rPr>
            </w:pPr>
            <w:r>
              <w:rPr>
                <w:sz w:val="20"/>
              </w:rPr>
              <w:t>23</w:t>
            </w:r>
          </w:p>
        </w:tc>
        <w:tc>
          <w:tcPr>
            <w:tcW w:w="829" w:type="dxa"/>
          </w:tcPr>
          <w:p w14:paraId="7326D03C" w14:textId="77777777" w:rsidR="00EF3DFB" w:rsidRDefault="00D27C17">
            <w:pPr>
              <w:pStyle w:val="TableParagraph"/>
              <w:spacing w:before="34"/>
              <w:ind w:left="67"/>
              <w:rPr>
                <w:sz w:val="20"/>
              </w:rPr>
            </w:pPr>
            <w:r>
              <w:rPr>
                <w:sz w:val="20"/>
              </w:rPr>
              <w:t>$</w:t>
            </w:r>
          </w:p>
        </w:tc>
        <w:tc>
          <w:tcPr>
            <w:tcW w:w="392" w:type="dxa"/>
          </w:tcPr>
          <w:p w14:paraId="7326D03D" w14:textId="77777777" w:rsidR="00EF3DFB" w:rsidRDefault="00D27C17">
            <w:pPr>
              <w:pStyle w:val="TableParagraph"/>
              <w:spacing w:before="34"/>
              <w:ind w:right="85"/>
              <w:jc w:val="right"/>
              <w:rPr>
                <w:sz w:val="20"/>
              </w:rPr>
            </w:pPr>
            <w:r>
              <w:rPr>
                <w:sz w:val="20"/>
              </w:rPr>
              <w:t>23</w:t>
            </w:r>
          </w:p>
        </w:tc>
      </w:tr>
      <w:tr w:rsidR="00EF3DFB" w14:paraId="7326D046" w14:textId="77777777">
        <w:trPr>
          <w:trHeight w:val="300"/>
        </w:trPr>
        <w:tc>
          <w:tcPr>
            <w:tcW w:w="4798" w:type="dxa"/>
            <w:shd w:val="clear" w:color="auto" w:fill="CCEDFF"/>
          </w:tcPr>
          <w:p w14:paraId="7326D03F" w14:textId="77777777" w:rsidR="00EF3DFB" w:rsidRDefault="00D27C17">
            <w:pPr>
              <w:pStyle w:val="TableParagraph"/>
              <w:spacing w:line="228" w:lineRule="exact"/>
              <w:ind w:left="52"/>
              <w:rPr>
                <w:sz w:val="20"/>
              </w:rPr>
            </w:pPr>
            <w:r>
              <w:rPr>
                <w:sz w:val="20"/>
              </w:rPr>
              <w:t>Commercial Solutions</w:t>
            </w:r>
          </w:p>
        </w:tc>
        <w:tc>
          <w:tcPr>
            <w:tcW w:w="2932" w:type="dxa"/>
            <w:shd w:val="clear" w:color="auto" w:fill="CCEDFF"/>
          </w:tcPr>
          <w:p w14:paraId="7326D040" w14:textId="77777777" w:rsidR="00EF3DFB" w:rsidRDefault="00EF3DFB">
            <w:pPr>
              <w:pStyle w:val="TableParagraph"/>
              <w:rPr>
                <w:sz w:val="20"/>
              </w:rPr>
            </w:pPr>
          </w:p>
        </w:tc>
        <w:tc>
          <w:tcPr>
            <w:tcW w:w="398" w:type="dxa"/>
            <w:shd w:val="clear" w:color="auto" w:fill="CCEDFF"/>
          </w:tcPr>
          <w:p w14:paraId="7326D041" w14:textId="77777777" w:rsidR="00EF3DFB" w:rsidRDefault="00D27C17">
            <w:pPr>
              <w:pStyle w:val="TableParagraph"/>
              <w:spacing w:before="34"/>
              <w:ind w:left="58"/>
              <w:rPr>
                <w:sz w:val="20"/>
              </w:rPr>
            </w:pPr>
            <w:r>
              <w:rPr>
                <w:sz w:val="20"/>
              </w:rPr>
              <w:t>57</w:t>
            </w:r>
          </w:p>
        </w:tc>
        <w:tc>
          <w:tcPr>
            <w:tcW w:w="829" w:type="dxa"/>
            <w:shd w:val="clear" w:color="auto" w:fill="CCEDFF"/>
          </w:tcPr>
          <w:p w14:paraId="7326D042" w14:textId="77777777" w:rsidR="00EF3DFB" w:rsidRDefault="00EF3DFB">
            <w:pPr>
              <w:pStyle w:val="TableParagraph"/>
              <w:rPr>
                <w:sz w:val="20"/>
              </w:rPr>
            </w:pPr>
          </w:p>
        </w:tc>
        <w:tc>
          <w:tcPr>
            <w:tcW w:w="448" w:type="dxa"/>
            <w:shd w:val="clear" w:color="auto" w:fill="CCEDFF"/>
          </w:tcPr>
          <w:p w14:paraId="7326D043" w14:textId="77777777" w:rsidR="00EF3DFB" w:rsidRDefault="00D27C17">
            <w:pPr>
              <w:pStyle w:val="TableParagraph"/>
              <w:spacing w:before="34"/>
              <w:ind w:right="139"/>
              <w:jc w:val="right"/>
              <w:rPr>
                <w:sz w:val="20"/>
              </w:rPr>
            </w:pPr>
            <w:r>
              <w:rPr>
                <w:sz w:val="20"/>
              </w:rPr>
              <w:t>94</w:t>
            </w:r>
          </w:p>
        </w:tc>
        <w:tc>
          <w:tcPr>
            <w:tcW w:w="829" w:type="dxa"/>
            <w:shd w:val="clear" w:color="auto" w:fill="CCEDFF"/>
          </w:tcPr>
          <w:p w14:paraId="7326D044" w14:textId="77777777" w:rsidR="00EF3DFB" w:rsidRDefault="00EF3DFB">
            <w:pPr>
              <w:pStyle w:val="TableParagraph"/>
              <w:rPr>
                <w:sz w:val="20"/>
              </w:rPr>
            </w:pPr>
          </w:p>
        </w:tc>
        <w:tc>
          <w:tcPr>
            <w:tcW w:w="392" w:type="dxa"/>
            <w:shd w:val="clear" w:color="auto" w:fill="CCEDFF"/>
          </w:tcPr>
          <w:p w14:paraId="7326D045" w14:textId="77777777" w:rsidR="00EF3DFB" w:rsidRDefault="00D27C17">
            <w:pPr>
              <w:pStyle w:val="TableParagraph"/>
              <w:spacing w:before="34"/>
              <w:ind w:right="85"/>
              <w:jc w:val="right"/>
              <w:rPr>
                <w:sz w:val="20"/>
              </w:rPr>
            </w:pPr>
            <w:r>
              <w:rPr>
                <w:sz w:val="20"/>
              </w:rPr>
              <w:t>31</w:t>
            </w:r>
          </w:p>
        </w:tc>
      </w:tr>
      <w:tr w:rsidR="00EF3DFB" w14:paraId="7326D04E" w14:textId="77777777">
        <w:trPr>
          <w:trHeight w:val="300"/>
        </w:trPr>
        <w:tc>
          <w:tcPr>
            <w:tcW w:w="4798" w:type="dxa"/>
          </w:tcPr>
          <w:p w14:paraId="7326D047" w14:textId="77777777" w:rsidR="00EF3DFB" w:rsidRDefault="00D27C17">
            <w:pPr>
              <w:pStyle w:val="TableParagraph"/>
              <w:spacing w:line="228" w:lineRule="exact"/>
              <w:ind w:left="52"/>
              <w:rPr>
                <w:sz w:val="20"/>
              </w:rPr>
            </w:pPr>
            <w:r>
              <w:rPr>
                <w:sz w:val="20"/>
              </w:rPr>
              <w:t>Home Solutions</w:t>
            </w:r>
          </w:p>
        </w:tc>
        <w:tc>
          <w:tcPr>
            <w:tcW w:w="2932" w:type="dxa"/>
          </w:tcPr>
          <w:p w14:paraId="7326D048" w14:textId="77777777" w:rsidR="00EF3DFB" w:rsidRDefault="00EF3DFB">
            <w:pPr>
              <w:pStyle w:val="TableParagraph"/>
              <w:rPr>
                <w:sz w:val="20"/>
              </w:rPr>
            </w:pPr>
          </w:p>
        </w:tc>
        <w:tc>
          <w:tcPr>
            <w:tcW w:w="398" w:type="dxa"/>
          </w:tcPr>
          <w:p w14:paraId="7326D049" w14:textId="77777777" w:rsidR="00EF3DFB" w:rsidRDefault="00D27C17">
            <w:pPr>
              <w:pStyle w:val="TableParagraph"/>
              <w:spacing w:before="34"/>
              <w:ind w:left="58"/>
              <w:rPr>
                <w:sz w:val="20"/>
              </w:rPr>
            </w:pPr>
            <w:r>
              <w:rPr>
                <w:sz w:val="20"/>
              </w:rPr>
              <w:t>92</w:t>
            </w:r>
          </w:p>
        </w:tc>
        <w:tc>
          <w:tcPr>
            <w:tcW w:w="829" w:type="dxa"/>
          </w:tcPr>
          <w:p w14:paraId="7326D04A" w14:textId="77777777" w:rsidR="00EF3DFB" w:rsidRDefault="00EF3DFB">
            <w:pPr>
              <w:pStyle w:val="TableParagraph"/>
              <w:rPr>
                <w:sz w:val="20"/>
              </w:rPr>
            </w:pPr>
          </w:p>
        </w:tc>
        <w:tc>
          <w:tcPr>
            <w:tcW w:w="448" w:type="dxa"/>
          </w:tcPr>
          <w:p w14:paraId="7326D04B" w14:textId="77777777" w:rsidR="00EF3DFB" w:rsidRDefault="00D27C17">
            <w:pPr>
              <w:pStyle w:val="TableParagraph"/>
              <w:spacing w:before="34"/>
              <w:ind w:right="139"/>
              <w:jc w:val="right"/>
              <w:rPr>
                <w:sz w:val="20"/>
              </w:rPr>
            </w:pPr>
            <w:r>
              <w:rPr>
                <w:sz w:val="20"/>
              </w:rPr>
              <w:t>89</w:t>
            </w:r>
          </w:p>
        </w:tc>
        <w:tc>
          <w:tcPr>
            <w:tcW w:w="829" w:type="dxa"/>
          </w:tcPr>
          <w:p w14:paraId="7326D04C" w14:textId="77777777" w:rsidR="00EF3DFB" w:rsidRDefault="00EF3DFB">
            <w:pPr>
              <w:pStyle w:val="TableParagraph"/>
              <w:rPr>
                <w:sz w:val="20"/>
              </w:rPr>
            </w:pPr>
          </w:p>
        </w:tc>
        <w:tc>
          <w:tcPr>
            <w:tcW w:w="392" w:type="dxa"/>
          </w:tcPr>
          <w:p w14:paraId="7326D04D" w14:textId="77777777" w:rsidR="00EF3DFB" w:rsidRDefault="00D27C17">
            <w:pPr>
              <w:pStyle w:val="TableParagraph"/>
              <w:spacing w:before="34"/>
              <w:ind w:right="85"/>
              <w:jc w:val="right"/>
              <w:rPr>
                <w:sz w:val="20"/>
              </w:rPr>
            </w:pPr>
            <w:r>
              <w:rPr>
                <w:sz w:val="20"/>
              </w:rPr>
              <w:t>82</w:t>
            </w:r>
          </w:p>
        </w:tc>
      </w:tr>
      <w:tr w:rsidR="00EF3DFB" w14:paraId="7326D056" w14:textId="77777777">
        <w:trPr>
          <w:trHeight w:val="300"/>
        </w:trPr>
        <w:tc>
          <w:tcPr>
            <w:tcW w:w="4798" w:type="dxa"/>
            <w:shd w:val="clear" w:color="auto" w:fill="CCEDFF"/>
          </w:tcPr>
          <w:p w14:paraId="7326D04F" w14:textId="77777777" w:rsidR="00EF3DFB" w:rsidRDefault="00D27C17">
            <w:pPr>
              <w:pStyle w:val="TableParagraph"/>
              <w:spacing w:line="228" w:lineRule="exact"/>
              <w:ind w:left="52"/>
              <w:rPr>
                <w:sz w:val="20"/>
              </w:rPr>
            </w:pPr>
            <w:r>
              <w:rPr>
                <w:sz w:val="20"/>
              </w:rPr>
              <w:t>Learning and Development</w:t>
            </w:r>
          </w:p>
        </w:tc>
        <w:tc>
          <w:tcPr>
            <w:tcW w:w="2932" w:type="dxa"/>
            <w:shd w:val="clear" w:color="auto" w:fill="CCEDFF"/>
          </w:tcPr>
          <w:p w14:paraId="7326D050" w14:textId="77777777" w:rsidR="00EF3DFB" w:rsidRDefault="00EF3DFB">
            <w:pPr>
              <w:pStyle w:val="TableParagraph"/>
              <w:rPr>
                <w:sz w:val="20"/>
              </w:rPr>
            </w:pPr>
          </w:p>
        </w:tc>
        <w:tc>
          <w:tcPr>
            <w:tcW w:w="398" w:type="dxa"/>
            <w:shd w:val="clear" w:color="auto" w:fill="CCEDFF"/>
          </w:tcPr>
          <w:p w14:paraId="7326D051" w14:textId="77777777" w:rsidR="00EF3DFB" w:rsidRDefault="00D27C17">
            <w:pPr>
              <w:pStyle w:val="TableParagraph"/>
              <w:spacing w:before="34"/>
              <w:ind w:left="58"/>
              <w:rPr>
                <w:sz w:val="20"/>
              </w:rPr>
            </w:pPr>
            <w:r>
              <w:rPr>
                <w:sz w:val="20"/>
              </w:rPr>
              <w:t>64</w:t>
            </w:r>
          </w:p>
        </w:tc>
        <w:tc>
          <w:tcPr>
            <w:tcW w:w="829" w:type="dxa"/>
            <w:shd w:val="clear" w:color="auto" w:fill="CCEDFF"/>
          </w:tcPr>
          <w:p w14:paraId="7326D052" w14:textId="77777777" w:rsidR="00EF3DFB" w:rsidRDefault="00EF3DFB">
            <w:pPr>
              <w:pStyle w:val="TableParagraph"/>
              <w:rPr>
                <w:sz w:val="20"/>
              </w:rPr>
            </w:pPr>
          </w:p>
        </w:tc>
        <w:tc>
          <w:tcPr>
            <w:tcW w:w="448" w:type="dxa"/>
            <w:shd w:val="clear" w:color="auto" w:fill="CCEDFF"/>
          </w:tcPr>
          <w:p w14:paraId="7326D053" w14:textId="77777777" w:rsidR="00EF3DFB" w:rsidRDefault="00D27C17">
            <w:pPr>
              <w:pStyle w:val="TableParagraph"/>
              <w:spacing w:before="34"/>
              <w:ind w:right="139"/>
              <w:jc w:val="right"/>
              <w:rPr>
                <w:sz w:val="20"/>
              </w:rPr>
            </w:pPr>
            <w:r>
              <w:rPr>
                <w:sz w:val="20"/>
              </w:rPr>
              <w:t>67</w:t>
            </w:r>
          </w:p>
        </w:tc>
        <w:tc>
          <w:tcPr>
            <w:tcW w:w="829" w:type="dxa"/>
            <w:shd w:val="clear" w:color="auto" w:fill="CCEDFF"/>
          </w:tcPr>
          <w:p w14:paraId="7326D054" w14:textId="77777777" w:rsidR="00EF3DFB" w:rsidRDefault="00EF3DFB">
            <w:pPr>
              <w:pStyle w:val="TableParagraph"/>
              <w:rPr>
                <w:sz w:val="20"/>
              </w:rPr>
            </w:pPr>
          </w:p>
        </w:tc>
        <w:tc>
          <w:tcPr>
            <w:tcW w:w="392" w:type="dxa"/>
            <w:shd w:val="clear" w:color="auto" w:fill="CCEDFF"/>
          </w:tcPr>
          <w:p w14:paraId="7326D055" w14:textId="77777777" w:rsidR="00EF3DFB" w:rsidRDefault="00D27C17">
            <w:pPr>
              <w:pStyle w:val="TableParagraph"/>
              <w:spacing w:before="34"/>
              <w:ind w:right="85"/>
              <w:jc w:val="right"/>
              <w:rPr>
                <w:sz w:val="20"/>
              </w:rPr>
            </w:pPr>
            <w:r>
              <w:rPr>
                <w:sz w:val="20"/>
              </w:rPr>
              <w:t>74</w:t>
            </w:r>
          </w:p>
        </w:tc>
      </w:tr>
      <w:tr w:rsidR="00EF3DFB" w14:paraId="7326D05E" w14:textId="77777777">
        <w:trPr>
          <w:trHeight w:val="300"/>
        </w:trPr>
        <w:tc>
          <w:tcPr>
            <w:tcW w:w="4798" w:type="dxa"/>
          </w:tcPr>
          <w:p w14:paraId="7326D057" w14:textId="77777777" w:rsidR="00EF3DFB" w:rsidRDefault="00D27C17">
            <w:pPr>
              <w:pStyle w:val="TableParagraph"/>
              <w:spacing w:line="228" w:lineRule="exact"/>
              <w:ind w:left="52"/>
              <w:rPr>
                <w:sz w:val="20"/>
              </w:rPr>
            </w:pPr>
            <w:r>
              <w:rPr>
                <w:sz w:val="20"/>
              </w:rPr>
              <w:t>Outdoor and Recreation</w:t>
            </w:r>
          </w:p>
        </w:tc>
        <w:tc>
          <w:tcPr>
            <w:tcW w:w="2932" w:type="dxa"/>
          </w:tcPr>
          <w:p w14:paraId="7326D058" w14:textId="77777777" w:rsidR="00EF3DFB" w:rsidRDefault="00EF3DFB">
            <w:pPr>
              <w:pStyle w:val="TableParagraph"/>
              <w:rPr>
                <w:sz w:val="20"/>
              </w:rPr>
            </w:pPr>
          </w:p>
        </w:tc>
        <w:tc>
          <w:tcPr>
            <w:tcW w:w="398" w:type="dxa"/>
          </w:tcPr>
          <w:p w14:paraId="7326D059" w14:textId="77777777" w:rsidR="00EF3DFB" w:rsidRDefault="00D27C17">
            <w:pPr>
              <w:pStyle w:val="TableParagraph"/>
              <w:spacing w:before="34"/>
              <w:ind w:left="58"/>
              <w:rPr>
                <w:sz w:val="20"/>
              </w:rPr>
            </w:pPr>
            <w:r>
              <w:rPr>
                <w:sz w:val="20"/>
              </w:rPr>
              <w:t>39</w:t>
            </w:r>
          </w:p>
        </w:tc>
        <w:tc>
          <w:tcPr>
            <w:tcW w:w="829" w:type="dxa"/>
          </w:tcPr>
          <w:p w14:paraId="7326D05A" w14:textId="77777777" w:rsidR="00EF3DFB" w:rsidRDefault="00EF3DFB">
            <w:pPr>
              <w:pStyle w:val="TableParagraph"/>
              <w:rPr>
                <w:sz w:val="20"/>
              </w:rPr>
            </w:pPr>
          </w:p>
        </w:tc>
        <w:tc>
          <w:tcPr>
            <w:tcW w:w="448" w:type="dxa"/>
          </w:tcPr>
          <w:p w14:paraId="7326D05B" w14:textId="77777777" w:rsidR="00EF3DFB" w:rsidRDefault="00D27C17">
            <w:pPr>
              <w:pStyle w:val="TableParagraph"/>
              <w:spacing w:before="34"/>
              <w:ind w:right="139"/>
              <w:jc w:val="right"/>
              <w:rPr>
                <w:sz w:val="20"/>
              </w:rPr>
            </w:pPr>
            <w:r>
              <w:rPr>
                <w:sz w:val="20"/>
              </w:rPr>
              <w:t>44</w:t>
            </w:r>
          </w:p>
        </w:tc>
        <w:tc>
          <w:tcPr>
            <w:tcW w:w="829" w:type="dxa"/>
          </w:tcPr>
          <w:p w14:paraId="7326D05C" w14:textId="77777777" w:rsidR="00EF3DFB" w:rsidRDefault="00EF3DFB">
            <w:pPr>
              <w:pStyle w:val="TableParagraph"/>
              <w:rPr>
                <w:sz w:val="20"/>
              </w:rPr>
            </w:pPr>
          </w:p>
        </w:tc>
        <w:tc>
          <w:tcPr>
            <w:tcW w:w="392" w:type="dxa"/>
          </w:tcPr>
          <w:p w14:paraId="7326D05D" w14:textId="77777777" w:rsidR="00EF3DFB" w:rsidRDefault="00D27C17">
            <w:pPr>
              <w:pStyle w:val="TableParagraph"/>
              <w:spacing w:before="34"/>
              <w:ind w:right="85"/>
              <w:jc w:val="right"/>
              <w:rPr>
                <w:sz w:val="20"/>
              </w:rPr>
            </w:pPr>
            <w:r>
              <w:rPr>
                <w:sz w:val="20"/>
              </w:rPr>
              <w:t>46</w:t>
            </w:r>
          </w:p>
        </w:tc>
      </w:tr>
      <w:tr w:rsidR="00EF3DFB" w14:paraId="7326D066" w14:textId="77777777">
        <w:trPr>
          <w:trHeight w:val="290"/>
        </w:trPr>
        <w:tc>
          <w:tcPr>
            <w:tcW w:w="4798" w:type="dxa"/>
            <w:shd w:val="clear" w:color="auto" w:fill="CCEDFF"/>
          </w:tcPr>
          <w:p w14:paraId="7326D05F" w14:textId="77777777" w:rsidR="00EF3DFB" w:rsidRDefault="00D27C17">
            <w:pPr>
              <w:pStyle w:val="TableParagraph"/>
              <w:spacing w:line="228" w:lineRule="exact"/>
              <w:ind w:left="52"/>
              <w:rPr>
                <w:sz w:val="20"/>
              </w:rPr>
            </w:pPr>
            <w:r>
              <w:rPr>
                <w:sz w:val="20"/>
              </w:rPr>
              <w:t>Corporate</w:t>
            </w:r>
          </w:p>
        </w:tc>
        <w:tc>
          <w:tcPr>
            <w:tcW w:w="2932" w:type="dxa"/>
            <w:tcBorders>
              <w:bottom w:val="single" w:sz="8" w:space="0" w:color="000000"/>
            </w:tcBorders>
            <w:shd w:val="clear" w:color="auto" w:fill="CCEDFF"/>
          </w:tcPr>
          <w:p w14:paraId="7326D060" w14:textId="77777777" w:rsidR="00EF3DFB" w:rsidRDefault="00EF3DFB">
            <w:pPr>
              <w:pStyle w:val="TableParagraph"/>
              <w:rPr>
                <w:sz w:val="20"/>
              </w:rPr>
            </w:pPr>
          </w:p>
        </w:tc>
        <w:tc>
          <w:tcPr>
            <w:tcW w:w="398" w:type="dxa"/>
            <w:tcBorders>
              <w:bottom w:val="single" w:sz="8" w:space="0" w:color="000000"/>
            </w:tcBorders>
            <w:shd w:val="clear" w:color="auto" w:fill="CCEDFF"/>
          </w:tcPr>
          <w:p w14:paraId="7326D061" w14:textId="77777777" w:rsidR="00EF3DFB" w:rsidRDefault="00D27C17">
            <w:pPr>
              <w:pStyle w:val="TableParagraph"/>
              <w:spacing w:before="34"/>
              <w:ind w:left="58"/>
              <w:rPr>
                <w:sz w:val="20"/>
              </w:rPr>
            </w:pPr>
            <w:r>
              <w:rPr>
                <w:sz w:val="20"/>
              </w:rPr>
              <w:t>84</w:t>
            </w:r>
          </w:p>
        </w:tc>
        <w:tc>
          <w:tcPr>
            <w:tcW w:w="829" w:type="dxa"/>
            <w:tcBorders>
              <w:bottom w:val="single" w:sz="8" w:space="0" w:color="000000"/>
            </w:tcBorders>
            <w:shd w:val="clear" w:color="auto" w:fill="CCEDFF"/>
          </w:tcPr>
          <w:p w14:paraId="7326D062" w14:textId="77777777" w:rsidR="00EF3DFB" w:rsidRDefault="00EF3DFB">
            <w:pPr>
              <w:pStyle w:val="TableParagraph"/>
              <w:rPr>
                <w:sz w:val="20"/>
              </w:rPr>
            </w:pPr>
          </w:p>
        </w:tc>
        <w:tc>
          <w:tcPr>
            <w:tcW w:w="448" w:type="dxa"/>
            <w:tcBorders>
              <w:bottom w:val="single" w:sz="8" w:space="0" w:color="000000"/>
            </w:tcBorders>
            <w:shd w:val="clear" w:color="auto" w:fill="CCEDFF"/>
          </w:tcPr>
          <w:p w14:paraId="7326D063" w14:textId="77777777" w:rsidR="00EF3DFB" w:rsidRDefault="00D27C17">
            <w:pPr>
              <w:pStyle w:val="TableParagraph"/>
              <w:spacing w:before="34"/>
              <w:ind w:right="139"/>
              <w:jc w:val="right"/>
              <w:rPr>
                <w:sz w:val="20"/>
              </w:rPr>
            </w:pPr>
            <w:r>
              <w:rPr>
                <w:sz w:val="20"/>
              </w:rPr>
              <w:t>129</w:t>
            </w:r>
          </w:p>
        </w:tc>
        <w:tc>
          <w:tcPr>
            <w:tcW w:w="829" w:type="dxa"/>
            <w:tcBorders>
              <w:bottom w:val="single" w:sz="8" w:space="0" w:color="000000"/>
            </w:tcBorders>
            <w:shd w:val="clear" w:color="auto" w:fill="CCEDFF"/>
          </w:tcPr>
          <w:p w14:paraId="7326D064" w14:textId="77777777" w:rsidR="00EF3DFB" w:rsidRDefault="00EF3DFB">
            <w:pPr>
              <w:pStyle w:val="TableParagraph"/>
              <w:rPr>
                <w:sz w:val="20"/>
              </w:rPr>
            </w:pPr>
          </w:p>
        </w:tc>
        <w:tc>
          <w:tcPr>
            <w:tcW w:w="392" w:type="dxa"/>
            <w:tcBorders>
              <w:bottom w:val="single" w:sz="8" w:space="0" w:color="000000"/>
            </w:tcBorders>
            <w:shd w:val="clear" w:color="auto" w:fill="CCEDFF"/>
          </w:tcPr>
          <w:p w14:paraId="7326D065" w14:textId="77777777" w:rsidR="00EF3DFB" w:rsidRDefault="00D27C17">
            <w:pPr>
              <w:pStyle w:val="TableParagraph"/>
              <w:spacing w:before="34"/>
              <w:ind w:right="85"/>
              <w:jc w:val="right"/>
              <w:rPr>
                <w:sz w:val="20"/>
              </w:rPr>
            </w:pPr>
            <w:r>
              <w:rPr>
                <w:sz w:val="20"/>
              </w:rPr>
              <w:t>116</w:t>
            </w:r>
          </w:p>
        </w:tc>
      </w:tr>
    </w:tbl>
    <w:p w14:paraId="7326D067" w14:textId="1EDF3B0A" w:rsidR="00EF3DFB" w:rsidRDefault="00D27C17">
      <w:pPr>
        <w:pStyle w:val="BodyText"/>
        <w:tabs>
          <w:tab w:val="left" w:pos="7878"/>
          <w:tab w:val="left" w:pos="8387"/>
          <w:tab w:val="left" w:pos="9153"/>
          <w:tab w:val="left" w:pos="9662"/>
          <w:tab w:val="left" w:pos="10428"/>
        </w:tabs>
        <w:spacing w:before="14"/>
        <w:ind w:left="7112"/>
      </w:pPr>
      <w:r>
        <w:rPr>
          <w:noProof/>
        </w:rPr>
        <mc:AlternateContent>
          <mc:Choice Requires="wps">
            <w:drawing>
              <wp:anchor distT="0" distB="0" distL="0" distR="0" simplePos="0" relativeHeight="4504" behindDoc="0" locked="0" layoutInCell="1" allowOverlap="1" wp14:anchorId="7326D78D" wp14:editId="73F1D0AC">
                <wp:simplePos x="0" y="0"/>
                <wp:positionH relativeFrom="page">
                  <wp:posOffset>4876800</wp:posOffset>
                </wp:positionH>
                <wp:positionV relativeFrom="paragraph">
                  <wp:posOffset>186690</wp:posOffset>
                </wp:positionV>
                <wp:extent cx="762000" cy="0"/>
                <wp:effectExtent l="9525" t="12065" r="9525" b="6985"/>
                <wp:wrapTopAndBottom/>
                <wp:docPr id="15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86F1" id="Line 139" o:spid="_x0000_s1026" style="position:absolute;z-index:4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pt,14.7pt" to="44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" strokeweight="1pt">
                <w10:wrap type="topAndBottom" anchorx="page"/>
              </v:line>
            </w:pict>
          </mc:Fallback>
        </mc:AlternateContent>
      </w:r>
      <w:r>
        <w:rPr>
          <w:noProof/>
        </w:rPr>
        <mc:AlternateContent>
          <mc:Choice Requires="wps">
            <w:drawing>
              <wp:anchor distT="0" distB="0" distL="0" distR="0" simplePos="0" relativeHeight="4528" behindDoc="0" locked="0" layoutInCell="1" allowOverlap="1" wp14:anchorId="7326D78E" wp14:editId="45C620E4">
                <wp:simplePos x="0" y="0"/>
                <wp:positionH relativeFrom="page">
                  <wp:posOffset>5686425</wp:posOffset>
                </wp:positionH>
                <wp:positionV relativeFrom="paragraph">
                  <wp:posOffset>186690</wp:posOffset>
                </wp:positionV>
                <wp:extent cx="762000" cy="0"/>
                <wp:effectExtent l="9525" t="12065" r="9525" b="6985"/>
                <wp:wrapTopAndBottom/>
                <wp:docPr id="15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5073" id="Line 138" o:spid="_x0000_s1026" style="position:absolute;z-index: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75pt,14.7pt" to="507.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" strokeweight="1pt">
                <w10:wrap type="topAndBottom" anchorx="page"/>
              </v:line>
            </w:pict>
          </mc:Fallback>
        </mc:AlternateContent>
      </w:r>
      <w:r>
        <w:rPr>
          <w:noProof/>
        </w:rPr>
        <mc:AlternateContent>
          <mc:Choice Requires="wps">
            <w:drawing>
              <wp:anchor distT="0" distB="0" distL="0" distR="0" simplePos="0" relativeHeight="4552" behindDoc="0" locked="0" layoutInCell="1" allowOverlap="1" wp14:anchorId="7326D78F" wp14:editId="06E737B7">
                <wp:simplePos x="0" y="0"/>
                <wp:positionH relativeFrom="page">
                  <wp:posOffset>6496050</wp:posOffset>
                </wp:positionH>
                <wp:positionV relativeFrom="paragraph">
                  <wp:posOffset>186690</wp:posOffset>
                </wp:positionV>
                <wp:extent cx="762000" cy="0"/>
                <wp:effectExtent l="9525" t="12065" r="9525" b="6985"/>
                <wp:wrapTopAndBottom/>
                <wp:docPr id="15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7986" id="Line 137" o:spid="_x0000_s1026" style="position:absolute;z-index:4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5pt,14.7pt" to="57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" strokeweight="1pt">
                <w10:wrap type="topAndBottom" anchorx="page"/>
              </v:line>
            </w:pict>
          </mc:Fallback>
        </mc:AlternateContent>
      </w:r>
      <w:r>
        <w:rPr>
          <w:noProof/>
        </w:rPr>
        <mc:AlternateContent>
          <mc:Choice Requires="wps">
            <w:drawing>
              <wp:anchor distT="0" distB="0" distL="114300" distR="114300" simplePos="0" relativeHeight="502908224" behindDoc="1" locked="0" layoutInCell="1" allowOverlap="1" wp14:anchorId="7326D790" wp14:editId="51BAED2B">
                <wp:simplePos x="0" y="0"/>
                <wp:positionH relativeFrom="page">
                  <wp:posOffset>4876800</wp:posOffset>
                </wp:positionH>
                <wp:positionV relativeFrom="page">
                  <wp:posOffset>2746375</wp:posOffset>
                </wp:positionV>
                <wp:extent cx="762000" cy="0"/>
                <wp:effectExtent l="9525" t="12700" r="9525" b="6350"/>
                <wp:wrapNone/>
                <wp:docPr id="15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E9E8" id="Line 136" o:spid="_x0000_s1026" style="position:absolute;z-index:-4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216.25pt" to="444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" strokeweight="1pt">
                <w10:wrap anchorx="page" anchory="page"/>
              </v:line>
            </w:pict>
          </mc:Fallback>
        </mc:AlternateContent>
      </w:r>
      <w:r>
        <w:rPr>
          <w:noProof/>
        </w:rPr>
        <mc:AlternateContent>
          <mc:Choice Requires="wps">
            <w:drawing>
              <wp:anchor distT="0" distB="0" distL="114300" distR="114300" simplePos="0" relativeHeight="502908248" behindDoc="1" locked="0" layoutInCell="1" allowOverlap="1" wp14:anchorId="7326D791" wp14:editId="6191E1DC">
                <wp:simplePos x="0" y="0"/>
                <wp:positionH relativeFrom="page">
                  <wp:posOffset>5686425</wp:posOffset>
                </wp:positionH>
                <wp:positionV relativeFrom="page">
                  <wp:posOffset>2746375</wp:posOffset>
                </wp:positionV>
                <wp:extent cx="762000" cy="0"/>
                <wp:effectExtent l="9525" t="12700" r="9525" b="6350"/>
                <wp:wrapNone/>
                <wp:docPr id="1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C532" id="Line 135" o:spid="_x0000_s1026" style="position:absolute;z-index:-40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75pt,216.25pt" to="507.7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" strokeweight="1pt">
                <w10:wrap anchorx="page" anchory="page"/>
              </v:line>
            </w:pict>
          </mc:Fallback>
        </mc:AlternateContent>
      </w:r>
      <w:r>
        <w:rPr>
          <w:noProof/>
        </w:rPr>
        <mc:AlternateContent>
          <mc:Choice Requires="wps">
            <w:drawing>
              <wp:anchor distT="0" distB="0" distL="114300" distR="114300" simplePos="0" relativeHeight="502908272" behindDoc="1" locked="0" layoutInCell="1" allowOverlap="1" wp14:anchorId="7326D792" wp14:editId="6C79A3E2">
                <wp:simplePos x="0" y="0"/>
                <wp:positionH relativeFrom="page">
                  <wp:posOffset>6496050</wp:posOffset>
                </wp:positionH>
                <wp:positionV relativeFrom="page">
                  <wp:posOffset>2746375</wp:posOffset>
                </wp:positionV>
                <wp:extent cx="762000" cy="0"/>
                <wp:effectExtent l="9525" t="12700" r="9525" b="6350"/>
                <wp:wrapNone/>
                <wp:docPr id="15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5BB6" id="Line 134" o:spid="_x0000_s1026" style="position:absolute;z-index:-40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216.25pt" to="571.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" strokeweight="1pt">
                <w10:wrap anchorx="page" anchory="page"/>
              </v:line>
            </w:pict>
          </mc:Fallback>
        </mc:AlternateContent>
      </w:r>
      <w:r>
        <w:rPr>
          <w:u w:val="single"/>
        </w:rPr>
        <w:t>$</w:t>
      </w:r>
      <w:r>
        <w:rPr>
          <w:u w:val="single"/>
        </w:rPr>
        <w:tab/>
        <w:t>357</w:t>
      </w:r>
      <w:r>
        <w:tab/>
      </w:r>
      <w:r>
        <w:rPr>
          <w:u w:val="single"/>
        </w:rPr>
        <w:t>$</w:t>
      </w:r>
      <w:r>
        <w:rPr>
          <w:u w:val="single"/>
        </w:rPr>
        <w:tab/>
      </w:r>
      <w:r>
        <w:rPr>
          <w:u w:val="single"/>
        </w:rPr>
        <w:t>446</w:t>
      </w:r>
      <w:r>
        <w:tab/>
      </w:r>
      <w:r>
        <w:rPr>
          <w:u w:val="single"/>
        </w:rPr>
        <w:t>$</w:t>
      </w:r>
      <w:r>
        <w:rPr>
          <w:u w:val="single"/>
        </w:rPr>
        <w:tab/>
        <w:t>372</w:t>
      </w:r>
    </w:p>
    <w:p w14:paraId="7326D068" w14:textId="77777777" w:rsidR="00EF3DFB" w:rsidRDefault="00EF3DFB">
      <w:pPr>
        <w:pStyle w:val="BodyText"/>
        <w:spacing w:before="10"/>
        <w:rPr>
          <w:sz w:val="23"/>
        </w:rPr>
      </w:pPr>
    </w:p>
    <w:p w14:paraId="7326D069" w14:textId="77777777" w:rsidR="00EF3DFB" w:rsidRDefault="00D27C17">
      <w:pPr>
        <w:pStyle w:val="Heading2"/>
        <w:tabs>
          <w:tab w:val="left" w:pos="1274"/>
          <w:tab w:val="left" w:pos="2549"/>
        </w:tabs>
        <w:spacing w:before="92" w:after="30"/>
        <w:ind w:left="0" w:right="569"/>
        <w:jc w:val="right"/>
      </w:pPr>
      <w:r>
        <w:t>2020</w:t>
      </w:r>
      <w:r>
        <w:tab/>
        <w:t>2019</w:t>
      </w:r>
      <w:r>
        <w:tab/>
        <w:t>2018</w:t>
      </w:r>
    </w:p>
    <w:tbl>
      <w:tblPr>
        <w:tblW w:w="0" w:type="auto"/>
        <w:tblInd w:w="180" w:type="dxa"/>
        <w:tblLayout w:type="fixed"/>
        <w:tblCellMar>
          <w:left w:w="0" w:type="dxa"/>
          <w:right w:w="0" w:type="dxa"/>
        </w:tblCellMar>
        <w:tblLook w:val="01E0" w:firstRow="1" w:lastRow="1" w:firstColumn="1" w:lastColumn="1" w:noHBand="0" w:noVBand="0"/>
      </w:tblPr>
      <w:tblGrid>
        <w:gridCol w:w="4581"/>
        <w:gridCol w:w="3099"/>
        <w:gridCol w:w="414"/>
        <w:gridCol w:w="861"/>
        <w:gridCol w:w="414"/>
        <w:gridCol w:w="911"/>
        <w:gridCol w:w="341"/>
      </w:tblGrid>
      <w:tr w:rsidR="00EF3DFB" w14:paraId="7326D06B" w14:textId="77777777">
        <w:trPr>
          <w:trHeight w:val="312"/>
        </w:trPr>
        <w:tc>
          <w:tcPr>
            <w:tcW w:w="10621" w:type="dxa"/>
            <w:gridSpan w:val="7"/>
            <w:shd w:val="clear" w:color="auto" w:fill="CCEDFF"/>
          </w:tcPr>
          <w:p w14:paraId="7326D06A" w14:textId="77777777" w:rsidR="00EF3DFB" w:rsidRDefault="00D27C17">
            <w:pPr>
              <w:pStyle w:val="TableParagraph"/>
              <w:spacing w:before="1"/>
              <w:ind w:left="62"/>
              <w:rPr>
                <w:b/>
                <w:sz w:val="20"/>
              </w:rPr>
            </w:pPr>
            <w:r>
              <w:rPr>
                <w:b/>
                <w:sz w:val="20"/>
              </w:rPr>
              <w:t>Impairment of goodwill and intangible assets</w:t>
            </w:r>
          </w:p>
        </w:tc>
      </w:tr>
      <w:tr w:rsidR="00EF3DFB" w14:paraId="7326D072" w14:textId="77777777">
        <w:trPr>
          <w:trHeight w:val="300"/>
        </w:trPr>
        <w:tc>
          <w:tcPr>
            <w:tcW w:w="4581" w:type="dxa"/>
          </w:tcPr>
          <w:p w14:paraId="7326D06C" w14:textId="77777777" w:rsidR="00EF3DFB" w:rsidRDefault="00D27C17">
            <w:pPr>
              <w:pStyle w:val="TableParagraph"/>
              <w:spacing w:before="4"/>
              <w:ind w:left="62"/>
              <w:rPr>
                <w:sz w:val="20"/>
              </w:rPr>
            </w:pPr>
            <w:r>
              <w:rPr>
                <w:sz w:val="20"/>
              </w:rPr>
              <w:t>Appliances and Cookware</w:t>
            </w:r>
          </w:p>
        </w:tc>
        <w:tc>
          <w:tcPr>
            <w:tcW w:w="3099" w:type="dxa"/>
          </w:tcPr>
          <w:p w14:paraId="7326D06D" w14:textId="77777777" w:rsidR="00EF3DFB" w:rsidRDefault="00D27C17">
            <w:pPr>
              <w:pStyle w:val="TableParagraph"/>
              <w:spacing w:before="40"/>
              <w:ind w:left="2351"/>
              <w:rPr>
                <w:sz w:val="20"/>
              </w:rPr>
            </w:pPr>
            <w:r>
              <w:rPr>
                <w:sz w:val="20"/>
              </w:rPr>
              <w:t>$</w:t>
            </w:r>
          </w:p>
        </w:tc>
        <w:tc>
          <w:tcPr>
            <w:tcW w:w="414" w:type="dxa"/>
          </w:tcPr>
          <w:p w14:paraId="7326D06E" w14:textId="77777777" w:rsidR="00EF3DFB" w:rsidRDefault="00D27C17">
            <w:pPr>
              <w:pStyle w:val="TableParagraph"/>
              <w:spacing w:before="40"/>
              <w:ind w:right="93"/>
              <w:jc w:val="right"/>
              <w:rPr>
                <w:sz w:val="20"/>
              </w:rPr>
            </w:pPr>
            <w:r>
              <w:rPr>
                <w:sz w:val="20"/>
              </w:rPr>
              <w:t>299</w:t>
            </w:r>
          </w:p>
        </w:tc>
        <w:tc>
          <w:tcPr>
            <w:tcW w:w="861" w:type="dxa"/>
          </w:tcPr>
          <w:p w14:paraId="7326D06F" w14:textId="77777777" w:rsidR="00EF3DFB" w:rsidRDefault="00D27C17">
            <w:pPr>
              <w:pStyle w:val="TableParagraph"/>
              <w:spacing w:before="40"/>
              <w:ind w:left="113"/>
              <w:rPr>
                <w:sz w:val="20"/>
              </w:rPr>
            </w:pPr>
            <w:r>
              <w:rPr>
                <w:sz w:val="20"/>
              </w:rPr>
              <w:t>$</w:t>
            </w:r>
          </w:p>
        </w:tc>
        <w:tc>
          <w:tcPr>
            <w:tcW w:w="414" w:type="dxa"/>
          </w:tcPr>
          <w:p w14:paraId="7326D070" w14:textId="77777777" w:rsidR="00EF3DFB" w:rsidRDefault="00D27C17">
            <w:pPr>
              <w:pStyle w:val="TableParagraph"/>
              <w:spacing w:before="40"/>
              <w:ind w:right="93"/>
              <w:jc w:val="right"/>
              <w:rPr>
                <w:sz w:val="20"/>
              </w:rPr>
            </w:pPr>
            <w:r>
              <w:rPr>
                <w:sz w:val="20"/>
              </w:rPr>
              <w:t>600</w:t>
            </w:r>
          </w:p>
        </w:tc>
        <w:tc>
          <w:tcPr>
            <w:tcW w:w="1252" w:type="dxa"/>
            <w:gridSpan w:val="2"/>
          </w:tcPr>
          <w:p w14:paraId="7326D071" w14:textId="77777777" w:rsidR="00EF3DFB" w:rsidRDefault="00D27C17">
            <w:pPr>
              <w:pStyle w:val="TableParagraph"/>
              <w:tabs>
                <w:tab w:val="left" w:pos="729"/>
              </w:tabs>
              <w:spacing w:before="40"/>
              <w:ind w:left="113"/>
              <w:rPr>
                <w:sz w:val="20"/>
              </w:rPr>
            </w:pPr>
            <w:r>
              <w:rPr>
                <w:sz w:val="20"/>
              </w:rPr>
              <w:t>$</w:t>
            </w:r>
            <w:r>
              <w:rPr>
                <w:sz w:val="20"/>
              </w:rPr>
              <w:tab/>
              <w:t>1,712</w:t>
            </w:r>
          </w:p>
        </w:tc>
      </w:tr>
      <w:tr w:rsidR="00EF3DFB" w14:paraId="7326D077" w14:textId="77777777">
        <w:trPr>
          <w:trHeight w:val="287"/>
        </w:trPr>
        <w:tc>
          <w:tcPr>
            <w:tcW w:w="4581" w:type="dxa"/>
            <w:shd w:val="clear" w:color="auto" w:fill="CCEDFF"/>
          </w:tcPr>
          <w:p w14:paraId="7326D073" w14:textId="77777777" w:rsidR="00EF3DFB" w:rsidRDefault="00D27C17">
            <w:pPr>
              <w:pStyle w:val="TableParagraph"/>
              <w:spacing w:before="4"/>
              <w:ind w:left="62"/>
              <w:rPr>
                <w:sz w:val="20"/>
              </w:rPr>
            </w:pPr>
            <w:r>
              <w:rPr>
                <w:sz w:val="20"/>
              </w:rPr>
              <w:t>Commercial Solutions</w:t>
            </w:r>
          </w:p>
        </w:tc>
        <w:tc>
          <w:tcPr>
            <w:tcW w:w="3513" w:type="dxa"/>
            <w:gridSpan w:val="2"/>
            <w:shd w:val="clear" w:color="auto" w:fill="CCEDFF"/>
          </w:tcPr>
          <w:p w14:paraId="7326D074" w14:textId="77777777" w:rsidR="00EF3DFB" w:rsidRDefault="00D27C17">
            <w:pPr>
              <w:pStyle w:val="TableParagraph"/>
              <w:spacing w:before="40"/>
              <w:ind w:right="93"/>
              <w:jc w:val="right"/>
              <w:rPr>
                <w:sz w:val="20"/>
              </w:rPr>
            </w:pPr>
            <w:r>
              <w:rPr>
                <w:sz w:val="20"/>
              </w:rPr>
              <w:t>320</w:t>
            </w:r>
          </w:p>
        </w:tc>
        <w:tc>
          <w:tcPr>
            <w:tcW w:w="1275" w:type="dxa"/>
            <w:gridSpan w:val="2"/>
            <w:shd w:val="clear" w:color="auto" w:fill="CCEDFF"/>
          </w:tcPr>
          <w:p w14:paraId="7326D075" w14:textId="77777777" w:rsidR="00EF3DFB" w:rsidRDefault="00D27C17">
            <w:pPr>
              <w:pStyle w:val="TableParagraph"/>
              <w:spacing w:before="40"/>
              <w:ind w:right="93"/>
              <w:jc w:val="right"/>
              <w:rPr>
                <w:sz w:val="20"/>
              </w:rPr>
            </w:pPr>
            <w:r>
              <w:rPr>
                <w:sz w:val="20"/>
              </w:rPr>
              <w:t>310</w:t>
            </w:r>
          </w:p>
        </w:tc>
        <w:tc>
          <w:tcPr>
            <w:tcW w:w="1252" w:type="dxa"/>
            <w:gridSpan w:val="2"/>
            <w:shd w:val="clear" w:color="auto" w:fill="CCEDFF"/>
          </w:tcPr>
          <w:p w14:paraId="7326D076" w14:textId="77777777" w:rsidR="00EF3DFB" w:rsidRDefault="00D27C17">
            <w:pPr>
              <w:pStyle w:val="TableParagraph"/>
              <w:spacing w:before="40"/>
              <w:ind w:right="70"/>
              <w:jc w:val="right"/>
              <w:rPr>
                <w:sz w:val="20"/>
              </w:rPr>
            </w:pPr>
            <w:r>
              <w:rPr>
                <w:sz w:val="20"/>
              </w:rPr>
              <w:t>410</w:t>
            </w:r>
          </w:p>
        </w:tc>
      </w:tr>
      <w:tr w:rsidR="00EF3DFB" w14:paraId="7326D07C" w14:textId="77777777">
        <w:trPr>
          <w:trHeight w:val="300"/>
        </w:trPr>
        <w:tc>
          <w:tcPr>
            <w:tcW w:w="4581" w:type="dxa"/>
          </w:tcPr>
          <w:p w14:paraId="7326D078" w14:textId="77777777" w:rsidR="00EF3DFB" w:rsidRDefault="00D27C17">
            <w:pPr>
              <w:pStyle w:val="TableParagraph"/>
              <w:spacing w:before="4"/>
              <w:ind w:left="62"/>
              <w:rPr>
                <w:sz w:val="20"/>
              </w:rPr>
            </w:pPr>
            <w:r>
              <w:rPr>
                <w:sz w:val="20"/>
              </w:rPr>
              <w:t>Home Solutions</w:t>
            </w:r>
          </w:p>
        </w:tc>
        <w:tc>
          <w:tcPr>
            <w:tcW w:w="3513" w:type="dxa"/>
            <w:gridSpan w:val="2"/>
          </w:tcPr>
          <w:p w14:paraId="7326D079" w14:textId="77777777" w:rsidR="00EF3DFB" w:rsidRDefault="00D27C17">
            <w:pPr>
              <w:pStyle w:val="TableParagraph"/>
              <w:spacing w:before="40"/>
              <w:ind w:right="93"/>
              <w:jc w:val="right"/>
              <w:rPr>
                <w:sz w:val="20"/>
              </w:rPr>
            </w:pPr>
            <w:r>
              <w:rPr>
                <w:sz w:val="20"/>
              </w:rPr>
              <w:t>290</w:t>
            </w:r>
          </w:p>
        </w:tc>
        <w:tc>
          <w:tcPr>
            <w:tcW w:w="1275" w:type="dxa"/>
            <w:gridSpan w:val="2"/>
          </w:tcPr>
          <w:p w14:paraId="7326D07A" w14:textId="77777777" w:rsidR="00EF3DFB" w:rsidRDefault="00D27C17">
            <w:pPr>
              <w:pStyle w:val="TableParagraph"/>
              <w:spacing w:before="40"/>
              <w:ind w:right="93"/>
              <w:jc w:val="right"/>
              <w:rPr>
                <w:sz w:val="20"/>
              </w:rPr>
            </w:pPr>
            <w:r>
              <w:rPr>
                <w:sz w:val="20"/>
              </w:rPr>
              <w:t>158</w:t>
            </w:r>
          </w:p>
        </w:tc>
        <w:tc>
          <w:tcPr>
            <w:tcW w:w="1252" w:type="dxa"/>
            <w:gridSpan w:val="2"/>
          </w:tcPr>
          <w:p w14:paraId="7326D07B" w14:textId="77777777" w:rsidR="00EF3DFB" w:rsidRDefault="00D27C17">
            <w:pPr>
              <w:pStyle w:val="TableParagraph"/>
              <w:spacing w:before="40"/>
              <w:ind w:left="729"/>
              <w:rPr>
                <w:sz w:val="20"/>
              </w:rPr>
            </w:pPr>
            <w:r>
              <w:rPr>
                <w:sz w:val="20"/>
              </w:rPr>
              <w:t>4,406</w:t>
            </w:r>
          </w:p>
        </w:tc>
      </w:tr>
      <w:tr w:rsidR="00EF3DFB" w14:paraId="7326D081" w14:textId="77777777">
        <w:trPr>
          <w:trHeight w:val="300"/>
        </w:trPr>
        <w:tc>
          <w:tcPr>
            <w:tcW w:w="4581" w:type="dxa"/>
            <w:shd w:val="clear" w:color="auto" w:fill="CCEDFF"/>
          </w:tcPr>
          <w:p w14:paraId="7326D07D" w14:textId="77777777" w:rsidR="00EF3DFB" w:rsidRDefault="00D27C17">
            <w:pPr>
              <w:pStyle w:val="TableParagraph"/>
              <w:spacing w:before="4"/>
              <w:ind w:left="62"/>
              <w:rPr>
                <w:sz w:val="20"/>
              </w:rPr>
            </w:pPr>
            <w:r>
              <w:rPr>
                <w:sz w:val="20"/>
              </w:rPr>
              <w:t>Learning and Development</w:t>
            </w:r>
          </w:p>
        </w:tc>
        <w:tc>
          <w:tcPr>
            <w:tcW w:w="3513" w:type="dxa"/>
            <w:gridSpan w:val="2"/>
            <w:shd w:val="clear" w:color="auto" w:fill="CCEDFF"/>
          </w:tcPr>
          <w:p w14:paraId="7326D07E" w14:textId="77777777" w:rsidR="00EF3DFB" w:rsidRDefault="00D27C17">
            <w:pPr>
              <w:pStyle w:val="TableParagraph"/>
              <w:spacing w:before="40"/>
              <w:ind w:right="93"/>
              <w:jc w:val="right"/>
              <w:rPr>
                <w:sz w:val="20"/>
              </w:rPr>
            </w:pPr>
            <w:r>
              <w:rPr>
                <w:sz w:val="20"/>
              </w:rPr>
              <w:t>100</w:t>
            </w:r>
          </w:p>
        </w:tc>
        <w:tc>
          <w:tcPr>
            <w:tcW w:w="1275" w:type="dxa"/>
            <w:gridSpan w:val="2"/>
            <w:shd w:val="clear" w:color="auto" w:fill="CCEDFF"/>
          </w:tcPr>
          <w:p w14:paraId="7326D07F" w14:textId="77777777" w:rsidR="00EF3DFB" w:rsidRDefault="00D27C17">
            <w:pPr>
              <w:pStyle w:val="TableParagraph"/>
              <w:spacing w:before="40"/>
              <w:ind w:right="93"/>
              <w:jc w:val="right"/>
              <w:rPr>
                <w:sz w:val="20"/>
              </w:rPr>
            </w:pPr>
            <w:r>
              <w:rPr>
                <w:sz w:val="20"/>
              </w:rPr>
              <w:t>25</w:t>
            </w:r>
          </w:p>
        </w:tc>
        <w:tc>
          <w:tcPr>
            <w:tcW w:w="1252" w:type="dxa"/>
            <w:gridSpan w:val="2"/>
            <w:shd w:val="clear" w:color="auto" w:fill="CCEDFF"/>
          </w:tcPr>
          <w:p w14:paraId="7326D080" w14:textId="77777777" w:rsidR="00EF3DFB" w:rsidRDefault="00D27C17">
            <w:pPr>
              <w:pStyle w:val="TableParagraph"/>
              <w:spacing w:before="40"/>
              <w:ind w:right="70"/>
              <w:jc w:val="right"/>
              <w:rPr>
                <w:sz w:val="20"/>
              </w:rPr>
            </w:pPr>
            <w:r>
              <w:rPr>
                <w:sz w:val="20"/>
              </w:rPr>
              <w:t>351</w:t>
            </w:r>
          </w:p>
        </w:tc>
      </w:tr>
      <w:tr w:rsidR="00EF3DFB" w14:paraId="7326D086" w14:textId="77777777">
        <w:trPr>
          <w:trHeight w:val="290"/>
        </w:trPr>
        <w:tc>
          <w:tcPr>
            <w:tcW w:w="4581" w:type="dxa"/>
          </w:tcPr>
          <w:p w14:paraId="7326D082" w14:textId="77777777" w:rsidR="00EF3DFB" w:rsidRDefault="00D27C17">
            <w:pPr>
              <w:pStyle w:val="TableParagraph"/>
              <w:spacing w:before="4"/>
              <w:ind w:left="62"/>
              <w:rPr>
                <w:sz w:val="20"/>
              </w:rPr>
            </w:pPr>
            <w:r>
              <w:rPr>
                <w:sz w:val="20"/>
              </w:rPr>
              <w:t>Outdoor and Recreation</w:t>
            </w:r>
          </w:p>
        </w:tc>
        <w:tc>
          <w:tcPr>
            <w:tcW w:w="3513" w:type="dxa"/>
            <w:gridSpan w:val="2"/>
          </w:tcPr>
          <w:p w14:paraId="7326D083" w14:textId="77777777" w:rsidR="00EF3DFB" w:rsidRDefault="00D27C17">
            <w:pPr>
              <w:pStyle w:val="TableParagraph"/>
              <w:spacing w:before="40" w:line="230" w:lineRule="exact"/>
              <w:ind w:right="93"/>
              <w:jc w:val="right"/>
              <w:rPr>
                <w:sz w:val="20"/>
              </w:rPr>
            </w:pPr>
            <w:r>
              <w:rPr>
                <w:sz w:val="20"/>
              </w:rPr>
              <w:t>482</w:t>
            </w:r>
          </w:p>
        </w:tc>
        <w:tc>
          <w:tcPr>
            <w:tcW w:w="1275" w:type="dxa"/>
            <w:gridSpan w:val="2"/>
            <w:tcBorders>
              <w:bottom w:val="single" w:sz="8" w:space="0" w:color="000000"/>
            </w:tcBorders>
          </w:tcPr>
          <w:p w14:paraId="7326D084" w14:textId="77777777" w:rsidR="00EF3DFB" w:rsidRDefault="00D27C17">
            <w:pPr>
              <w:pStyle w:val="TableParagraph"/>
              <w:spacing w:before="40" w:line="230" w:lineRule="exact"/>
              <w:ind w:right="93"/>
              <w:jc w:val="right"/>
              <w:rPr>
                <w:sz w:val="20"/>
              </w:rPr>
            </w:pPr>
            <w:r>
              <w:rPr>
                <w:sz w:val="20"/>
              </w:rPr>
              <w:t>120</w:t>
            </w:r>
          </w:p>
        </w:tc>
        <w:tc>
          <w:tcPr>
            <w:tcW w:w="1252" w:type="dxa"/>
            <w:gridSpan w:val="2"/>
            <w:tcBorders>
              <w:bottom w:val="single" w:sz="8" w:space="0" w:color="000000"/>
            </w:tcBorders>
          </w:tcPr>
          <w:p w14:paraId="7326D085" w14:textId="77777777" w:rsidR="00EF3DFB" w:rsidRDefault="00D27C17">
            <w:pPr>
              <w:pStyle w:val="TableParagraph"/>
              <w:spacing w:before="40" w:line="230" w:lineRule="exact"/>
              <w:ind w:left="729"/>
              <w:rPr>
                <w:sz w:val="20"/>
              </w:rPr>
            </w:pPr>
            <w:r>
              <w:rPr>
                <w:sz w:val="20"/>
              </w:rPr>
              <w:t>1,417</w:t>
            </w:r>
          </w:p>
        </w:tc>
      </w:tr>
      <w:tr w:rsidR="00EF3DFB" w14:paraId="7326D08B" w14:textId="77777777">
        <w:trPr>
          <w:trHeight w:val="300"/>
        </w:trPr>
        <w:tc>
          <w:tcPr>
            <w:tcW w:w="4581" w:type="dxa"/>
            <w:shd w:val="clear" w:color="auto" w:fill="CCEDFF"/>
          </w:tcPr>
          <w:p w14:paraId="7326D087" w14:textId="77777777" w:rsidR="00EF3DFB" w:rsidRDefault="00EF3DFB">
            <w:pPr>
              <w:pStyle w:val="TableParagraph"/>
              <w:rPr>
                <w:sz w:val="20"/>
              </w:rPr>
            </w:pPr>
          </w:p>
        </w:tc>
        <w:tc>
          <w:tcPr>
            <w:tcW w:w="3513" w:type="dxa"/>
            <w:gridSpan w:val="2"/>
            <w:shd w:val="clear" w:color="auto" w:fill="CCEDFF"/>
          </w:tcPr>
          <w:p w14:paraId="7326D088" w14:textId="77777777" w:rsidR="00EF3DFB" w:rsidRDefault="00D27C17">
            <w:pPr>
              <w:pStyle w:val="TableParagraph"/>
              <w:tabs>
                <w:tab w:val="left" w:pos="615"/>
              </w:tabs>
              <w:spacing w:before="30"/>
              <w:ind w:right="93"/>
              <w:jc w:val="right"/>
              <w:rPr>
                <w:sz w:val="20"/>
              </w:rPr>
            </w:pPr>
            <w:r>
              <w:rPr>
                <w:sz w:val="20"/>
                <w:u w:val="single"/>
              </w:rPr>
              <w:t>$</w:t>
            </w:r>
            <w:r>
              <w:rPr>
                <w:sz w:val="20"/>
                <w:u w:val="single"/>
              </w:rPr>
              <w:tab/>
              <w:t>1,491</w:t>
            </w:r>
          </w:p>
        </w:tc>
        <w:tc>
          <w:tcPr>
            <w:tcW w:w="1275" w:type="dxa"/>
            <w:gridSpan w:val="2"/>
            <w:tcBorders>
              <w:top w:val="single" w:sz="8" w:space="0" w:color="000000"/>
              <w:bottom w:val="single" w:sz="8" w:space="0" w:color="000000"/>
            </w:tcBorders>
            <w:shd w:val="clear" w:color="auto" w:fill="CCEDFF"/>
          </w:tcPr>
          <w:p w14:paraId="7326D089" w14:textId="77777777" w:rsidR="00EF3DFB" w:rsidRDefault="00D27C17">
            <w:pPr>
              <w:pStyle w:val="TableParagraph"/>
              <w:tabs>
                <w:tab w:val="left" w:pos="729"/>
              </w:tabs>
              <w:spacing w:before="30"/>
              <w:ind w:left="113"/>
              <w:rPr>
                <w:sz w:val="20"/>
              </w:rPr>
            </w:pPr>
            <w:r>
              <w:rPr>
                <w:sz w:val="20"/>
                <w:u w:val="single"/>
              </w:rPr>
              <w:t>$</w:t>
            </w:r>
            <w:r>
              <w:rPr>
                <w:sz w:val="20"/>
                <w:u w:val="single"/>
              </w:rPr>
              <w:tab/>
              <w:t>1,213</w:t>
            </w:r>
          </w:p>
        </w:tc>
        <w:tc>
          <w:tcPr>
            <w:tcW w:w="1252" w:type="dxa"/>
            <w:gridSpan w:val="2"/>
            <w:tcBorders>
              <w:top w:val="single" w:sz="8" w:space="0" w:color="000000"/>
              <w:bottom w:val="single" w:sz="8" w:space="0" w:color="000000"/>
            </w:tcBorders>
            <w:shd w:val="clear" w:color="auto" w:fill="CCEDFF"/>
          </w:tcPr>
          <w:p w14:paraId="7326D08A" w14:textId="77777777" w:rsidR="00EF3DFB" w:rsidRDefault="00D27C17">
            <w:pPr>
              <w:pStyle w:val="TableParagraph"/>
              <w:tabs>
                <w:tab w:val="left" w:pos="729"/>
              </w:tabs>
              <w:spacing w:before="30"/>
              <w:ind w:left="113"/>
              <w:rPr>
                <w:sz w:val="20"/>
              </w:rPr>
            </w:pPr>
            <w:r>
              <w:rPr>
                <w:sz w:val="20"/>
                <w:u w:val="single"/>
              </w:rPr>
              <w:t>$</w:t>
            </w:r>
            <w:r>
              <w:rPr>
                <w:sz w:val="20"/>
                <w:u w:val="single"/>
              </w:rPr>
              <w:tab/>
              <w:t>8,296</w:t>
            </w:r>
          </w:p>
        </w:tc>
      </w:tr>
      <w:tr w:rsidR="00EF3DFB" w14:paraId="7326D096" w14:textId="77777777">
        <w:trPr>
          <w:trHeight w:val="645"/>
        </w:trPr>
        <w:tc>
          <w:tcPr>
            <w:tcW w:w="4581" w:type="dxa"/>
          </w:tcPr>
          <w:p w14:paraId="7326D08C" w14:textId="77777777" w:rsidR="00EF3DFB" w:rsidRDefault="00EF3DFB">
            <w:pPr>
              <w:pStyle w:val="TableParagraph"/>
              <w:rPr>
                <w:sz w:val="20"/>
              </w:rPr>
            </w:pPr>
          </w:p>
        </w:tc>
        <w:tc>
          <w:tcPr>
            <w:tcW w:w="3099" w:type="dxa"/>
            <w:tcBorders>
              <w:bottom w:val="single" w:sz="8" w:space="0" w:color="000000"/>
            </w:tcBorders>
          </w:tcPr>
          <w:p w14:paraId="7326D08D" w14:textId="77777777" w:rsidR="00EF3DFB" w:rsidRDefault="00EF3DFB">
            <w:pPr>
              <w:pStyle w:val="TableParagraph"/>
              <w:rPr>
                <w:b/>
              </w:rPr>
            </w:pPr>
          </w:p>
          <w:p w14:paraId="7326D08E" w14:textId="77777777" w:rsidR="00EF3DFB" w:rsidRDefault="00D27C17">
            <w:pPr>
              <w:pStyle w:val="TableParagraph"/>
              <w:spacing w:before="142" w:line="230" w:lineRule="exact"/>
              <w:ind w:right="-15"/>
              <w:jc w:val="right"/>
              <w:rPr>
                <w:b/>
                <w:sz w:val="20"/>
              </w:rPr>
            </w:pPr>
            <w:r>
              <w:rPr>
                <w:b/>
                <w:sz w:val="20"/>
              </w:rPr>
              <w:t>2020</w:t>
            </w:r>
          </w:p>
        </w:tc>
        <w:tc>
          <w:tcPr>
            <w:tcW w:w="414" w:type="dxa"/>
            <w:tcBorders>
              <w:bottom w:val="single" w:sz="8" w:space="0" w:color="000000"/>
            </w:tcBorders>
          </w:tcPr>
          <w:p w14:paraId="7326D08F" w14:textId="77777777" w:rsidR="00EF3DFB" w:rsidRDefault="00EF3DFB">
            <w:pPr>
              <w:pStyle w:val="TableParagraph"/>
              <w:rPr>
                <w:sz w:val="20"/>
              </w:rPr>
            </w:pPr>
          </w:p>
        </w:tc>
        <w:tc>
          <w:tcPr>
            <w:tcW w:w="861" w:type="dxa"/>
            <w:tcBorders>
              <w:bottom w:val="single" w:sz="8" w:space="0" w:color="000000"/>
            </w:tcBorders>
          </w:tcPr>
          <w:p w14:paraId="7326D090" w14:textId="77777777" w:rsidR="00EF3DFB" w:rsidRDefault="00EF3DFB">
            <w:pPr>
              <w:pStyle w:val="TableParagraph"/>
              <w:rPr>
                <w:b/>
              </w:rPr>
            </w:pPr>
          </w:p>
          <w:p w14:paraId="7326D091" w14:textId="77777777" w:rsidR="00EF3DFB" w:rsidRDefault="00D27C17">
            <w:pPr>
              <w:pStyle w:val="TableParagraph"/>
              <w:spacing w:before="142" w:line="230" w:lineRule="exact"/>
              <w:ind w:left="461" w:right="-15"/>
              <w:rPr>
                <w:b/>
                <w:sz w:val="20"/>
              </w:rPr>
            </w:pPr>
            <w:r>
              <w:rPr>
                <w:b/>
                <w:sz w:val="20"/>
              </w:rPr>
              <w:t>2019</w:t>
            </w:r>
          </w:p>
        </w:tc>
        <w:tc>
          <w:tcPr>
            <w:tcW w:w="414" w:type="dxa"/>
            <w:tcBorders>
              <w:bottom w:val="single" w:sz="8" w:space="0" w:color="000000"/>
            </w:tcBorders>
          </w:tcPr>
          <w:p w14:paraId="7326D092" w14:textId="77777777" w:rsidR="00EF3DFB" w:rsidRDefault="00EF3DFB">
            <w:pPr>
              <w:pStyle w:val="TableParagraph"/>
              <w:rPr>
                <w:sz w:val="20"/>
              </w:rPr>
            </w:pPr>
          </w:p>
        </w:tc>
        <w:tc>
          <w:tcPr>
            <w:tcW w:w="911" w:type="dxa"/>
            <w:tcBorders>
              <w:bottom w:val="single" w:sz="8" w:space="0" w:color="000000"/>
            </w:tcBorders>
          </w:tcPr>
          <w:p w14:paraId="7326D093" w14:textId="77777777" w:rsidR="00EF3DFB" w:rsidRDefault="00EF3DFB">
            <w:pPr>
              <w:pStyle w:val="TableParagraph"/>
              <w:rPr>
                <w:b/>
              </w:rPr>
            </w:pPr>
          </w:p>
          <w:p w14:paraId="7326D094" w14:textId="77777777" w:rsidR="00EF3DFB" w:rsidRDefault="00D27C17">
            <w:pPr>
              <w:pStyle w:val="TableParagraph"/>
              <w:spacing w:before="142" w:line="230" w:lineRule="exact"/>
              <w:ind w:left="461"/>
              <w:rPr>
                <w:b/>
                <w:sz w:val="20"/>
              </w:rPr>
            </w:pPr>
            <w:r>
              <w:rPr>
                <w:b/>
                <w:sz w:val="20"/>
              </w:rPr>
              <w:t>2018</w:t>
            </w:r>
          </w:p>
        </w:tc>
        <w:tc>
          <w:tcPr>
            <w:tcW w:w="341" w:type="dxa"/>
            <w:tcBorders>
              <w:bottom w:val="single" w:sz="8" w:space="0" w:color="000000"/>
            </w:tcBorders>
          </w:tcPr>
          <w:p w14:paraId="7326D095" w14:textId="77777777" w:rsidR="00EF3DFB" w:rsidRDefault="00EF3DFB">
            <w:pPr>
              <w:pStyle w:val="TableParagraph"/>
              <w:rPr>
                <w:sz w:val="20"/>
              </w:rPr>
            </w:pPr>
          </w:p>
        </w:tc>
      </w:tr>
      <w:tr w:rsidR="00EF3DFB" w14:paraId="7326D09E" w14:textId="77777777">
        <w:trPr>
          <w:trHeight w:val="290"/>
        </w:trPr>
        <w:tc>
          <w:tcPr>
            <w:tcW w:w="4581" w:type="dxa"/>
            <w:shd w:val="clear" w:color="auto" w:fill="CCEDFF"/>
          </w:tcPr>
          <w:p w14:paraId="7326D097" w14:textId="77777777" w:rsidR="00EF3DFB" w:rsidRDefault="00D27C17">
            <w:pPr>
              <w:pStyle w:val="TableParagraph"/>
              <w:spacing w:line="221" w:lineRule="exact"/>
              <w:ind w:left="62"/>
              <w:rPr>
                <w:b/>
                <w:sz w:val="20"/>
              </w:rPr>
            </w:pPr>
            <w:r>
              <w:rPr>
                <w:b/>
                <w:sz w:val="20"/>
              </w:rPr>
              <w:t>Capital expenditures</w:t>
            </w:r>
          </w:p>
        </w:tc>
        <w:tc>
          <w:tcPr>
            <w:tcW w:w="3099" w:type="dxa"/>
            <w:tcBorders>
              <w:top w:val="single" w:sz="8" w:space="0" w:color="000000"/>
            </w:tcBorders>
            <w:shd w:val="clear" w:color="auto" w:fill="CCEDFF"/>
          </w:tcPr>
          <w:p w14:paraId="7326D098" w14:textId="77777777" w:rsidR="00EF3DFB" w:rsidRDefault="00EF3DFB">
            <w:pPr>
              <w:pStyle w:val="TableParagraph"/>
              <w:rPr>
                <w:sz w:val="20"/>
              </w:rPr>
            </w:pPr>
          </w:p>
        </w:tc>
        <w:tc>
          <w:tcPr>
            <w:tcW w:w="414" w:type="dxa"/>
            <w:tcBorders>
              <w:top w:val="single" w:sz="8" w:space="0" w:color="000000"/>
            </w:tcBorders>
            <w:shd w:val="clear" w:color="auto" w:fill="CCEDFF"/>
          </w:tcPr>
          <w:p w14:paraId="7326D099" w14:textId="77777777" w:rsidR="00EF3DFB" w:rsidRDefault="00EF3DFB">
            <w:pPr>
              <w:pStyle w:val="TableParagraph"/>
              <w:rPr>
                <w:sz w:val="20"/>
              </w:rPr>
            </w:pPr>
          </w:p>
        </w:tc>
        <w:tc>
          <w:tcPr>
            <w:tcW w:w="861" w:type="dxa"/>
            <w:tcBorders>
              <w:top w:val="single" w:sz="8" w:space="0" w:color="000000"/>
            </w:tcBorders>
            <w:shd w:val="clear" w:color="auto" w:fill="CCEDFF"/>
          </w:tcPr>
          <w:p w14:paraId="7326D09A" w14:textId="77777777" w:rsidR="00EF3DFB" w:rsidRDefault="00EF3DFB">
            <w:pPr>
              <w:pStyle w:val="TableParagraph"/>
              <w:rPr>
                <w:sz w:val="20"/>
              </w:rPr>
            </w:pPr>
          </w:p>
        </w:tc>
        <w:tc>
          <w:tcPr>
            <w:tcW w:w="414" w:type="dxa"/>
            <w:tcBorders>
              <w:top w:val="single" w:sz="8" w:space="0" w:color="000000"/>
            </w:tcBorders>
            <w:shd w:val="clear" w:color="auto" w:fill="CCEDFF"/>
          </w:tcPr>
          <w:p w14:paraId="7326D09B" w14:textId="77777777" w:rsidR="00EF3DFB" w:rsidRDefault="00EF3DFB">
            <w:pPr>
              <w:pStyle w:val="TableParagraph"/>
              <w:rPr>
                <w:sz w:val="20"/>
              </w:rPr>
            </w:pPr>
          </w:p>
        </w:tc>
        <w:tc>
          <w:tcPr>
            <w:tcW w:w="911" w:type="dxa"/>
            <w:tcBorders>
              <w:top w:val="single" w:sz="8" w:space="0" w:color="000000"/>
            </w:tcBorders>
            <w:shd w:val="clear" w:color="auto" w:fill="CCEDFF"/>
          </w:tcPr>
          <w:p w14:paraId="7326D09C" w14:textId="77777777" w:rsidR="00EF3DFB" w:rsidRDefault="00EF3DFB">
            <w:pPr>
              <w:pStyle w:val="TableParagraph"/>
              <w:rPr>
                <w:sz w:val="20"/>
              </w:rPr>
            </w:pPr>
          </w:p>
        </w:tc>
        <w:tc>
          <w:tcPr>
            <w:tcW w:w="341" w:type="dxa"/>
            <w:tcBorders>
              <w:top w:val="single" w:sz="8" w:space="0" w:color="000000"/>
            </w:tcBorders>
            <w:shd w:val="clear" w:color="auto" w:fill="CCEDFF"/>
          </w:tcPr>
          <w:p w14:paraId="7326D09D" w14:textId="77777777" w:rsidR="00EF3DFB" w:rsidRDefault="00EF3DFB">
            <w:pPr>
              <w:pStyle w:val="TableParagraph"/>
              <w:rPr>
                <w:sz w:val="20"/>
              </w:rPr>
            </w:pPr>
          </w:p>
        </w:tc>
      </w:tr>
      <w:tr w:rsidR="00EF3DFB" w14:paraId="7326D0A6" w14:textId="77777777">
        <w:trPr>
          <w:trHeight w:val="300"/>
        </w:trPr>
        <w:tc>
          <w:tcPr>
            <w:tcW w:w="4581" w:type="dxa"/>
          </w:tcPr>
          <w:p w14:paraId="7326D09F" w14:textId="77777777" w:rsidR="00EF3DFB" w:rsidRDefault="00D27C17">
            <w:pPr>
              <w:pStyle w:val="TableParagraph"/>
              <w:spacing w:before="4"/>
              <w:ind w:left="62"/>
              <w:rPr>
                <w:sz w:val="20"/>
              </w:rPr>
            </w:pPr>
            <w:r>
              <w:rPr>
                <w:sz w:val="20"/>
              </w:rPr>
              <w:t>Appliances and Cookware</w:t>
            </w:r>
          </w:p>
        </w:tc>
        <w:tc>
          <w:tcPr>
            <w:tcW w:w="3099" w:type="dxa"/>
          </w:tcPr>
          <w:p w14:paraId="7326D0A0" w14:textId="77777777" w:rsidR="00EF3DFB" w:rsidRDefault="00D27C17">
            <w:pPr>
              <w:pStyle w:val="TableParagraph"/>
              <w:spacing w:before="40"/>
              <w:ind w:left="2351"/>
              <w:rPr>
                <w:sz w:val="20"/>
              </w:rPr>
            </w:pPr>
            <w:r>
              <w:rPr>
                <w:sz w:val="20"/>
              </w:rPr>
              <w:t>$</w:t>
            </w:r>
          </w:p>
        </w:tc>
        <w:tc>
          <w:tcPr>
            <w:tcW w:w="414" w:type="dxa"/>
          </w:tcPr>
          <w:p w14:paraId="7326D0A1" w14:textId="77777777" w:rsidR="00EF3DFB" w:rsidRDefault="00D27C17">
            <w:pPr>
              <w:pStyle w:val="TableParagraph"/>
              <w:spacing w:before="40"/>
              <w:ind w:right="93"/>
              <w:jc w:val="right"/>
              <w:rPr>
                <w:sz w:val="20"/>
              </w:rPr>
            </w:pPr>
            <w:r>
              <w:rPr>
                <w:sz w:val="20"/>
              </w:rPr>
              <w:t>16</w:t>
            </w:r>
          </w:p>
        </w:tc>
        <w:tc>
          <w:tcPr>
            <w:tcW w:w="861" w:type="dxa"/>
          </w:tcPr>
          <w:p w14:paraId="7326D0A2" w14:textId="77777777" w:rsidR="00EF3DFB" w:rsidRDefault="00D27C17">
            <w:pPr>
              <w:pStyle w:val="TableParagraph"/>
              <w:spacing w:before="40"/>
              <w:ind w:left="113"/>
              <w:rPr>
                <w:sz w:val="20"/>
              </w:rPr>
            </w:pPr>
            <w:r>
              <w:rPr>
                <w:sz w:val="20"/>
              </w:rPr>
              <w:t>$</w:t>
            </w:r>
          </w:p>
        </w:tc>
        <w:tc>
          <w:tcPr>
            <w:tcW w:w="414" w:type="dxa"/>
          </w:tcPr>
          <w:p w14:paraId="7326D0A3" w14:textId="77777777" w:rsidR="00EF3DFB" w:rsidRDefault="00D27C17">
            <w:pPr>
              <w:pStyle w:val="TableParagraph"/>
              <w:spacing w:before="40"/>
              <w:ind w:right="93"/>
              <w:jc w:val="right"/>
              <w:rPr>
                <w:sz w:val="20"/>
              </w:rPr>
            </w:pPr>
            <w:r>
              <w:rPr>
                <w:sz w:val="20"/>
              </w:rPr>
              <w:t>17</w:t>
            </w:r>
          </w:p>
        </w:tc>
        <w:tc>
          <w:tcPr>
            <w:tcW w:w="911" w:type="dxa"/>
          </w:tcPr>
          <w:p w14:paraId="7326D0A4" w14:textId="77777777" w:rsidR="00EF3DFB" w:rsidRDefault="00D27C17">
            <w:pPr>
              <w:pStyle w:val="TableParagraph"/>
              <w:spacing w:before="40"/>
              <w:ind w:left="113"/>
              <w:rPr>
                <w:sz w:val="20"/>
              </w:rPr>
            </w:pPr>
            <w:r>
              <w:rPr>
                <w:sz w:val="20"/>
              </w:rPr>
              <w:t>$</w:t>
            </w:r>
          </w:p>
        </w:tc>
        <w:tc>
          <w:tcPr>
            <w:tcW w:w="341" w:type="dxa"/>
          </w:tcPr>
          <w:p w14:paraId="7326D0A5" w14:textId="77777777" w:rsidR="00EF3DFB" w:rsidRDefault="00D27C17">
            <w:pPr>
              <w:pStyle w:val="TableParagraph"/>
              <w:spacing w:before="40"/>
              <w:ind w:left="68"/>
              <w:rPr>
                <w:sz w:val="20"/>
              </w:rPr>
            </w:pPr>
            <w:r>
              <w:rPr>
                <w:sz w:val="20"/>
              </w:rPr>
              <w:t>23</w:t>
            </w:r>
          </w:p>
        </w:tc>
      </w:tr>
      <w:tr w:rsidR="00EF3DFB" w14:paraId="7326D0AE" w14:textId="77777777">
        <w:trPr>
          <w:trHeight w:val="300"/>
        </w:trPr>
        <w:tc>
          <w:tcPr>
            <w:tcW w:w="4581" w:type="dxa"/>
            <w:shd w:val="clear" w:color="auto" w:fill="CCEDFF"/>
          </w:tcPr>
          <w:p w14:paraId="7326D0A7" w14:textId="77777777" w:rsidR="00EF3DFB" w:rsidRDefault="00D27C17">
            <w:pPr>
              <w:pStyle w:val="TableParagraph"/>
              <w:spacing w:before="4"/>
              <w:ind w:left="62"/>
              <w:rPr>
                <w:sz w:val="20"/>
              </w:rPr>
            </w:pPr>
            <w:r>
              <w:rPr>
                <w:sz w:val="20"/>
              </w:rPr>
              <w:t>Commercial Solutions</w:t>
            </w:r>
          </w:p>
        </w:tc>
        <w:tc>
          <w:tcPr>
            <w:tcW w:w="3099" w:type="dxa"/>
            <w:shd w:val="clear" w:color="auto" w:fill="CCEDFF"/>
          </w:tcPr>
          <w:p w14:paraId="7326D0A8" w14:textId="77777777" w:rsidR="00EF3DFB" w:rsidRDefault="00EF3DFB">
            <w:pPr>
              <w:pStyle w:val="TableParagraph"/>
              <w:rPr>
                <w:sz w:val="20"/>
              </w:rPr>
            </w:pPr>
          </w:p>
        </w:tc>
        <w:tc>
          <w:tcPr>
            <w:tcW w:w="414" w:type="dxa"/>
            <w:shd w:val="clear" w:color="auto" w:fill="CCEDFF"/>
          </w:tcPr>
          <w:p w14:paraId="7326D0A9" w14:textId="77777777" w:rsidR="00EF3DFB" w:rsidRDefault="00D27C17">
            <w:pPr>
              <w:pStyle w:val="TableParagraph"/>
              <w:spacing w:before="40"/>
              <w:ind w:right="93"/>
              <w:jc w:val="right"/>
              <w:rPr>
                <w:sz w:val="20"/>
              </w:rPr>
            </w:pPr>
            <w:r>
              <w:rPr>
                <w:sz w:val="20"/>
              </w:rPr>
              <w:t>72</w:t>
            </w:r>
          </w:p>
        </w:tc>
        <w:tc>
          <w:tcPr>
            <w:tcW w:w="861" w:type="dxa"/>
            <w:shd w:val="clear" w:color="auto" w:fill="CCEDFF"/>
          </w:tcPr>
          <w:p w14:paraId="7326D0AA" w14:textId="77777777" w:rsidR="00EF3DFB" w:rsidRDefault="00EF3DFB">
            <w:pPr>
              <w:pStyle w:val="TableParagraph"/>
              <w:rPr>
                <w:sz w:val="20"/>
              </w:rPr>
            </w:pPr>
          </w:p>
        </w:tc>
        <w:tc>
          <w:tcPr>
            <w:tcW w:w="414" w:type="dxa"/>
            <w:shd w:val="clear" w:color="auto" w:fill="CCEDFF"/>
          </w:tcPr>
          <w:p w14:paraId="7326D0AB" w14:textId="77777777" w:rsidR="00EF3DFB" w:rsidRDefault="00D27C17">
            <w:pPr>
              <w:pStyle w:val="TableParagraph"/>
              <w:spacing w:before="40"/>
              <w:ind w:right="93"/>
              <w:jc w:val="right"/>
              <w:rPr>
                <w:sz w:val="20"/>
              </w:rPr>
            </w:pPr>
            <w:r>
              <w:rPr>
                <w:sz w:val="20"/>
              </w:rPr>
              <w:t>40</w:t>
            </w:r>
          </w:p>
        </w:tc>
        <w:tc>
          <w:tcPr>
            <w:tcW w:w="911" w:type="dxa"/>
            <w:shd w:val="clear" w:color="auto" w:fill="CCEDFF"/>
          </w:tcPr>
          <w:p w14:paraId="7326D0AC" w14:textId="77777777" w:rsidR="00EF3DFB" w:rsidRDefault="00EF3DFB">
            <w:pPr>
              <w:pStyle w:val="TableParagraph"/>
              <w:rPr>
                <w:sz w:val="20"/>
              </w:rPr>
            </w:pPr>
          </w:p>
        </w:tc>
        <w:tc>
          <w:tcPr>
            <w:tcW w:w="341" w:type="dxa"/>
            <w:shd w:val="clear" w:color="auto" w:fill="CCEDFF"/>
          </w:tcPr>
          <w:p w14:paraId="7326D0AD" w14:textId="77777777" w:rsidR="00EF3DFB" w:rsidRDefault="00D27C17">
            <w:pPr>
              <w:pStyle w:val="TableParagraph"/>
              <w:spacing w:before="40"/>
              <w:ind w:left="68"/>
              <w:rPr>
                <w:sz w:val="20"/>
              </w:rPr>
            </w:pPr>
            <w:r>
              <w:rPr>
                <w:sz w:val="20"/>
              </w:rPr>
              <w:t>44</w:t>
            </w:r>
          </w:p>
        </w:tc>
      </w:tr>
      <w:tr w:rsidR="00EF3DFB" w14:paraId="7326D0B6" w14:textId="77777777">
        <w:trPr>
          <w:trHeight w:val="300"/>
        </w:trPr>
        <w:tc>
          <w:tcPr>
            <w:tcW w:w="4581" w:type="dxa"/>
          </w:tcPr>
          <w:p w14:paraId="7326D0AF" w14:textId="77777777" w:rsidR="00EF3DFB" w:rsidRDefault="00D27C17">
            <w:pPr>
              <w:pStyle w:val="TableParagraph"/>
              <w:spacing w:before="4"/>
              <w:ind w:left="62"/>
              <w:rPr>
                <w:sz w:val="20"/>
              </w:rPr>
            </w:pPr>
            <w:r>
              <w:rPr>
                <w:sz w:val="20"/>
              </w:rPr>
              <w:t>Home Solutions</w:t>
            </w:r>
          </w:p>
        </w:tc>
        <w:tc>
          <w:tcPr>
            <w:tcW w:w="3099" w:type="dxa"/>
          </w:tcPr>
          <w:p w14:paraId="7326D0B0" w14:textId="77777777" w:rsidR="00EF3DFB" w:rsidRDefault="00EF3DFB">
            <w:pPr>
              <w:pStyle w:val="TableParagraph"/>
              <w:rPr>
                <w:sz w:val="20"/>
              </w:rPr>
            </w:pPr>
          </w:p>
        </w:tc>
        <w:tc>
          <w:tcPr>
            <w:tcW w:w="414" w:type="dxa"/>
          </w:tcPr>
          <w:p w14:paraId="7326D0B1" w14:textId="77777777" w:rsidR="00EF3DFB" w:rsidRDefault="00D27C17">
            <w:pPr>
              <w:pStyle w:val="TableParagraph"/>
              <w:spacing w:before="40"/>
              <w:ind w:right="93"/>
              <w:jc w:val="right"/>
              <w:rPr>
                <w:sz w:val="20"/>
              </w:rPr>
            </w:pPr>
            <w:r>
              <w:rPr>
                <w:sz w:val="20"/>
              </w:rPr>
              <w:t>38</w:t>
            </w:r>
          </w:p>
        </w:tc>
        <w:tc>
          <w:tcPr>
            <w:tcW w:w="861" w:type="dxa"/>
          </w:tcPr>
          <w:p w14:paraId="7326D0B2" w14:textId="77777777" w:rsidR="00EF3DFB" w:rsidRDefault="00EF3DFB">
            <w:pPr>
              <w:pStyle w:val="TableParagraph"/>
              <w:rPr>
                <w:sz w:val="20"/>
              </w:rPr>
            </w:pPr>
          </w:p>
        </w:tc>
        <w:tc>
          <w:tcPr>
            <w:tcW w:w="414" w:type="dxa"/>
          </w:tcPr>
          <w:p w14:paraId="7326D0B3" w14:textId="77777777" w:rsidR="00EF3DFB" w:rsidRDefault="00D27C17">
            <w:pPr>
              <w:pStyle w:val="TableParagraph"/>
              <w:spacing w:before="40"/>
              <w:ind w:right="93"/>
              <w:jc w:val="right"/>
              <w:rPr>
                <w:sz w:val="20"/>
              </w:rPr>
            </w:pPr>
            <w:r>
              <w:rPr>
                <w:sz w:val="20"/>
              </w:rPr>
              <w:t>43</w:t>
            </w:r>
          </w:p>
        </w:tc>
        <w:tc>
          <w:tcPr>
            <w:tcW w:w="911" w:type="dxa"/>
          </w:tcPr>
          <w:p w14:paraId="7326D0B4" w14:textId="77777777" w:rsidR="00EF3DFB" w:rsidRDefault="00EF3DFB">
            <w:pPr>
              <w:pStyle w:val="TableParagraph"/>
              <w:rPr>
                <w:sz w:val="20"/>
              </w:rPr>
            </w:pPr>
          </w:p>
        </w:tc>
        <w:tc>
          <w:tcPr>
            <w:tcW w:w="341" w:type="dxa"/>
          </w:tcPr>
          <w:p w14:paraId="7326D0B5" w14:textId="77777777" w:rsidR="00EF3DFB" w:rsidRDefault="00D27C17">
            <w:pPr>
              <w:pStyle w:val="TableParagraph"/>
              <w:spacing w:before="40"/>
              <w:ind w:left="68"/>
              <w:rPr>
                <w:sz w:val="20"/>
              </w:rPr>
            </w:pPr>
            <w:r>
              <w:rPr>
                <w:sz w:val="20"/>
              </w:rPr>
              <w:t>50</w:t>
            </w:r>
          </w:p>
        </w:tc>
      </w:tr>
      <w:tr w:rsidR="00EF3DFB" w14:paraId="7326D0BE" w14:textId="77777777">
        <w:trPr>
          <w:trHeight w:val="300"/>
        </w:trPr>
        <w:tc>
          <w:tcPr>
            <w:tcW w:w="4581" w:type="dxa"/>
            <w:shd w:val="clear" w:color="auto" w:fill="CCEDFF"/>
          </w:tcPr>
          <w:p w14:paraId="7326D0B7" w14:textId="77777777" w:rsidR="00EF3DFB" w:rsidRDefault="00D27C17">
            <w:pPr>
              <w:pStyle w:val="TableParagraph"/>
              <w:spacing w:before="4"/>
              <w:ind w:left="62"/>
              <w:rPr>
                <w:sz w:val="20"/>
              </w:rPr>
            </w:pPr>
            <w:r>
              <w:rPr>
                <w:sz w:val="20"/>
              </w:rPr>
              <w:t>Learning and Development</w:t>
            </w:r>
          </w:p>
        </w:tc>
        <w:tc>
          <w:tcPr>
            <w:tcW w:w="3099" w:type="dxa"/>
            <w:shd w:val="clear" w:color="auto" w:fill="CCEDFF"/>
          </w:tcPr>
          <w:p w14:paraId="7326D0B8" w14:textId="77777777" w:rsidR="00EF3DFB" w:rsidRDefault="00EF3DFB">
            <w:pPr>
              <w:pStyle w:val="TableParagraph"/>
              <w:rPr>
                <w:sz w:val="20"/>
              </w:rPr>
            </w:pPr>
          </w:p>
        </w:tc>
        <w:tc>
          <w:tcPr>
            <w:tcW w:w="414" w:type="dxa"/>
            <w:shd w:val="clear" w:color="auto" w:fill="CCEDFF"/>
          </w:tcPr>
          <w:p w14:paraId="7326D0B9" w14:textId="77777777" w:rsidR="00EF3DFB" w:rsidRDefault="00D27C17">
            <w:pPr>
              <w:pStyle w:val="TableParagraph"/>
              <w:spacing w:before="40"/>
              <w:ind w:right="93"/>
              <w:jc w:val="right"/>
              <w:rPr>
                <w:sz w:val="20"/>
              </w:rPr>
            </w:pPr>
            <w:r>
              <w:rPr>
                <w:sz w:val="20"/>
              </w:rPr>
              <w:t>69</w:t>
            </w:r>
          </w:p>
        </w:tc>
        <w:tc>
          <w:tcPr>
            <w:tcW w:w="861" w:type="dxa"/>
            <w:shd w:val="clear" w:color="auto" w:fill="CCEDFF"/>
          </w:tcPr>
          <w:p w14:paraId="7326D0BA" w14:textId="77777777" w:rsidR="00EF3DFB" w:rsidRDefault="00EF3DFB">
            <w:pPr>
              <w:pStyle w:val="TableParagraph"/>
              <w:rPr>
                <w:sz w:val="20"/>
              </w:rPr>
            </w:pPr>
          </w:p>
        </w:tc>
        <w:tc>
          <w:tcPr>
            <w:tcW w:w="414" w:type="dxa"/>
            <w:shd w:val="clear" w:color="auto" w:fill="CCEDFF"/>
          </w:tcPr>
          <w:p w14:paraId="7326D0BB" w14:textId="77777777" w:rsidR="00EF3DFB" w:rsidRDefault="00D27C17">
            <w:pPr>
              <w:pStyle w:val="TableParagraph"/>
              <w:spacing w:before="40"/>
              <w:ind w:right="93"/>
              <w:jc w:val="right"/>
              <w:rPr>
                <w:sz w:val="20"/>
              </w:rPr>
            </w:pPr>
            <w:r>
              <w:rPr>
                <w:sz w:val="20"/>
              </w:rPr>
              <w:t>68</w:t>
            </w:r>
          </w:p>
        </w:tc>
        <w:tc>
          <w:tcPr>
            <w:tcW w:w="911" w:type="dxa"/>
            <w:shd w:val="clear" w:color="auto" w:fill="CCEDFF"/>
          </w:tcPr>
          <w:p w14:paraId="7326D0BC" w14:textId="77777777" w:rsidR="00EF3DFB" w:rsidRDefault="00EF3DFB">
            <w:pPr>
              <w:pStyle w:val="TableParagraph"/>
              <w:rPr>
                <w:sz w:val="20"/>
              </w:rPr>
            </w:pPr>
          </w:p>
        </w:tc>
        <w:tc>
          <w:tcPr>
            <w:tcW w:w="341" w:type="dxa"/>
            <w:shd w:val="clear" w:color="auto" w:fill="CCEDFF"/>
          </w:tcPr>
          <w:p w14:paraId="7326D0BD" w14:textId="77777777" w:rsidR="00EF3DFB" w:rsidRDefault="00D27C17">
            <w:pPr>
              <w:pStyle w:val="TableParagraph"/>
              <w:spacing w:before="40"/>
              <w:ind w:left="68"/>
              <w:rPr>
                <w:sz w:val="20"/>
              </w:rPr>
            </w:pPr>
            <w:r>
              <w:rPr>
                <w:sz w:val="20"/>
              </w:rPr>
              <w:t>55</w:t>
            </w:r>
          </w:p>
        </w:tc>
      </w:tr>
      <w:tr w:rsidR="00EF3DFB" w14:paraId="7326D0C6" w14:textId="77777777">
        <w:trPr>
          <w:trHeight w:val="300"/>
        </w:trPr>
        <w:tc>
          <w:tcPr>
            <w:tcW w:w="4581" w:type="dxa"/>
          </w:tcPr>
          <w:p w14:paraId="7326D0BF" w14:textId="77777777" w:rsidR="00EF3DFB" w:rsidRDefault="00D27C17">
            <w:pPr>
              <w:pStyle w:val="TableParagraph"/>
              <w:spacing w:before="4"/>
              <w:ind w:left="62"/>
              <w:rPr>
                <w:sz w:val="20"/>
              </w:rPr>
            </w:pPr>
            <w:r>
              <w:rPr>
                <w:sz w:val="20"/>
              </w:rPr>
              <w:t>Outdoor and Recreation</w:t>
            </w:r>
          </w:p>
        </w:tc>
        <w:tc>
          <w:tcPr>
            <w:tcW w:w="3099" w:type="dxa"/>
          </w:tcPr>
          <w:p w14:paraId="7326D0C0" w14:textId="77777777" w:rsidR="00EF3DFB" w:rsidRDefault="00EF3DFB">
            <w:pPr>
              <w:pStyle w:val="TableParagraph"/>
              <w:rPr>
                <w:sz w:val="20"/>
              </w:rPr>
            </w:pPr>
          </w:p>
        </w:tc>
        <w:tc>
          <w:tcPr>
            <w:tcW w:w="414" w:type="dxa"/>
          </w:tcPr>
          <w:p w14:paraId="7326D0C1" w14:textId="77777777" w:rsidR="00EF3DFB" w:rsidRDefault="00D27C17">
            <w:pPr>
              <w:pStyle w:val="TableParagraph"/>
              <w:spacing w:before="40"/>
              <w:ind w:right="93"/>
              <w:jc w:val="right"/>
              <w:rPr>
                <w:sz w:val="20"/>
              </w:rPr>
            </w:pPr>
            <w:r>
              <w:rPr>
                <w:sz w:val="20"/>
              </w:rPr>
              <w:t>24</w:t>
            </w:r>
          </w:p>
        </w:tc>
        <w:tc>
          <w:tcPr>
            <w:tcW w:w="861" w:type="dxa"/>
          </w:tcPr>
          <w:p w14:paraId="7326D0C2" w14:textId="77777777" w:rsidR="00EF3DFB" w:rsidRDefault="00EF3DFB">
            <w:pPr>
              <w:pStyle w:val="TableParagraph"/>
              <w:rPr>
                <w:sz w:val="20"/>
              </w:rPr>
            </w:pPr>
          </w:p>
        </w:tc>
        <w:tc>
          <w:tcPr>
            <w:tcW w:w="414" w:type="dxa"/>
          </w:tcPr>
          <w:p w14:paraId="7326D0C3" w14:textId="77777777" w:rsidR="00EF3DFB" w:rsidRDefault="00D27C17">
            <w:pPr>
              <w:pStyle w:val="TableParagraph"/>
              <w:spacing w:before="40"/>
              <w:ind w:right="93"/>
              <w:jc w:val="right"/>
              <w:rPr>
                <w:sz w:val="20"/>
              </w:rPr>
            </w:pPr>
            <w:r>
              <w:rPr>
                <w:sz w:val="20"/>
              </w:rPr>
              <w:t>21</w:t>
            </w:r>
          </w:p>
        </w:tc>
        <w:tc>
          <w:tcPr>
            <w:tcW w:w="911" w:type="dxa"/>
          </w:tcPr>
          <w:p w14:paraId="7326D0C4" w14:textId="77777777" w:rsidR="00EF3DFB" w:rsidRDefault="00EF3DFB">
            <w:pPr>
              <w:pStyle w:val="TableParagraph"/>
              <w:rPr>
                <w:sz w:val="20"/>
              </w:rPr>
            </w:pPr>
          </w:p>
        </w:tc>
        <w:tc>
          <w:tcPr>
            <w:tcW w:w="341" w:type="dxa"/>
          </w:tcPr>
          <w:p w14:paraId="7326D0C5" w14:textId="77777777" w:rsidR="00EF3DFB" w:rsidRDefault="00D27C17">
            <w:pPr>
              <w:pStyle w:val="TableParagraph"/>
              <w:spacing w:before="40"/>
              <w:ind w:left="68"/>
              <w:rPr>
                <w:sz w:val="20"/>
              </w:rPr>
            </w:pPr>
            <w:r>
              <w:rPr>
                <w:sz w:val="20"/>
              </w:rPr>
              <w:t>16</w:t>
            </w:r>
          </w:p>
        </w:tc>
      </w:tr>
      <w:tr w:rsidR="00EF3DFB" w14:paraId="7326D0CE" w14:textId="77777777">
        <w:trPr>
          <w:trHeight w:val="290"/>
        </w:trPr>
        <w:tc>
          <w:tcPr>
            <w:tcW w:w="4581" w:type="dxa"/>
            <w:shd w:val="clear" w:color="auto" w:fill="CCEDFF"/>
          </w:tcPr>
          <w:p w14:paraId="7326D0C7" w14:textId="77777777" w:rsidR="00EF3DFB" w:rsidRDefault="00D27C17">
            <w:pPr>
              <w:pStyle w:val="TableParagraph"/>
              <w:spacing w:before="4"/>
              <w:ind w:left="62"/>
              <w:rPr>
                <w:sz w:val="20"/>
              </w:rPr>
            </w:pPr>
            <w:r>
              <w:rPr>
                <w:sz w:val="20"/>
              </w:rPr>
              <w:t>Corporate</w:t>
            </w:r>
          </w:p>
        </w:tc>
        <w:tc>
          <w:tcPr>
            <w:tcW w:w="3099" w:type="dxa"/>
            <w:tcBorders>
              <w:bottom w:val="single" w:sz="8" w:space="0" w:color="000000"/>
            </w:tcBorders>
            <w:shd w:val="clear" w:color="auto" w:fill="CCEDFF"/>
          </w:tcPr>
          <w:p w14:paraId="7326D0C8" w14:textId="77777777" w:rsidR="00EF3DFB" w:rsidRDefault="00EF3DFB">
            <w:pPr>
              <w:pStyle w:val="TableParagraph"/>
              <w:rPr>
                <w:sz w:val="20"/>
              </w:rPr>
            </w:pPr>
          </w:p>
        </w:tc>
        <w:tc>
          <w:tcPr>
            <w:tcW w:w="414" w:type="dxa"/>
            <w:tcBorders>
              <w:bottom w:val="single" w:sz="8" w:space="0" w:color="000000"/>
            </w:tcBorders>
            <w:shd w:val="clear" w:color="auto" w:fill="CCEDFF"/>
          </w:tcPr>
          <w:p w14:paraId="7326D0C9" w14:textId="77777777" w:rsidR="00EF3DFB" w:rsidRDefault="00D27C17">
            <w:pPr>
              <w:pStyle w:val="TableParagraph"/>
              <w:spacing w:before="40" w:line="230" w:lineRule="exact"/>
              <w:ind w:right="93"/>
              <w:jc w:val="right"/>
              <w:rPr>
                <w:sz w:val="20"/>
              </w:rPr>
            </w:pPr>
            <w:r>
              <w:rPr>
                <w:sz w:val="20"/>
              </w:rPr>
              <w:t>40</w:t>
            </w:r>
          </w:p>
        </w:tc>
        <w:tc>
          <w:tcPr>
            <w:tcW w:w="861" w:type="dxa"/>
            <w:tcBorders>
              <w:bottom w:val="single" w:sz="8" w:space="0" w:color="000000"/>
            </w:tcBorders>
            <w:shd w:val="clear" w:color="auto" w:fill="CCEDFF"/>
          </w:tcPr>
          <w:p w14:paraId="7326D0CA" w14:textId="77777777" w:rsidR="00EF3DFB" w:rsidRDefault="00EF3DFB">
            <w:pPr>
              <w:pStyle w:val="TableParagraph"/>
              <w:rPr>
                <w:sz w:val="20"/>
              </w:rPr>
            </w:pPr>
          </w:p>
        </w:tc>
        <w:tc>
          <w:tcPr>
            <w:tcW w:w="414" w:type="dxa"/>
            <w:tcBorders>
              <w:bottom w:val="single" w:sz="8" w:space="0" w:color="000000"/>
            </w:tcBorders>
            <w:shd w:val="clear" w:color="auto" w:fill="CCEDFF"/>
          </w:tcPr>
          <w:p w14:paraId="7326D0CB" w14:textId="77777777" w:rsidR="00EF3DFB" w:rsidRDefault="00D27C17">
            <w:pPr>
              <w:pStyle w:val="TableParagraph"/>
              <w:spacing w:before="40" w:line="230" w:lineRule="exact"/>
              <w:ind w:right="93"/>
              <w:jc w:val="right"/>
              <w:rPr>
                <w:sz w:val="20"/>
              </w:rPr>
            </w:pPr>
            <w:r>
              <w:rPr>
                <w:sz w:val="20"/>
              </w:rPr>
              <w:t>59</w:t>
            </w:r>
          </w:p>
        </w:tc>
        <w:tc>
          <w:tcPr>
            <w:tcW w:w="911" w:type="dxa"/>
            <w:tcBorders>
              <w:bottom w:val="single" w:sz="8" w:space="0" w:color="000000"/>
            </w:tcBorders>
            <w:shd w:val="clear" w:color="auto" w:fill="CCEDFF"/>
          </w:tcPr>
          <w:p w14:paraId="7326D0CC" w14:textId="77777777" w:rsidR="00EF3DFB" w:rsidRDefault="00EF3DFB">
            <w:pPr>
              <w:pStyle w:val="TableParagraph"/>
              <w:rPr>
                <w:sz w:val="20"/>
              </w:rPr>
            </w:pPr>
          </w:p>
        </w:tc>
        <w:tc>
          <w:tcPr>
            <w:tcW w:w="341" w:type="dxa"/>
            <w:tcBorders>
              <w:bottom w:val="single" w:sz="8" w:space="0" w:color="000000"/>
            </w:tcBorders>
            <w:shd w:val="clear" w:color="auto" w:fill="CCEDFF"/>
          </w:tcPr>
          <w:p w14:paraId="7326D0CD" w14:textId="77777777" w:rsidR="00EF3DFB" w:rsidRDefault="00D27C17">
            <w:pPr>
              <w:pStyle w:val="TableParagraph"/>
              <w:spacing w:before="40" w:line="230" w:lineRule="exact"/>
              <w:ind w:left="68"/>
              <w:rPr>
                <w:sz w:val="20"/>
              </w:rPr>
            </w:pPr>
            <w:r>
              <w:rPr>
                <w:sz w:val="20"/>
              </w:rPr>
              <w:t>75</w:t>
            </w:r>
          </w:p>
        </w:tc>
      </w:tr>
    </w:tbl>
    <w:p w14:paraId="7326D0CF" w14:textId="710188FE" w:rsidR="00EF3DFB" w:rsidRDefault="00D27C17">
      <w:pPr>
        <w:pStyle w:val="BodyText"/>
        <w:tabs>
          <w:tab w:val="left" w:pos="7626"/>
          <w:tab w:val="left" w:pos="8135"/>
          <w:tab w:val="left" w:pos="8901"/>
          <w:tab w:val="left" w:pos="9410"/>
          <w:tab w:val="left" w:pos="10176"/>
        </w:tabs>
        <w:spacing w:before="20"/>
        <w:ind w:left="6861"/>
        <w:jc w:val="center"/>
      </w:pPr>
      <w:r>
        <w:rPr>
          <w:noProof/>
        </w:rPr>
        <mc:AlternateContent>
          <mc:Choice Requires="wps">
            <w:drawing>
              <wp:anchor distT="0" distB="0" distL="0" distR="0" simplePos="0" relativeHeight="4576" behindDoc="0" locked="0" layoutInCell="1" allowOverlap="1" wp14:anchorId="7326D793" wp14:editId="65A473F6">
                <wp:simplePos x="0" y="0"/>
                <wp:positionH relativeFrom="page">
                  <wp:posOffset>4876800</wp:posOffset>
                </wp:positionH>
                <wp:positionV relativeFrom="paragraph">
                  <wp:posOffset>190500</wp:posOffset>
                </wp:positionV>
                <wp:extent cx="762000" cy="0"/>
                <wp:effectExtent l="9525" t="6350" r="9525" b="12700"/>
                <wp:wrapTopAndBottom/>
                <wp:docPr id="15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4DF4" id="Line 133" o:spid="_x0000_s1026" style="position:absolute;z-index: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pt,15pt" to="4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4600" behindDoc="0" locked="0" layoutInCell="1" allowOverlap="1" wp14:anchorId="7326D794" wp14:editId="7F2EDE3E">
                <wp:simplePos x="0" y="0"/>
                <wp:positionH relativeFrom="page">
                  <wp:posOffset>5686425</wp:posOffset>
                </wp:positionH>
                <wp:positionV relativeFrom="paragraph">
                  <wp:posOffset>190500</wp:posOffset>
                </wp:positionV>
                <wp:extent cx="762000" cy="0"/>
                <wp:effectExtent l="9525" t="6350" r="9525" b="12700"/>
                <wp:wrapTopAndBottom/>
                <wp:docPr id="14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9921" id="Line 132" o:spid="_x0000_s1026" style="position:absolute;z-index:4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75pt,15pt" to="50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4624" behindDoc="0" locked="0" layoutInCell="1" allowOverlap="1" wp14:anchorId="7326D795" wp14:editId="51B04478">
                <wp:simplePos x="0" y="0"/>
                <wp:positionH relativeFrom="page">
                  <wp:posOffset>6496050</wp:posOffset>
                </wp:positionH>
                <wp:positionV relativeFrom="paragraph">
                  <wp:posOffset>190500</wp:posOffset>
                </wp:positionV>
                <wp:extent cx="762000" cy="0"/>
                <wp:effectExtent l="9525" t="6350" r="9525" b="12700"/>
                <wp:wrapTopAndBottom/>
                <wp:docPr id="14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1522" id="Line 131" o:spid="_x0000_s1026" style="position:absolute;z-index: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5pt,15pt" to="5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" strokeweight="1pt">
                <w10:wrap type="topAndBottom" anchorx="page"/>
              </v:line>
            </w:pict>
          </mc:Fallback>
        </mc:AlternateContent>
      </w:r>
      <w:r>
        <w:rPr>
          <w:u w:val="single"/>
        </w:rPr>
        <w:t>$</w:t>
      </w:r>
      <w:r>
        <w:rPr>
          <w:u w:val="single"/>
        </w:rPr>
        <w:tab/>
        <w:t>259</w:t>
      </w:r>
      <w:r>
        <w:tab/>
      </w:r>
      <w:r>
        <w:rPr>
          <w:u w:val="single"/>
        </w:rPr>
        <w:t>$</w:t>
      </w:r>
      <w:r>
        <w:rPr>
          <w:u w:val="single"/>
        </w:rPr>
        <w:tab/>
        <w:t>248</w:t>
      </w:r>
      <w:r>
        <w:tab/>
      </w:r>
      <w:r>
        <w:rPr>
          <w:u w:val="single"/>
        </w:rPr>
        <w:t>$</w:t>
      </w:r>
      <w:r>
        <w:rPr>
          <w:u w:val="single"/>
        </w:rPr>
        <w:tab/>
        <w:t>263</w:t>
      </w:r>
    </w:p>
    <w:p w14:paraId="7326D0D0" w14:textId="77777777" w:rsidR="00EF3DFB" w:rsidRDefault="00EF3DFB">
      <w:pPr>
        <w:jc w:val="center"/>
        <w:sectPr w:rsidR="00EF3DFB">
          <w:pgSz w:w="12240" w:h="15840"/>
          <w:pgMar w:top="1060" w:right="640" w:bottom="480" w:left="620" w:header="0" w:footer="291"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4604"/>
        <w:gridCol w:w="3490"/>
        <w:gridCol w:w="481"/>
        <w:gridCol w:w="796"/>
        <w:gridCol w:w="1253"/>
      </w:tblGrid>
      <w:tr w:rsidR="00EF3DFB" w14:paraId="7326D0D4" w14:textId="77777777">
        <w:trPr>
          <w:trHeight w:val="241"/>
        </w:trPr>
        <w:tc>
          <w:tcPr>
            <w:tcW w:w="4604" w:type="dxa"/>
          </w:tcPr>
          <w:p w14:paraId="7326D0D1" w14:textId="77777777" w:rsidR="00EF3DFB" w:rsidRDefault="00EF3DFB">
            <w:pPr>
              <w:pStyle w:val="TableParagraph"/>
              <w:rPr>
                <w:sz w:val="16"/>
              </w:rPr>
            </w:pPr>
          </w:p>
        </w:tc>
        <w:tc>
          <w:tcPr>
            <w:tcW w:w="3971" w:type="dxa"/>
            <w:gridSpan w:val="2"/>
          </w:tcPr>
          <w:p w14:paraId="7326D0D2" w14:textId="77777777" w:rsidR="00EF3DFB" w:rsidRDefault="00D27C17">
            <w:pPr>
              <w:pStyle w:val="TableParagraph"/>
              <w:spacing w:line="215" w:lineRule="exact"/>
              <w:ind w:left="2140"/>
              <w:rPr>
                <w:b/>
                <w:sz w:val="20"/>
              </w:rPr>
            </w:pPr>
            <w:r>
              <w:rPr>
                <w:b/>
                <w:sz w:val="20"/>
              </w:rPr>
              <w:t>December 31, 2020</w:t>
            </w:r>
          </w:p>
        </w:tc>
        <w:tc>
          <w:tcPr>
            <w:tcW w:w="2049" w:type="dxa"/>
            <w:gridSpan w:val="2"/>
            <w:tcBorders>
              <w:bottom w:val="single" w:sz="8" w:space="0" w:color="000000"/>
            </w:tcBorders>
          </w:tcPr>
          <w:p w14:paraId="7326D0D3" w14:textId="77777777" w:rsidR="00EF3DFB" w:rsidRDefault="00D27C17">
            <w:pPr>
              <w:pStyle w:val="TableParagraph"/>
              <w:spacing w:line="215" w:lineRule="exact"/>
              <w:ind w:left="239"/>
              <w:rPr>
                <w:b/>
                <w:sz w:val="20"/>
              </w:rPr>
            </w:pPr>
            <w:r>
              <w:rPr>
                <w:b/>
                <w:sz w:val="20"/>
              </w:rPr>
              <w:t>December 31, 2019</w:t>
            </w:r>
          </w:p>
        </w:tc>
      </w:tr>
      <w:tr w:rsidR="00EF3DFB" w14:paraId="7326D0D8" w14:textId="77777777">
        <w:trPr>
          <w:trHeight w:val="290"/>
        </w:trPr>
        <w:tc>
          <w:tcPr>
            <w:tcW w:w="4604" w:type="dxa"/>
            <w:shd w:val="clear" w:color="auto" w:fill="CCEDFF"/>
          </w:tcPr>
          <w:p w14:paraId="7326D0D5" w14:textId="77777777" w:rsidR="00EF3DFB" w:rsidRDefault="00D27C17">
            <w:pPr>
              <w:pStyle w:val="TableParagraph"/>
              <w:spacing w:line="215" w:lineRule="exact"/>
              <w:ind w:left="52"/>
              <w:rPr>
                <w:b/>
                <w:sz w:val="20"/>
              </w:rPr>
            </w:pPr>
            <w:r>
              <w:rPr>
                <w:b/>
                <w:sz w:val="20"/>
              </w:rPr>
              <w:t>Segment assets</w:t>
            </w:r>
          </w:p>
        </w:tc>
        <w:tc>
          <w:tcPr>
            <w:tcW w:w="3971" w:type="dxa"/>
            <w:gridSpan w:val="2"/>
            <w:shd w:val="clear" w:color="auto" w:fill="CCEDFF"/>
          </w:tcPr>
          <w:p w14:paraId="7326D0D6" w14:textId="77777777" w:rsidR="00EF3DFB" w:rsidRDefault="00EF3DFB">
            <w:pPr>
              <w:pStyle w:val="TableParagraph"/>
              <w:rPr>
                <w:sz w:val="18"/>
              </w:rPr>
            </w:pPr>
          </w:p>
        </w:tc>
        <w:tc>
          <w:tcPr>
            <w:tcW w:w="2049" w:type="dxa"/>
            <w:gridSpan w:val="2"/>
            <w:tcBorders>
              <w:top w:val="single" w:sz="8" w:space="0" w:color="000000"/>
            </w:tcBorders>
            <w:shd w:val="clear" w:color="auto" w:fill="CCEDFF"/>
          </w:tcPr>
          <w:p w14:paraId="7326D0D7" w14:textId="77777777" w:rsidR="00EF3DFB" w:rsidRDefault="00EF3DFB">
            <w:pPr>
              <w:pStyle w:val="TableParagraph"/>
              <w:rPr>
                <w:sz w:val="18"/>
              </w:rPr>
            </w:pPr>
          </w:p>
        </w:tc>
      </w:tr>
      <w:tr w:rsidR="00EF3DFB" w14:paraId="7326D0DC" w14:textId="77777777">
        <w:trPr>
          <w:trHeight w:val="300"/>
        </w:trPr>
        <w:tc>
          <w:tcPr>
            <w:tcW w:w="4604" w:type="dxa"/>
          </w:tcPr>
          <w:p w14:paraId="7326D0D9" w14:textId="77777777" w:rsidR="00EF3DFB" w:rsidRDefault="00D27C17">
            <w:pPr>
              <w:pStyle w:val="TableParagraph"/>
              <w:spacing w:line="228" w:lineRule="exact"/>
              <w:ind w:left="52"/>
              <w:rPr>
                <w:sz w:val="20"/>
              </w:rPr>
            </w:pPr>
            <w:r>
              <w:rPr>
                <w:sz w:val="20"/>
              </w:rPr>
              <w:t>Appliances and Cookware</w:t>
            </w:r>
          </w:p>
        </w:tc>
        <w:tc>
          <w:tcPr>
            <w:tcW w:w="3971" w:type="dxa"/>
            <w:gridSpan w:val="2"/>
          </w:tcPr>
          <w:p w14:paraId="7326D0DA" w14:textId="77777777" w:rsidR="00EF3DFB" w:rsidRDefault="00D27C17">
            <w:pPr>
              <w:pStyle w:val="TableParagraph"/>
              <w:tabs>
                <w:tab w:val="left" w:pos="3414"/>
              </w:tabs>
              <w:spacing w:before="34"/>
              <w:ind w:left="2003"/>
              <w:rPr>
                <w:sz w:val="20"/>
              </w:rPr>
            </w:pPr>
            <w:r>
              <w:rPr>
                <w:sz w:val="20"/>
              </w:rPr>
              <w:t>$</w:t>
            </w:r>
            <w:r>
              <w:rPr>
                <w:sz w:val="20"/>
              </w:rPr>
              <w:tab/>
              <w:t>1,040</w:t>
            </w:r>
          </w:p>
        </w:tc>
        <w:tc>
          <w:tcPr>
            <w:tcW w:w="2049" w:type="dxa"/>
            <w:gridSpan w:val="2"/>
          </w:tcPr>
          <w:p w14:paraId="7326D0DB" w14:textId="77777777" w:rsidR="00EF3DFB" w:rsidRDefault="00D27C17">
            <w:pPr>
              <w:pStyle w:val="TableParagraph"/>
              <w:tabs>
                <w:tab w:val="left" w:pos="1513"/>
              </w:tabs>
              <w:spacing w:before="34"/>
              <w:ind w:left="102"/>
              <w:rPr>
                <w:sz w:val="20"/>
              </w:rPr>
            </w:pPr>
            <w:r>
              <w:rPr>
                <w:sz w:val="20"/>
              </w:rPr>
              <w:t>$</w:t>
            </w:r>
            <w:r>
              <w:rPr>
                <w:sz w:val="20"/>
              </w:rPr>
              <w:tab/>
              <w:t>1,468</w:t>
            </w:r>
          </w:p>
        </w:tc>
      </w:tr>
      <w:tr w:rsidR="00EF3DFB" w14:paraId="7326D0E0" w14:textId="77777777">
        <w:trPr>
          <w:trHeight w:val="300"/>
        </w:trPr>
        <w:tc>
          <w:tcPr>
            <w:tcW w:w="4604" w:type="dxa"/>
            <w:shd w:val="clear" w:color="auto" w:fill="CCEDFF"/>
          </w:tcPr>
          <w:p w14:paraId="7326D0DD" w14:textId="77777777" w:rsidR="00EF3DFB" w:rsidRDefault="00D27C17">
            <w:pPr>
              <w:pStyle w:val="TableParagraph"/>
              <w:spacing w:line="228" w:lineRule="exact"/>
              <w:ind w:left="52"/>
              <w:rPr>
                <w:sz w:val="20"/>
              </w:rPr>
            </w:pPr>
            <w:r>
              <w:rPr>
                <w:sz w:val="20"/>
              </w:rPr>
              <w:t>Commercial Solutions</w:t>
            </w:r>
          </w:p>
        </w:tc>
        <w:tc>
          <w:tcPr>
            <w:tcW w:w="3971" w:type="dxa"/>
            <w:gridSpan w:val="2"/>
            <w:shd w:val="clear" w:color="auto" w:fill="CCEDFF"/>
          </w:tcPr>
          <w:p w14:paraId="7326D0DE" w14:textId="77777777" w:rsidR="00EF3DFB" w:rsidRDefault="00D27C17">
            <w:pPr>
              <w:pStyle w:val="TableParagraph"/>
              <w:spacing w:before="34"/>
              <w:ind w:right="104"/>
              <w:jc w:val="right"/>
              <w:rPr>
                <w:sz w:val="20"/>
              </w:rPr>
            </w:pPr>
            <w:r>
              <w:rPr>
                <w:sz w:val="20"/>
              </w:rPr>
              <w:t>2,529</w:t>
            </w:r>
          </w:p>
        </w:tc>
        <w:tc>
          <w:tcPr>
            <w:tcW w:w="2049" w:type="dxa"/>
            <w:gridSpan w:val="2"/>
            <w:shd w:val="clear" w:color="auto" w:fill="CCEDFF"/>
          </w:tcPr>
          <w:p w14:paraId="7326D0DF" w14:textId="77777777" w:rsidR="00EF3DFB" w:rsidRDefault="00D27C17">
            <w:pPr>
              <w:pStyle w:val="TableParagraph"/>
              <w:spacing w:before="34"/>
              <w:ind w:right="83"/>
              <w:jc w:val="right"/>
              <w:rPr>
                <w:sz w:val="20"/>
              </w:rPr>
            </w:pPr>
            <w:r>
              <w:rPr>
                <w:sz w:val="20"/>
              </w:rPr>
              <w:t>2,731</w:t>
            </w:r>
          </w:p>
        </w:tc>
      </w:tr>
      <w:tr w:rsidR="00EF3DFB" w14:paraId="7326D0E4" w14:textId="77777777">
        <w:trPr>
          <w:trHeight w:val="300"/>
        </w:trPr>
        <w:tc>
          <w:tcPr>
            <w:tcW w:w="4604" w:type="dxa"/>
          </w:tcPr>
          <w:p w14:paraId="7326D0E1" w14:textId="77777777" w:rsidR="00EF3DFB" w:rsidRDefault="00D27C17">
            <w:pPr>
              <w:pStyle w:val="TableParagraph"/>
              <w:spacing w:line="228" w:lineRule="exact"/>
              <w:ind w:left="52"/>
              <w:rPr>
                <w:sz w:val="20"/>
              </w:rPr>
            </w:pPr>
            <w:r>
              <w:rPr>
                <w:sz w:val="20"/>
              </w:rPr>
              <w:t>Home Solutions</w:t>
            </w:r>
          </w:p>
        </w:tc>
        <w:tc>
          <w:tcPr>
            <w:tcW w:w="3971" w:type="dxa"/>
            <w:gridSpan w:val="2"/>
          </w:tcPr>
          <w:p w14:paraId="7326D0E2" w14:textId="77777777" w:rsidR="00EF3DFB" w:rsidRDefault="00D27C17">
            <w:pPr>
              <w:pStyle w:val="TableParagraph"/>
              <w:spacing w:before="34"/>
              <w:ind w:right="104"/>
              <w:jc w:val="right"/>
              <w:rPr>
                <w:sz w:val="20"/>
              </w:rPr>
            </w:pPr>
            <w:r>
              <w:rPr>
                <w:sz w:val="20"/>
              </w:rPr>
              <w:t>3,017</w:t>
            </w:r>
          </w:p>
        </w:tc>
        <w:tc>
          <w:tcPr>
            <w:tcW w:w="2049" w:type="dxa"/>
            <w:gridSpan w:val="2"/>
          </w:tcPr>
          <w:p w14:paraId="7326D0E3" w14:textId="77777777" w:rsidR="00EF3DFB" w:rsidRDefault="00D27C17">
            <w:pPr>
              <w:pStyle w:val="TableParagraph"/>
              <w:spacing w:before="34"/>
              <w:ind w:right="83"/>
              <w:jc w:val="right"/>
              <w:rPr>
                <w:sz w:val="20"/>
              </w:rPr>
            </w:pPr>
            <w:r>
              <w:rPr>
                <w:sz w:val="20"/>
              </w:rPr>
              <w:t>3,327</w:t>
            </w:r>
          </w:p>
        </w:tc>
      </w:tr>
      <w:tr w:rsidR="00EF3DFB" w14:paraId="7326D0E8" w14:textId="77777777">
        <w:trPr>
          <w:trHeight w:val="300"/>
        </w:trPr>
        <w:tc>
          <w:tcPr>
            <w:tcW w:w="4604" w:type="dxa"/>
            <w:shd w:val="clear" w:color="auto" w:fill="CCEDFF"/>
          </w:tcPr>
          <w:p w14:paraId="7326D0E5" w14:textId="77777777" w:rsidR="00EF3DFB" w:rsidRDefault="00D27C17">
            <w:pPr>
              <w:pStyle w:val="TableParagraph"/>
              <w:spacing w:line="228" w:lineRule="exact"/>
              <w:ind w:left="52"/>
              <w:rPr>
                <w:sz w:val="20"/>
              </w:rPr>
            </w:pPr>
            <w:r>
              <w:rPr>
                <w:sz w:val="20"/>
              </w:rPr>
              <w:t>Learning and Development</w:t>
            </w:r>
          </w:p>
        </w:tc>
        <w:tc>
          <w:tcPr>
            <w:tcW w:w="3971" w:type="dxa"/>
            <w:gridSpan w:val="2"/>
            <w:shd w:val="clear" w:color="auto" w:fill="CCEDFF"/>
          </w:tcPr>
          <w:p w14:paraId="7326D0E6" w14:textId="77777777" w:rsidR="00EF3DFB" w:rsidRDefault="00D27C17">
            <w:pPr>
              <w:pStyle w:val="TableParagraph"/>
              <w:spacing w:before="34"/>
              <w:ind w:right="104"/>
              <w:jc w:val="right"/>
              <w:rPr>
                <w:sz w:val="20"/>
              </w:rPr>
            </w:pPr>
            <w:r>
              <w:rPr>
                <w:sz w:val="20"/>
              </w:rPr>
              <w:t>4,663</w:t>
            </w:r>
          </w:p>
        </w:tc>
        <w:tc>
          <w:tcPr>
            <w:tcW w:w="2049" w:type="dxa"/>
            <w:gridSpan w:val="2"/>
            <w:shd w:val="clear" w:color="auto" w:fill="CCEDFF"/>
          </w:tcPr>
          <w:p w14:paraId="7326D0E7" w14:textId="77777777" w:rsidR="00EF3DFB" w:rsidRDefault="00D27C17">
            <w:pPr>
              <w:pStyle w:val="TableParagraph"/>
              <w:spacing w:before="34"/>
              <w:ind w:right="83"/>
              <w:jc w:val="right"/>
              <w:rPr>
                <w:sz w:val="20"/>
              </w:rPr>
            </w:pPr>
            <w:r>
              <w:rPr>
                <w:sz w:val="20"/>
              </w:rPr>
              <w:t>4,800</w:t>
            </w:r>
          </w:p>
        </w:tc>
      </w:tr>
      <w:tr w:rsidR="00EF3DFB" w14:paraId="7326D0EC" w14:textId="77777777">
        <w:trPr>
          <w:trHeight w:val="300"/>
        </w:trPr>
        <w:tc>
          <w:tcPr>
            <w:tcW w:w="4604" w:type="dxa"/>
          </w:tcPr>
          <w:p w14:paraId="7326D0E9" w14:textId="77777777" w:rsidR="00EF3DFB" w:rsidRDefault="00D27C17">
            <w:pPr>
              <w:pStyle w:val="TableParagraph"/>
              <w:spacing w:line="228" w:lineRule="exact"/>
              <w:ind w:left="52"/>
              <w:rPr>
                <w:sz w:val="20"/>
              </w:rPr>
            </w:pPr>
            <w:r>
              <w:rPr>
                <w:sz w:val="20"/>
              </w:rPr>
              <w:t>Outdoor and Recreation</w:t>
            </w:r>
          </w:p>
        </w:tc>
        <w:tc>
          <w:tcPr>
            <w:tcW w:w="3971" w:type="dxa"/>
            <w:gridSpan w:val="2"/>
          </w:tcPr>
          <w:p w14:paraId="7326D0EA" w14:textId="77777777" w:rsidR="00EF3DFB" w:rsidRDefault="00D27C17">
            <w:pPr>
              <w:pStyle w:val="TableParagraph"/>
              <w:spacing w:before="34"/>
              <w:ind w:right="104"/>
              <w:jc w:val="right"/>
              <w:rPr>
                <w:sz w:val="20"/>
              </w:rPr>
            </w:pPr>
            <w:r>
              <w:rPr>
                <w:sz w:val="20"/>
              </w:rPr>
              <w:t>988</w:t>
            </w:r>
          </w:p>
        </w:tc>
        <w:tc>
          <w:tcPr>
            <w:tcW w:w="2049" w:type="dxa"/>
            <w:gridSpan w:val="2"/>
          </w:tcPr>
          <w:p w14:paraId="7326D0EB" w14:textId="77777777" w:rsidR="00EF3DFB" w:rsidRDefault="00D27C17">
            <w:pPr>
              <w:pStyle w:val="TableParagraph"/>
              <w:spacing w:before="34"/>
              <w:ind w:right="83"/>
              <w:jc w:val="right"/>
              <w:rPr>
                <w:sz w:val="20"/>
              </w:rPr>
            </w:pPr>
            <w:r>
              <w:rPr>
                <w:sz w:val="20"/>
              </w:rPr>
              <w:t>1,570</w:t>
            </w:r>
          </w:p>
        </w:tc>
      </w:tr>
      <w:tr w:rsidR="00EF3DFB" w14:paraId="7326D0F0" w14:textId="77777777">
        <w:trPr>
          <w:trHeight w:val="290"/>
        </w:trPr>
        <w:tc>
          <w:tcPr>
            <w:tcW w:w="4604" w:type="dxa"/>
            <w:shd w:val="clear" w:color="auto" w:fill="CCEDFF"/>
          </w:tcPr>
          <w:p w14:paraId="7326D0ED" w14:textId="77777777" w:rsidR="00EF3DFB" w:rsidRDefault="00D27C17">
            <w:pPr>
              <w:pStyle w:val="TableParagraph"/>
              <w:spacing w:line="228" w:lineRule="exact"/>
              <w:ind w:left="52"/>
              <w:rPr>
                <w:sz w:val="20"/>
              </w:rPr>
            </w:pPr>
            <w:r>
              <w:rPr>
                <w:sz w:val="20"/>
              </w:rPr>
              <w:t>Corporate</w:t>
            </w:r>
          </w:p>
        </w:tc>
        <w:tc>
          <w:tcPr>
            <w:tcW w:w="3971" w:type="dxa"/>
            <w:gridSpan w:val="2"/>
            <w:shd w:val="clear" w:color="auto" w:fill="CCEDFF"/>
          </w:tcPr>
          <w:p w14:paraId="7326D0EE" w14:textId="77777777" w:rsidR="00EF3DFB" w:rsidRDefault="00D27C17">
            <w:pPr>
              <w:pStyle w:val="TableParagraph"/>
              <w:spacing w:before="34"/>
              <w:ind w:right="104"/>
              <w:jc w:val="right"/>
              <w:rPr>
                <w:sz w:val="20"/>
              </w:rPr>
            </w:pPr>
            <w:r>
              <w:rPr>
                <w:sz w:val="20"/>
              </w:rPr>
              <w:t>2,463</w:t>
            </w:r>
          </w:p>
        </w:tc>
        <w:tc>
          <w:tcPr>
            <w:tcW w:w="2049" w:type="dxa"/>
            <w:gridSpan w:val="2"/>
            <w:tcBorders>
              <w:bottom w:val="single" w:sz="8" w:space="0" w:color="000000"/>
            </w:tcBorders>
            <w:shd w:val="clear" w:color="auto" w:fill="CCEDFF"/>
          </w:tcPr>
          <w:p w14:paraId="7326D0EF" w14:textId="77777777" w:rsidR="00EF3DFB" w:rsidRDefault="00D27C17">
            <w:pPr>
              <w:pStyle w:val="TableParagraph"/>
              <w:spacing w:before="34"/>
              <w:ind w:right="83"/>
              <w:jc w:val="right"/>
              <w:rPr>
                <w:sz w:val="20"/>
              </w:rPr>
            </w:pPr>
            <w:r>
              <w:rPr>
                <w:sz w:val="20"/>
              </w:rPr>
              <w:t>1,746</w:t>
            </w:r>
          </w:p>
        </w:tc>
      </w:tr>
      <w:tr w:rsidR="00EF3DFB" w14:paraId="7326D0F4" w14:textId="77777777">
        <w:trPr>
          <w:trHeight w:val="529"/>
        </w:trPr>
        <w:tc>
          <w:tcPr>
            <w:tcW w:w="4604" w:type="dxa"/>
          </w:tcPr>
          <w:p w14:paraId="7326D0F1" w14:textId="77777777" w:rsidR="00EF3DFB" w:rsidRDefault="00EF3DFB">
            <w:pPr>
              <w:pStyle w:val="TableParagraph"/>
              <w:rPr>
                <w:sz w:val="18"/>
              </w:rPr>
            </w:pPr>
          </w:p>
        </w:tc>
        <w:tc>
          <w:tcPr>
            <w:tcW w:w="3971" w:type="dxa"/>
            <w:gridSpan w:val="2"/>
          </w:tcPr>
          <w:p w14:paraId="7326D0F2" w14:textId="77777777" w:rsidR="00EF3DFB" w:rsidRDefault="00D27C17">
            <w:pPr>
              <w:pStyle w:val="TableParagraph"/>
              <w:tabs>
                <w:tab w:val="left" w:pos="3314"/>
              </w:tabs>
              <w:spacing w:before="24"/>
              <w:ind w:left="2003"/>
              <w:rPr>
                <w:sz w:val="20"/>
              </w:rPr>
            </w:pPr>
            <w:r>
              <w:rPr>
                <w:sz w:val="20"/>
                <w:u w:val="single"/>
              </w:rPr>
              <w:t>$</w:t>
            </w:r>
            <w:r>
              <w:rPr>
                <w:sz w:val="20"/>
                <w:u w:val="single"/>
              </w:rPr>
              <w:tab/>
              <w:t>14,700</w:t>
            </w:r>
          </w:p>
        </w:tc>
        <w:tc>
          <w:tcPr>
            <w:tcW w:w="2049" w:type="dxa"/>
            <w:gridSpan w:val="2"/>
            <w:tcBorders>
              <w:top w:val="single" w:sz="8" w:space="0" w:color="000000"/>
            </w:tcBorders>
          </w:tcPr>
          <w:p w14:paraId="7326D0F3" w14:textId="77777777" w:rsidR="00EF3DFB" w:rsidRDefault="00D27C17">
            <w:pPr>
              <w:pStyle w:val="TableParagraph"/>
              <w:tabs>
                <w:tab w:val="left" w:pos="1413"/>
              </w:tabs>
              <w:spacing w:before="24"/>
              <w:ind w:left="102"/>
              <w:rPr>
                <w:sz w:val="20"/>
              </w:rPr>
            </w:pPr>
            <w:r>
              <w:rPr>
                <w:sz w:val="20"/>
                <w:u w:val="single"/>
              </w:rPr>
              <w:t>$</w:t>
            </w:r>
            <w:r>
              <w:rPr>
                <w:sz w:val="20"/>
                <w:u w:val="single"/>
              </w:rPr>
              <w:tab/>
              <w:t>15,642</w:t>
            </w:r>
          </w:p>
        </w:tc>
      </w:tr>
      <w:tr w:rsidR="00EF3DFB" w14:paraId="7326D0FF" w14:textId="77777777">
        <w:trPr>
          <w:trHeight w:val="715"/>
        </w:trPr>
        <w:tc>
          <w:tcPr>
            <w:tcW w:w="4604" w:type="dxa"/>
          </w:tcPr>
          <w:p w14:paraId="7326D0F5" w14:textId="77777777" w:rsidR="00EF3DFB" w:rsidRDefault="00D27C17">
            <w:pPr>
              <w:pStyle w:val="TableParagraph"/>
              <w:spacing w:before="195"/>
              <w:ind w:left="52"/>
              <w:rPr>
                <w:b/>
                <w:sz w:val="20"/>
              </w:rPr>
            </w:pPr>
            <w:r>
              <w:rPr>
                <w:b/>
                <w:sz w:val="20"/>
              </w:rPr>
              <w:t>Geographic area information</w:t>
            </w:r>
          </w:p>
        </w:tc>
        <w:tc>
          <w:tcPr>
            <w:tcW w:w="3490" w:type="dxa"/>
            <w:tcBorders>
              <w:bottom w:val="single" w:sz="8" w:space="0" w:color="000000"/>
            </w:tcBorders>
          </w:tcPr>
          <w:p w14:paraId="7326D0F6" w14:textId="77777777" w:rsidR="00EF3DFB" w:rsidRDefault="00EF3DFB">
            <w:pPr>
              <w:pStyle w:val="TableParagraph"/>
            </w:pPr>
          </w:p>
          <w:p w14:paraId="7326D0F7" w14:textId="77777777" w:rsidR="00EF3DFB" w:rsidRDefault="00EF3DFB">
            <w:pPr>
              <w:pStyle w:val="TableParagraph"/>
              <w:spacing w:before="10"/>
              <w:rPr>
                <w:sz w:val="17"/>
              </w:rPr>
            </w:pPr>
          </w:p>
          <w:p w14:paraId="7326D0F8" w14:textId="77777777" w:rsidR="00EF3DFB" w:rsidRDefault="00D27C17">
            <w:pPr>
              <w:pStyle w:val="TableParagraph"/>
              <w:ind w:right="423"/>
              <w:jc w:val="right"/>
              <w:rPr>
                <w:b/>
                <w:sz w:val="20"/>
              </w:rPr>
            </w:pPr>
            <w:r>
              <w:rPr>
                <w:b/>
                <w:sz w:val="20"/>
              </w:rPr>
              <w:t>2020</w:t>
            </w:r>
          </w:p>
        </w:tc>
        <w:tc>
          <w:tcPr>
            <w:tcW w:w="1277" w:type="dxa"/>
            <w:gridSpan w:val="2"/>
            <w:tcBorders>
              <w:bottom w:val="single" w:sz="8" w:space="0" w:color="000000"/>
            </w:tcBorders>
          </w:tcPr>
          <w:p w14:paraId="7326D0F9" w14:textId="77777777" w:rsidR="00EF3DFB" w:rsidRDefault="00EF3DFB">
            <w:pPr>
              <w:pStyle w:val="TableParagraph"/>
            </w:pPr>
          </w:p>
          <w:p w14:paraId="7326D0FA" w14:textId="77777777" w:rsidR="00EF3DFB" w:rsidRDefault="00EF3DFB">
            <w:pPr>
              <w:pStyle w:val="TableParagraph"/>
              <w:spacing w:before="10"/>
              <w:rPr>
                <w:sz w:val="17"/>
              </w:rPr>
            </w:pPr>
          </w:p>
          <w:p w14:paraId="7326D0FB" w14:textId="77777777" w:rsidR="00EF3DFB" w:rsidRDefault="00D27C17">
            <w:pPr>
              <w:pStyle w:val="TableParagraph"/>
              <w:ind w:left="431" w:right="406"/>
              <w:jc w:val="center"/>
              <w:rPr>
                <w:b/>
                <w:sz w:val="20"/>
              </w:rPr>
            </w:pPr>
            <w:r>
              <w:rPr>
                <w:b/>
                <w:sz w:val="20"/>
              </w:rPr>
              <w:t>2019</w:t>
            </w:r>
          </w:p>
        </w:tc>
        <w:tc>
          <w:tcPr>
            <w:tcW w:w="1253" w:type="dxa"/>
            <w:tcBorders>
              <w:bottom w:val="single" w:sz="8" w:space="0" w:color="000000"/>
            </w:tcBorders>
          </w:tcPr>
          <w:p w14:paraId="7326D0FC" w14:textId="77777777" w:rsidR="00EF3DFB" w:rsidRDefault="00EF3DFB">
            <w:pPr>
              <w:pStyle w:val="TableParagraph"/>
            </w:pPr>
          </w:p>
          <w:p w14:paraId="7326D0FD" w14:textId="77777777" w:rsidR="00EF3DFB" w:rsidRDefault="00EF3DFB">
            <w:pPr>
              <w:pStyle w:val="TableParagraph"/>
              <w:spacing w:before="10"/>
              <w:rPr>
                <w:sz w:val="17"/>
              </w:rPr>
            </w:pPr>
          </w:p>
          <w:p w14:paraId="7326D0FE" w14:textId="77777777" w:rsidR="00EF3DFB" w:rsidRDefault="00D27C17">
            <w:pPr>
              <w:pStyle w:val="TableParagraph"/>
              <w:ind w:left="448"/>
              <w:rPr>
                <w:b/>
                <w:sz w:val="20"/>
              </w:rPr>
            </w:pPr>
            <w:r>
              <w:rPr>
                <w:b/>
                <w:sz w:val="20"/>
              </w:rPr>
              <w:t>2018</w:t>
            </w:r>
          </w:p>
        </w:tc>
      </w:tr>
      <w:tr w:rsidR="00EF3DFB" w14:paraId="7326D104" w14:textId="77777777">
        <w:trPr>
          <w:trHeight w:val="275"/>
        </w:trPr>
        <w:tc>
          <w:tcPr>
            <w:tcW w:w="4604" w:type="dxa"/>
            <w:shd w:val="clear" w:color="auto" w:fill="CCEDFF"/>
          </w:tcPr>
          <w:p w14:paraId="7326D100" w14:textId="77777777" w:rsidR="00EF3DFB" w:rsidRDefault="00D27C17">
            <w:pPr>
              <w:pStyle w:val="TableParagraph"/>
              <w:spacing w:line="218" w:lineRule="exact"/>
              <w:ind w:left="52"/>
              <w:rPr>
                <w:sz w:val="20"/>
              </w:rPr>
            </w:pPr>
            <w:r>
              <w:rPr>
                <w:sz w:val="20"/>
              </w:rPr>
              <w:t>Net Sales (1) (3)</w:t>
            </w:r>
          </w:p>
        </w:tc>
        <w:tc>
          <w:tcPr>
            <w:tcW w:w="3490" w:type="dxa"/>
            <w:tcBorders>
              <w:top w:val="single" w:sz="8" w:space="0" w:color="000000"/>
            </w:tcBorders>
            <w:shd w:val="clear" w:color="auto" w:fill="CCEDFF"/>
          </w:tcPr>
          <w:p w14:paraId="7326D101" w14:textId="77777777" w:rsidR="00EF3DFB" w:rsidRDefault="00EF3DFB">
            <w:pPr>
              <w:pStyle w:val="TableParagraph"/>
              <w:rPr>
                <w:sz w:val="18"/>
              </w:rPr>
            </w:pPr>
          </w:p>
        </w:tc>
        <w:tc>
          <w:tcPr>
            <w:tcW w:w="1277" w:type="dxa"/>
            <w:gridSpan w:val="2"/>
            <w:tcBorders>
              <w:top w:val="single" w:sz="8" w:space="0" w:color="000000"/>
            </w:tcBorders>
            <w:shd w:val="clear" w:color="auto" w:fill="CCEDFF"/>
          </w:tcPr>
          <w:p w14:paraId="7326D102" w14:textId="77777777" w:rsidR="00EF3DFB" w:rsidRDefault="00EF3DFB">
            <w:pPr>
              <w:pStyle w:val="TableParagraph"/>
              <w:rPr>
                <w:sz w:val="18"/>
              </w:rPr>
            </w:pPr>
          </w:p>
        </w:tc>
        <w:tc>
          <w:tcPr>
            <w:tcW w:w="1253" w:type="dxa"/>
            <w:tcBorders>
              <w:top w:val="single" w:sz="8" w:space="0" w:color="000000"/>
            </w:tcBorders>
            <w:shd w:val="clear" w:color="auto" w:fill="CCEDFF"/>
          </w:tcPr>
          <w:p w14:paraId="7326D103" w14:textId="77777777" w:rsidR="00EF3DFB" w:rsidRDefault="00EF3DFB">
            <w:pPr>
              <w:pStyle w:val="TableParagraph"/>
              <w:rPr>
                <w:sz w:val="18"/>
              </w:rPr>
            </w:pPr>
          </w:p>
        </w:tc>
      </w:tr>
      <w:tr w:rsidR="00EF3DFB" w14:paraId="7326D109" w14:textId="77777777">
        <w:trPr>
          <w:trHeight w:val="285"/>
        </w:trPr>
        <w:tc>
          <w:tcPr>
            <w:tcW w:w="4604" w:type="dxa"/>
          </w:tcPr>
          <w:p w14:paraId="7326D105" w14:textId="77777777" w:rsidR="00EF3DFB" w:rsidRDefault="00D27C17">
            <w:pPr>
              <w:pStyle w:val="TableParagraph"/>
              <w:spacing w:line="228" w:lineRule="exact"/>
              <w:ind w:left="52"/>
              <w:rPr>
                <w:sz w:val="20"/>
              </w:rPr>
            </w:pPr>
            <w:r>
              <w:rPr>
                <w:sz w:val="20"/>
              </w:rPr>
              <w:t>United States</w:t>
            </w:r>
          </w:p>
        </w:tc>
        <w:tc>
          <w:tcPr>
            <w:tcW w:w="3490" w:type="dxa"/>
          </w:tcPr>
          <w:p w14:paraId="7326D106" w14:textId="77777777" w:rsidR="00EF3DFB" w:rsidRDefault="00D27C17">
            <w:pPr>
              <w:pStyle w:val="TableParagraph"/>
              <w:tabs>
                <w:tab w:val="left" w:pos="615"/>
              </w:tabs>
              <w:spacing w:before="19"/>
              <w:ind w:right="103"/>
              <w:jc w:val="right"/>
              <w:rPr>
                <w:sz w:val="20"/>
              </w:rPr>
            </w:pPr>
            <w:r>
              <w:rPr>
                <w:sz w:val="20"/>
              </w:rPr>
              <w:t>$</w:t>
            </w:r>
            <w:r>
              <w:rPr>
                <w:sz w:val="20"/>
              </w:rPr>
              <w:tab/>
              <w:t>6,260</w:t>
            </w:r>
          </w:p>
        </w:tc>
        <w:tc>
          <w:tcPr>
            <w:tcW w:w="1277" w:type="dxa"/>
            <w:gridSpan w:val="2"/>
          </w:tcPr>
          <w:p w14:paraId="7326D107" w14:textId="77777777" w:rsidR="00EF3DFB" w:rsidRDefault="00D27C17">
            <w:pPr>
              <w:pStyle w:val="TableParagraph"/>
              <w:tabs>
                <w:tab w:val="left" w:pos="719"/>
              </w:tabs>
              <w:spacing w:before="19"/>
              <w:ind w:left="103"/>
              <w:rPr>
                <w:sz w:val="20"/>
              </w:rPr>
            </w:pPr>
            <w:r>
              <w:rPr>
                <w:sz w:val="20"/>
              </w:rPr>
              <w:t>$</w:t>
            </w:r>
            <w:r>
              <w:rPr>
                <w:sz w:val="20"/>
              </w:rPr>
              <w:tab/>
              <w:t>6,497</w:t>
            </w:r>
          </w:p>
        </w:tc>
        <w:tc>
          <w:tcPr>
            <w:tcW w:w="1253" w:type="dxa"/>
          </w:tcPr>
          <w:p w14:paraId="7326D108" w14:textId="77777777" w:rsidR="00EF3DFB" w:rsidRDefault="00D27C17">
            <w:pPr>
              <w:pStyle w:val="TableParagraph"/>
              <w:tabs>
                <w:tab w:val="left" w:pos="615"/>
              </w:tabs>
              <w:spacing w:before="19"/>
              <w:ind w:right="83"/>
              <w:jc w:val="right"/>
              <w:rPr>
                <w:sz w:val="20"/>
              </w:rPr>
            </w:pPr>
            <w:r>
              <w:rPr>
                <w:sz w:val="20"/>
              </w:rPr>
              <w:t>$</w:t>
            </w:r>
            <w:r>
              <w:rPr>
                <w:sz w:val="20"/>
              </w:rPr>
              <w:tab/>
              <w:t>6,808</w:t>
            </w:r>
          </w:p>
        </w:tc>
      </w:tr>
      <w:tr w:rsidR="00EF3DFB" w14:paraId="7326D10E" w14:textId="77777777">
        <w:trPr>
          <w:trHeight w:val="275"/>
        </w:trPr>
        <w:tc>
          <w:tcPr>
            <w:tcW w:w="4604" w:type="dxa"/>
            <w:shd w:val="clear" w:color="auto" w:fill="CCEDFF"/>
          </w:tcPr>
          <w:p w14:paraId="7326D10A" w14:textId="77777777" w:rsidR="00EF3DFB" w:rsidRDefault="00D27C17">
            <w:pPr>
              <w:pStyle w:val="TableParagraph"/>
              <w:spacing w:line="228" w:lineRule="exact"/>
              <w:ind w:left="52"/>
              <w:rPr>
                <w:sz w:val="20"/>
              </w:rPr>
            </w:pPr>
            <w:r>
              <w:rPr>
                <w:sz w:val="20"/>
              </w:rPr>
              <w:t>Canada</w:t>
            </w:r>
          </w:p>
        </w:tc>
        <w:tc>
          <w:tcPr>
            <w:tcW w:w="3490" w:type="dxa"/>
            <w:tcBorders>
              <w:bottom w:val="single" w:sz="8" w:space="0" w:color="000000"/>
            </w:tcBorders>
            <w:shd w:val="clear" w:color="auto" w:fill="CCEDFF"/>
          </w:tcPr>
          <w:p w14:paraId="7326D10B" w14:textId="77777777" w:rsidR="00EF3DFB" w:rsidRDefault="00D27C17">
            <w:pPr>
              <w:pStyle w:val="TableParagraph"/>
              <w:spacing w:before="19"/>
              <w:ind w:right="103"/>
              <w:jc w:val="right"/>
              <w:rPr>
                <w:sz w:val="20"/>
              </w:rPr>
            </w:pPr>
            <w:r>
              <w:rPr>
                <w:sz w:val="20"/>
              </w:rPr>
              <w:t>413</w:t>
            </w:r>
          </w:p>
        </w:tc>
        <w:tc>
          <w:tcPr>
            <w:tcW w:w="1277" w:type="dxa"/>
            <w:gridSpan w:val="2"/>
            <w:tcBorders>
              <w:bottom w:val="single" w:sz="8" w:space="0" w:color="000000"/>
            </w:tcBorders>
            <w:shd w:val="clear" w:color="auto" w:fill="CCEDFF"/>
          </w:tcPr>
          <w:p w14:paraId="7326D10C" w14:textId="77777777" w:rsidR="00EF3DFB" w:rsidRDefault="00D27C17">
            <w:pPr>
              <w:pStyle w:val="TableParagraph"/>
              <w:spacing w:before="19"/>
              <w:ind w:right="105"/>
              <w:jc w:val="right"/>
              <w:rPr>
                <w:sz w:val="20"/>
              </w:rPr>
            </w:pPr>
            <w:r>
              <w:rPr>
                <w:sz w:val="20"/>
              </w:rPr>
              <w:t>423</w:t>
            </w:r>
          </w:p>
        </w:tc>
        <w:tc>
          <w:tcPr>
            <w:tcW w:w="1253" w:type="dxa"/>
            <w:tcBorders>
              <w:bottom w:val="single" w:sz="8" w:space="0" w:color="000000"/>
            </w:tcBorders>
            <w:shd w:val="clear" w:color="auto" w:fill="CCEDFF"/>
          </w:tcPr>
          <w:p w14:paraId="7326D10D" w14:textId="77777777" w:rsidR="00EF3DFB" w:rsidRDefault="00D27C17">
            <w:pPr>
              <w:pStyle w:val="TableParagraph"/>
              <w:spacing w:before="19"/>
              <w:ind w:right="83"/>
              <w:jc w:val="right"/>
              <w:rPr>
                <w:sz w:val="20"/>
              </w:rPr>
            </w:pPr>
            <w:r>
              <w:rPr>
                <w:sz w:val="20"/>
              </w:rPr>
              <w:t>456</w:t>
            </w:r>
          </w:p>
        </w:tc>
      </w:tr>
      <w:tr w:rsidR="00EF3DFB" w14:paraId="7326D113" w14:textId="77777777">
        <w:trPr>
          <w:trHeight w:val="275"/>
        </w:trPr>
        <w:tc>
          <w:tcPr>
            <w:tcW w:w="4604" w:type="dxa"/>
          </w:tcPr>
          <w:p w14:paraId="7326D10F" w14:textId="77777777" w:rsidR="00EF3DFB" w:rsidRDefault="00D27C17">
            <w:pPr>
              <w:pStyle w:val="TableParagraph"/>
              <w:spacing w:line="218" w:lineRule="exact"/>
              <w:ind w:left="412"/>
              <w:rPr>
                <w:sz w:val="20"/>
              </w:rPr>
            </w:pPr>
            <w:r>
              <w:rPr>
                <w:sz w:val="20"/>
              </w:rPr>
              <w:t>Total North America</w:t>
            </w:r>
          </w:p>
        </w:tc>
        <w:tc>
          <w:tcPr>
            <w:tcW w:w="3490" w:type="dxa"/>
            <w:tcBorders>
              <w:top w:val="single" w:sz="8" w:space="0" w:color="000000"/>
            </w:tcBorders>
          </w:tcPr>
          <w:p w14:paraId="7326D110" w14:textId="77777777" w:rsidR="00EF3DFB" w:rsidRDefault="00D27C17">
            <w:pPr>
              <w:pStyle w:val="TableParagraph"/>
              <w:spacing w:before="9"/>
              <w:ind w:right="103"/>
              <w:jc w:val="right"/>
              <w:rPr>
                <w:sz w:val="20"/>
              </w:rPr>
            </w:pPr>
            <w:r>
              <w:rPr>
                <w:sz w:val="20"/>
              </w:rPr>
              <w:t>6,673</w:t>
            </w:r>
          </w:p>
        </w:tc>
        <w:tc>
          <w:tcPr>
            <w:tcW w:w="1277" w:type="dxa"/>
            <w:gridSpan w:val="2"/>
            <w:tcBorders>
              <w:top w:val="single" w:sz="8" w:space="0" w:color="000000"/>
            </w:tcBorders>
          </w:tcPr>
          <w:p w14:paraId="7326D111" w14:textId="77777777" w:rsidR="00EF3DFB" w:rsidRDefault="00D27C17">
            <w:pPr>
              <w:pStyle w:val="TableParagraph"/>
              <w:spacing w:before="9"/>
              <w:ind w:left="719"/>
              <w:rPr>
                <w:sz w:val="20"/>
              </w:rPr>
            </w:pPr>
            <w:r>
              <w:rPr>
                <w:sz w:val="20"/>
              </w:rPr>
              <w:t>6,920</w:t>
            </w:r>
          </w:p>
        </w:tc>
        <w:tc>
          <w:tcPr>
            <w:tcW w:w="1253" w:type="dxa"/>
            <w:tcBorders>
              <w:top w:val="single" w:sz="8" w:space="0" w:color="000000"/>
            </w:tcBorders>
          </w:tcPr>
          <w:p w14:paraId="7326D112" w14:textId="77777777" w:rsidR="00EF3DFB" w:rsidRDefault="00D27C17">
            <w:pPr>
              <w:pStyle w:val="TableParagraph"/>
              <w:spacing w:before="9"/>
              <w:ind w:right="83"/>
              <w:jc w:val="right"/>
              <w:rPr>
                <w:sz w:val="20"/>
              </w:rPr>
            </w:pPr>
            <w:r>
              <w:rPr>
                <w:sz w:val="20"/>
              </w:rPr>
              <w:t>7,264</w:t>
            </w:r>
          </w:p>
        </w:tc>
      </w:tr>
      <w:tr w:rsidR="00EF3DFB" w14:paraId="7326D118" w14:textId="77777777">
        <w:trPr>
          <w:trHeight w:val="285"/>
        </w:trPr>
        <w:tc>
          <w:tcPr>
            <w:tcW w:w="4604" w:type="dxa"/>
            <w:shd w:val="clear" w:color="auto" w:fill="CCEDFF"/>
          </w:tcPr>
          <w:p w14:paraId="7326D114" w14:textId="77777777" w:rsidR="00EF3DFB" w:rsidRDefault="00D27C17">
            <w:pPr>
              <w:pStyle w:val="TableParagraph"/>
              <w:spacing w:line="228" w:lineRule="exact"/>
              <w:ind w:left="52"/>
              <w:rPr>
                <w:sz w:val="20"/>
              </w:rPr>
            </w:pPr>
            <w:r>
              <w:rPr>
                <w:sz w:val="20"/>
              </w:rPr>
              <w:t>Europe, Middle East and Africa</w:t>
            </w:r>
          </w:p>
        </w:tc>
        <w:tc>
          <w:tcPr>
            <w:tcW w:w="3490" w:type="dxa"/>
            <w:shd w:val="clear" w:color="auto" w:fill="CCEDFF"/>
          </w:tcPr>
          <w:p w14:paraId="7326D115" w14:textId="77777777" w:rsidR="00EF3DFB" w:rsidRDefault="00D27C17">
            <w:pPr>
              <w:pStyle w:val="TableParagraph"/>
              <w:spacing w:before="19"/>
              <w:ind w:right="103"/>
              <w:jc w:val="right"/>
              <w:rPr>
                <w:sz w:val="20"/>
              </w:rPr>
            </w:pPr>
            <w:r>
              <w:rPr>
                <w:sz w:val="20"/>
              </w:rPr>
              <w:t>1,394</w:t>
            </w:r>
          </w:p>
        </w:tc>
        <w:tc>
          <w:tcPr>
            <w:tcW w:w="1277" w:type="dxa"/>
            <w:gridSpan w:val="2"/>
            <w:shd w:val="clear" w:color="auto" w:fill="CCEDFF"/>
          </w:tcPr>
          <w:p w14:paraId="7326D116" w14:textId="77777777" w:rsidR="00EF3DFB" w:rsidRDefault="00D27C17">
            <w:pPr>
              <w:pStyle w:val="TableParagraph"/>
              <w:spacing w:before="19"/>
              <w:ind w:left="719"/>
              <w:rPr>
                <w:sz w:val="20"/>
              </w:rPr>
            </w:pPr>
            <w:r>
              <w:rPr>
                <w:sz w:val="20"/>
              </w:rPr>
              <w:t>1,398</w:t>
            </w:r>
          </w:p>
        </w:tc>
        <w:tc>
          <w:tcPr>
            <w:tcW w:w="1253" w:type="dxa"/>
            <w:shd w:val="clear" w:color="auto" w:fill="CCEDFF"/>
          </w:tcPr>
          <w:p w14:paraId="7326D117" w14:textId="77777777" w:rsidR="00EF3DFB" w:rsidRDefault="00D27C17">
            <w:pPr>
              <w:pStyle w:val="TableParagraph"/>
              <w:spacing w:before="19"/>
              <w:ind w:right="83"/>
              <w:jc w:val="right"/>
              <w:rPr>
                <w:sz w:val="20"/>
              </w:rPr>
            </w:pPr>
            <w:r>
              <w:rPr>
                <w:sz w:val="20"/>
              </w:rPr>
              <w:t>1,463</w:t>
            </w:r>
          </w:p>
        </w:tc>
      </w:tr>
      <w:tr w:rsidR="00EF3DFB" w14:paraId="7326D11D" w14:textId="77777777">
        <w:trPr>
          <w:trHeight w:val="285"/>
        </w:trPr>
        <w:tc>
          <w:tcPr>
            <w:tcW w:w="4604" w:type="dxa"/>
          </w:tcPr>
          <w:p w14:paraId="7326D119" w14:textId="77777777" w:rsidR="00EF3DFB" w:rsidRDefault="00D27C17">
            <w:pPr>
              <w:pStyle w:val="TableParagraph"/>
              <w:spacing w:line="228" w:lineRule="exact"/>
              <w:ind w:left="52"/>
              <w:rPr>
                <w:sz w:val="20"/>
              </w:rPr>
            </w:pPr>
            <w:r>
              <w:rPr>
                <w:sz w:val="20"/>
              </w:rPr>
              <w:t>Latin America</w:t>
            </w:r>
          </w:p>
        </w:tc>
        <w:tc>
          <w:tcPr>
            <w:tcW w:w="3490" w:type="dxa"/>
          </w:tcPr>
          <w:p w14:paraId="7326D11A" w14:textId="77777777" w:rsidR="00EF3DFB" w:rsidRDefault="00D27C17">
            <w:pPr>
              <w:pStyle w:val="TableParagraph"/>
              <w:spacing w:before="19"/>
              <w:ind w:right="103"/>
              <w:jc w:val="right"/>
              <w:rPr>
                <w:sz w:val="20"/>
              </w:rPr>
            </w:pPr>
            <w:r>
              <w:rPr>
                <w:sz w:val="20"/>
              </w:rPr>
              <w:t>657</w:t>
            </w:r>
          </w:p>
        </w:tc>
        <w:tc>
          <w:tcPr>
            <w:tcW w:w="1277" w:type="dxa"/>
            <w:gridSpan w:val="2"/>
          </w:tcPr>
          <w:p w14:paraId="7326D11B" w14:textId="77777777" w:rsidR="00EF3DFB" w:rsidRDefault="00D27C17">
            <w:pPr>
              <w:pStyle w:val="TableParagraph"/>
              <w:spacing w:before="19"/>
              <w:ind w:right="105"/>
              <w:jc w:val="right"/>
              <w:rPr>
                <w:sz w:val="20"/>
              </w:rPr>
            </w:pPr>
            <w:r>
              <w:rPr>
                <w:sz w:val="20"/>
              </w:rPr>
              <w:t>702</w:t>
            </w:r>
          </w:p>
        </w:tc>
        <w:tc>
          <w:tcPr>
            <w:tcW w:w="1253" w:type="dxa"/>
          </w:tcPr>
          <w:p w14:paraId="7326D11C" w14:textId="77777777" w:rsidR="00EF3DFB" w:rsidRDefault="00D27C17">
            <w:pPr>
              <w:pStyle w:val="TableParagraph"/>
              <w:spacing w:before="19"/>
              <w:ind w:right="83"/>
              <w:jc w:val="right"/>
              <w:rPr>
                <w:sz w:val="20"/>
              </w:rPr>
            </w:pPr>
            <w:r>
              <w:rPr>
                <w:sz w:val="20"/>
              </w:rPr>
              <w:t>709</w:t>
            </w:r>
          </w:p>
        </w:tc>
      </w:tr>
      <w:tr w:rsidR="00EF3DFB" w14:paraId="7326D122" w14:textId="77777777">
        <w:trPr>
          <w:trHeight w:val="275"/>
        </w:trPr>
        <w:tc>
          <w:tcPr>
            <w:tcW w:w="4604" w:type="dxa"/>
            <w:shd w:val="clear" w:color="auto" w:fill="CCEDFF"/>
          </w:tcPr>
          <w:p w14:paraId="7326D11E" w14:textId="77777777" w:rsidR="00EF3DFB" w:rsidRDefault="00D27C17">
            <w:pPr>
              <w:pStyle w:val="TableParagraph"/>
              <w:spacing w:line="228" w:lineRule="exact"/>
              <w:ind w:left="52"/>
              <w:rPr>
                <w:sz w:val="20"/>
              </w:rPr>
            </w:pPr>
            <w:r>
              <w:rPr>
                <w:sz w:val="20"/>
              </w:rPr>
              <w:t>Asia Pacific</w:t>
            </w:r>
          </w:p>
        </w:tc>
        <w:tc>
          <w:tcPr>
            <w:tcW w:w="3490" w:type="dxa"/>
            <w:tcBorders>
              <w:bottom w:val="single" w:sz="8" w:space="0" w:color="000000"/>
            </w:tcBorders>
            <w:shd w:val="clear" w:color="auto" w:fill="CCEDFF"/>
          </w:tcPr>
          <w:p w14:paraId="7326D11F" w14:textId="77777777" w:rsidR="00EF3DFB" w:rsidRDefault="00D27C17">
            <w:pPr>
              <w:pStyle w:val="TableParagraph"/>
              <w:spacing w:before="19"/>
              <w:ind w:right="103"/>
              <w:jc w:val="right"/>
              <w:rPr>
                <w:sz w:val="20"/>
              </w:rPr>
            </w:pPr>
            <w:r>
              <w:rPr>
                <w:sz w:val="20"/>
              </w:rPr>
              <w:t>661</w:t>
            </w:r>
          </w:p>
        </w:tc>
        <w:tc>
          <w:tcPr>
            <w:tcW w:w="1277" w:type="dxa"/>
            <w:gridSpan w:val="2"/>
            <w:tcBorders>
              <w:bottom w:val="single" w:sz="8" w:space="0" w:color="000000"/>
            </w:tcBorders>
            <w:shd w:val="clear" w:color="auto" w:fill="CCEDFF"/>
          </w:tcPr>
          <w:p w14:paraId="7326D120" w14:textId="77777777" w:rsidR="00EF3DFB" w:rsidRDefault="00D27C17">
            <w:pPr>
              <w:pStyle w:val="TableParagraph"/>
              <w:spacing w:before="19"/>
              <w:ind w:right="105"/>
              <w:jc w:val="right"/>
              <w:rPr>
                <w:sz w:val="20"/>
              </w:rPr>
            </w:pPr>
            <w:r>
              <w:rPr>
                <w:sz w:val="20"/>
              </w:rPr>
              <w:t>695</w:t>
            </w:r>
          </w:p>
        </w:tc>
        <w:tc>
          <w:tcPr>
            <w:tcW w:w="1253" w:type="dxa"/>
            <w:tcBorders>
              <w:bottom w:val="single" w:sz="8" w:space="0" w:color="000000"/>
            </w:tcBorders>
            <w:shd w:val="clear" w:color="auto" w:fill="CCEDFF"/>
          </w:tcPr>
          <w:p w14:paraId="7326D121" w14:textId="77777777" w:rsidR="00EF3DFB" w:rsidRDefault="00D27C17">
            <w:pPr>
              <w:pStyle w:val="TableParagraph"/>
              <w:spacing w:before="19"/>
              <w:ind w:right="83"/>
              <w:jc w:val="right"/>
              <w:rPr>
                <w:sz w:val="20"/>
              </w:rPr>
            </w:pPr>
            <w:r>
              <w:rPr>
                <w:sz w:val="20"/>
              </w:rPr>
              <w:t>718</w:t>
            </w:r>
          </w:p>
        </w:tc>
      </w:tr>
      <w:tr w:rsidR="00EF3DFB" w14:paraId="7326D126" w14:textId="77777777">
        <w:trPr>
          <w:trHeight w:val="265"/>
        </w:trPr>
        <w:tc>
          <w:tcPr>
            <w:tcW w:w="8094" w:type="dxa"/>
            <w:gridSpan w:val="2"/>
          </w:tcPr>
          <w:p w14:paraId="7326D123" w14:textId="77777777" w:rsidR="00EF3DFB" w:rsidRDefault="00D27C17">
            <w:pPr>
              <w:pStyle w:val="TableParagraph"/>
              <w:tabs>
                <w:tab w:val="left" w:pos="7538"/>
              </w:tabs>
              <w:spacing w:line="238" w:lineRule="exact"/>
              <w:ind w:left="412"/>
              <w:rPr>
                <w:sz w:val="20"/>
              </w:rPr>
            </w:pPr>
            <w:r>
              <w:rPr>
                <w:sz w:val="20"/>
              </w:rPr>
              <w:t>Total</w:t>
            </w:r>
            <w:r>
              <w:rPr>
                <w:spacing w:val="-4"/>
                <w:sz w:val="20"/>
              </w:rPr>
              <w:t xml:space="preserve"> </w:t>
            </w:r>
            <w:r>
              <w:rPr>
                <w:sz w:val="20"/>
              </w:rPr>
              <w:t>International</w:t>
            </w:r>
            <w:r>
              <w:rPr>
                <w:sz w:val="20"/>
              </w:rPr>
              <w:tab/>
            </w:r>
            <w:r>
              <w:rPr>
                <w:position w:val="-1"/>
                <w:sz w:val="20"/>
              </w:rPr>
              <w:t>2,712</w:t>
            </w:r>
          </w:p>
        </w:tc>
        <w:tc>
          <w:tcPr>
            <w:tcW w:w="1277" w:type="dxa"/>
            <w:gridSpan w:val="2"/>
            <w:tcBorders>
              <w:bottom w:val="single" w:sz="8" w:space="0" w:color="000000"/>
            </w:tcBorders>
          </w:tcPr>
          <w:p w14:paraId="7326D124" w14:textId="77777777" w:rsidR="00EF3DFB" w:rsidRDefault="00D27C17">
            <w:pPr>
              <w:pStyle w:val="TableParagraph"/>
              <w:spacing w:before="9"/>
              <w:ind w:left="719"/>
              <w:rPr>
                <w:sz w:val="20"/>
              </w:rPr>
            </w:pPr>
            <w:r>
              <w:rPr>
                <w:sz w:val="20"/>
              </w:rPr>
              <w:t>2,795</w:t>
            </w:r>
          </w:p>
        </w:tc>
        <w:tc>
          <w:tcPr>
            <w:tcW w:w="1253" w:type="dxa"/>
            <w:tcBorders>
              <w:bottom w:val="single" w:sz="8" w:space="0" w:color="000000"/>
            </w:tcBorders>
          </w:tcPr>
          <w:p w14:paraId="7326D125" w14:textId="77777777" w:rsidR="00EF3DFB" w:rsidRDefault="00D27C17">
            <w:pPr>
              <w:pStyle w:val="TableParagraph"/>
              <w:spacing w:before="9"/>
              <w:ind w:right="83"/>
              <w:jc w:val="right"/>
              <w:rPr>
                <w:sz w:val="20"/>
              </w:rPr>
            </w:pPr>
            <w:r>
              <w:rPr>
                <w:sz w:val="20"/>
              </w:rPr>
              <w:t>2,890</w:t>
            </w:r>
          </w:p>
        </w:tc>
      </w:tr>
      <w:tr w:rsidR="00EF3DFB" w14:paraId="7326D12A" w14:textId="77777777">
        <w:trPr>
          <w:trHeight w:val="285"/>
        </w:trPr>
        <w:tc>
          <w:tcPr>
            <w:tcW w:w="8094" w:type="dxa"/>
            <w:gridSpan w:val="2"/>
            <w:shd w:val="clear" w:color="auto" w:fill="CCEDFF"/>
          </w:tcPr>
          <w:p w14:paraId="7326D127" w14:textId="77777777" w:rsidR="00EF3DFB" w:rsidRDefault="00D27C17">
            <w:pPr>
              <w:pStyle w:val="TableParagraph"/>
              <w:tabs>
                <w:tab w:val="left" w:pos="615"/>
              </w:tabs>
              <w:spacing w:before="9"/>
              <w:ind w:right="103"/>
              <w:jc w:val="right"/>
              <w:rPr>
                <w:sz w:val="20"/>
              </w:rPr>
            </w:pPr>
            <w:r>
              <w:rPr>
                <w:sz w:val="20"/>
                <w:u w:val="single"/>
              </w:rPr>
              <w:t>$</w:t>
            </w:r>
            <w:r>
              <w:rPr>
                <w:sz w:val="20"/>
                <w:u w:val="single"/>
              </w:rPr>
              <w:tab/>
              <w:t>9,385</w:t>
            </w:r>
          </w:p>
        </w:tc>
        <w:tc>
          <w:tcPr>
            <w:tcW w:w="1277" w:type="dxa"/>
            <w:gridSpan w:val="2"/>
            <w:tcBorders>
              <w:top w:val="single" w:sz="8" w:space="0" w:color="000000"/>
              <w:bottom w:val="single" w:sz="8" w:space="0" w:color="000000"/>
            </w:tcBorders>
            <w:shd w:val="clear" w:color="auto" w:fill="CCEDFF"/>
          </w:tcPr>
          <w:p w14:paraId="7326D128" w14:textId="77777777" w:rsidR="00EF3DFB" w:rsidRDefault="00D27C17">
            <w:pPr>
              <w:pStyle w:val="TableParagraph"/>
              <w:tabs>
                <w:tab w:val="left" w:pos="719"/>
              </w:tabs>
              <w:spacing w:before="9"/>
              <w:ind w:left="103"/>
              <w:rPr>
                <w:sz w:val="20"/>
              </w:rPr>
            </w:pPr>
            <w:r>
              <w:rPr>
                <w:sz w:val="20"/>
                <w:u w:val="single"/>
              </w:rPr>
              <w:t>$</w:t>
            </w:r>
            <w:r>
              <w:rPr>
                <w:sz w:val="20"/>
                <w:u w:val="single"/>
              </w:rPr>
              <w:tab/>
              <w:t>9,715</w:t>
            </w:r>
          </w:p>
        </w:tc>
        <w:tc>
          <w:tcPr>
            <w:tcW w:w="1253" w:type="dxa"/>
            <w:tcBorders>
              <w:top w:val="single" w:sz="8" w:space="0" w:color="000000"/>
              <w:bottom w:val="single" w:sz="8" w:space="0" w:color="000000"/>
            </w:tcBorders>
            <w:shd w:val="clear" w:color="auto" w:fill="CCEDFF"/>
          </w:tcPr>
          <w:p w14:paraId="7326D129" w14:textId="77777777" w:rsidR="00EF3DFB" w:rsidRDefault="00D27C17">
            <w:pPr>
              <w:pStyle w:val="TableParagraph"/>
              <w:tabs>
                <w:tab w:val="left" w:pos="515"/>
              </w:tabs>
              <w:spacing w:before="9"/>
              <w:ind w:right="83"/>
              <w:jc w:val="right"/>
              <w:rPr>
                <w:sz w:val="20"/>
              </w:rPr>
            </w:pPr>
            <w:r>
              <w:rPr>
                <w:sz w:val="20"/>
                <w:u w:val="single"/>
              </w:rPr>
              <w:t>$</w:t>
            </w:r>
            <w:r>
              <w:rPr>
                <w:sz w:val="20"/>
                <w:u w:val="single"/>
              </w:rPr>
              <w:tab/>
              <w:t>10,154</w:t>
            </w:r>
          </w:p>
        </w:tc>
      </w:tr>
    </w:tbl>
    <w:p w14:paraId="7326D12B" w14:textId="2B0E44E1" w:rsidR="00EF3DFB" w:rsidRDefault="00D27C17">
      <w:pPr>
        <w:pStyle w:val="ListParagraph"/>
        <w:numPr>
          <w:ilvl w:val="0"/>
          <w:numId w:val="17"/>
        </w:numPr>
        <w:tabs>
          <w:tab w:val="left" w:pos="910"/>
        </w:tabs>
        <w:spacing w:before="135"/>
        <w:rPr>
          <w:sz w:val="16"/>
        </w:rPr>
      </w:pPr>
      <w:r>
        <w:rPr>
          <w:noProof/>
        </w:rPr>
        <mc:AlternateContent>
          <mc:Choice Requires="wps">
            <w:drawing>
              <wp:anchor distT="0" distB="0" distL="114300" distR="114300" simplePos="0" relativeHeight="502908296" behindDoc="1" locked="0" layoutInCell="1" allowOverlap="1" wp14:anchorId="7326D796" wp14:editId="381F7D14">
                <wp:simplePos x="0" y="0"/>
                <wp:positionH relativeFrom="page">
                  <wp:posOffset>4676775</wp:posOffset>
                </wp:positionH>
                <wp:positionV relativeFrom="page">
                  <wp:posOffset>2174875</wp:posOffset>
                </wp:positionV>
                <wp:extent cx="1266825" cy="0"/>
                <wp:effectExtent l="9525" t="12700" r="9525" b="6350"/>
                <wp:wrapNone/>
                <wp:docPr id="14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C57A" id="Line 130" o:spid="_x0000_s1026" style="position:absolute;z-index:-40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25pt,171.25pt" to="468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" strokeweight="1pt">
                <w10:wrap anchorx="page" anchory="page"/>
              </v:line>
            </w:pict>
          </mc:Fallback>
        </mc:AlternateContent>
      </w:r>
      <w:r>
        <w:rPr>
          <w:noProof/>
        </w:rPr>
        <mc:AlternateContent>
          <mc:Choice Requires="wps">
            <w:drawing>
              <wp:anchor distT="0" distB="0" distL="114300" distR="114300" simplePos="0" relativeHeight="502908320" behindDoc="1" locked="0" layoutInCell="1" allowOverlap="1" wp14:anchorId="7326D797" wp14:editId="64744265">
                <wp:simplePos x="0" y="0"/>
                <wp:positionH relativeFrom="page">
                  <wp:posOffset>5991225</wp:posOffset>
                </wp:positionH>
                <wp:positionV relativeFrom="page">
                  <wp:posOffset>2174875</wp:posOffset>
                </wp:positionV>
                <wp:extent cx="1266825" cy="0"/>
                <wp:effectExtent l="9525" t="12700" r="9525" b="6350"/>
                <wp:wrapNone/>
                <wp:docPr id="14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E3F9" id="Line 129" o:spid="_x0000_s1026" style="position:absolute;z-index:-4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75pt,171.25pt" to="571.5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" strokeweight="1pt">
                <w10:wrap anchorx="page" anchory="page"/>
              </v:line>
            </w:pict>
          </mc:Fallback>
        </mc:AlternateContent>
      </w:r>
      <w:r>
        <w:rPr>
          <w:sz w:val="16"/>
        </w:rPr>
        <w:t>All intercompany transactions have been</w:t>
      </w:r>
      <w:r>
        <w:rPr>
          <w:spacing w:val="-2"/>
          <w:sz w:val="16"/>
        </w:rPr>
        <w:t xml:space="preserve"> </w:t>
      </w:r>
      <w:r>
        <w:rPr>
          <w:sz w:val="16"/>
        </w:rPr>
        <w:t>eliminated.</w:t>
      </w:r>
    </w:p>
    <w:p w14:paraId="7326D12C" w14:textId="77777777" w:rsidR="00EF3DFB" w:rsidRDefault="00D27C17">
      <w:pPr>
        <w:pStyle w:val="ListParagraph"/>
        <w:numPr>
          <w:ilvl w:val="0"/>
          <w:numId w:val="17"/>
        </w:numPr>
        <w:tabs>
          <w:tab w:val="left" w:pos="910"/>
        </w:tabs>
        <w:spacing w:before="128" w:line="249" w:lineRule="auto"/>
        <w:ind w:right="164"/>
        <w:jc w:val="both"/>
        <w:rPr>
          <w:sz w:val="16"/>
        </w:rPr>
      </w:pPr>
      <w:r>
        <w:rPr>
          <w:sz w:val="16"/>
        </w:rPr>
        <w:t>Operating income (loss) by segment is net sales less cost of products sold, SG&amp;A and impairment of goodwill, intangibles and other assets for continuing operations. Certain headquarters expenses of an operational nature are allocated to business segments p</w:t>
      </w:r>
      <w:r>
        <w:rPr>
          <w:sz w:val="16"/>
        </w:rPr>
        <w:t>rimarily on a net sales basis. Corporate depreciation and amortization is allocated to the segments on a percentage of sales basis, and the allocated depreciation and amortization are included in segment operating</w:t>
      </w:r>
      <w:r>
        <w:rPr>
          <w:spacing w:val="-1"/>
          <w:sz w:val="16"/>
        </w:rPr>
        <w:t xml:space="preserve"> </w:t>
      </w:r>
      <w:r>
        <w:rPr>
          <w:sz w:val="16"/>
        </w:rPr>
        <w:t>income.</w:t>
      </w:r>
    </w:p>
    <w:p w14:paraId="7326D12D" w14:textId="77777777" w:rsidR="00EF3DFB" w:rsidRDefault="00D27C17">
      <w:pPr>
        <w:pStyle w:val="ListParagraph"/>
        <w:numPr>
          <w:ilvl w:val="0"/>
          <w:numId w:val="17"/>
        </w:numPr>
        <w:tabs>
          <w:tab w:val="left" w:pos="910"/>
        </w:tabs>
        <w:spacing w:before="123" w:line="249" w:lineRule="auto"/>
        <w:ind w:right="165"/>
        <w:jc w:val="both"/>
        <w:rPr>
          <w:sz w:val="16"/>
        </w:rPr>
      </w:pPr>
      <w:r>
        <w:rPr>
          <w:sz w:val="16"/>
        </w:rPr>
        <w:t>Geographic sales information is based on the region from which the products are shipped and invoiced. Long-lived assets by geography are not presented because it is impracticable to do</w:t>
      </w:r>
      <w:r>
        <w:rPr>
          <w:spacing w:val="-2"/>
          <w:sz w:val="16"/>
        </w:rPr>
        <w:t xml:space="preserve"> </w:t>
      </w:r>
      <w:r>
        <w:rPr>
          <w:sz w:val="16"/>
        </w:rPr>
        <w:t>so.</w:t>
      </w:r>
    </w:p>
    <w:p w14:paraId="7326D12E" w14:textId="77777777" w:rsidR="00EF3DFB" w:rsidRDefault="00EF3DFB">
      <w:pPr>
        <w:pStyle w:val="BodyText"/>
        <w:spacing w:before="1"/>
      </w:pPr>
    </w:p>
    <w:p w14:paraId="7326D12F" w14:textId="77777777" w:rsidR="00EF3DFB" w:rsidRDefault="00D27C17">
      <w:pPr>
        <w:pStyle w:val="BodyText"/>
        <w:spacing w:line="249" w:lineRule="auto"/>
        <w:ind w:left="190" w:right="168"/>
        <w:jc w:val="both"/>
      </w:pPr>
      <w:r>
        <w:t>Sales to Walmart Inc. and subsidiaries amounted to approximately 1</w:t>
      </w:r>
      <w:r>
        <w:t>5% of consolidated net sales in 2020, 2019 and 2018, substantially across all segments. Sales to Amazon amounted to approximately 12%, 9% and 8% of consolidated net sales in 2020, 2019 and 2018, respectively, substantially across all segments.</w:t>
      </w:r>
    </w:p>
    <w:p w14:paraId="7326D130" w14:textId="77777777" w:rsidR="00EF3DFB" w:rsidRDefault="00EF3DFB">
      <w:pPr>
        <w:pStyle w:val="BodyText"/>
        <w:spacing w:before="1"/>
        <w:rPr>
          <w:sz w:val="21"/>
        </w:rPr>
      </w:pPr>
    </w:p>
    <w:p w14:paraId="7326D131" w14:textId="77777777" w:rsidR="00EF3DFB" w:rsidRDefault="00D27C17">
      <w:pPr>
        <w:pStyle w:val="BodyText"/>
        <w:spacing w:line="249" w:lineRule="auto"/>
        <w:ind w:left="190" w:right="169"/>
        <w:jc w:val="both"/>
      </w:pPr>
      <w:r>
        <w:t>The followi</w:t>
      </w:r>
      <w:r>
        <w:t>ng table disaggregates revenue by major product grouping source and geography for the years ended December 31, (in millions):</w:t>
      </w:r>
    </w:p>
    <w:p w14:paraId="7326D132" w14:textId="77777777" w:rsidR="00EF3DFB" w:rsidRDefault="00D27C17">
      <w:pPr>
        <w:pStyle w:val="Heading2"/>
        <w:spacing w:before="130" w:after="30"/>
        <w:ind w:left="7017"/>
        <w:jc w:val="left"/>
      </w:pPr>
      <w:r>
        <w:t>2020</w:t>
      </w:r>
    </w:p>
    <w:tbl>
      <w:tblPr>
        <w:tblW w:w="0" w:type="auto"/>
        <w:tblInd w:w="190" w:type="dxa"/>
        <w:tblLayout w:type="fixed"/>
        <w:tblCellMar>
          <w:left w:w="0" w:type="dxa"/>
          <w:right w:w="0" w:type="dxa"/>
        </w:tblCellMar>
        <w:tblLook w:val="01E0" w:firstRow="1" w:lastRow="1" w:firstColumn="1" w:lastColumn="1" w:noHBand="0" w:noVBand="0"/>
      </w:tblPr>
      <w:tblGrid>
        <w:gridCol w:w="3435"/>
        <w:gridCol w:w="1237"/>
        <w:gridCol w:w="1077"/>
        <w:gridCol w:w="1265"/>
        <w:gridCol w:w="1275"/>
        <w:gridCol w:w="1100"/>
        <w:gridCol w:w="1232"/>
      </w:tblGrid>
      <w:tr w:rsidR="00EF3DFB" w14:paraId="7326D13B" w14:textId="77777777">
        <w:trPr>
          <w:trHeight w:val="400"/>
        </w:trPr>
        <w:tc>
          <w:tcPr>
            <w:tcW w:w="3435" w:type="dxa"/>
          </w:tcPr>
          <w:p w14:paraId="7326D133" w14:textId="77777777" w:rsidR="00EF3DFB" w:rsidRDefault="00EF3DFB">
            <w:pPr>
              <w:pStyle w:val="TableParagraph"/>
              <w:rPr>
                <w:sz w:val="18"/>
              </w:rPr>
            </w:pPr>
          </w:p>
        </w:tc>
        <w:tc>
          <w:tcPr>
            <w:tcW w:w="1237" w:type="dxa"/>
            <w:tcBorders>
              <w:top w:val="single" w:sz="8" w:space="0" w:color="000000"/>
              <w:bottom w:val="single" w:sz="8" w:space="0" w:color="000000"/>
            </w:tcBorders>
          </w:tcPr>
          <w:p w14:paraId="7326D134" w14:textId="77777777" w:rsidR="00EF3DFB" w:rsidRDefault="00D27C17">
            <w:pPr>
              <w:pStyle w:val="TableParagraph"/>
              <w:spacing w:line="192" w:lineRule="exact"/>
              <w:ind w:left="267" w:right="72" w:hanging="176"/>
              <w:rPr>
                <w:b/>
                <w:sz w:val="16"/>
              </w:rPr>
            </w:pPr>
            <w:r>
              <w:rPr>
                <w:b/>
                <w:sz w:val="16"/>
              </w:rPr>
              <w:t>Appliances and Cookware</w:t>
            </w:r>
          </w:p>
        </w:tc>
        <w:tc>
          <w:tcPr>
            <w:tcW w:w="1077" w:type="dxa"/>
            <w:tcBorders>
              <w:top w:val="single" w:sz="8" w:space="0" w:color="000000"/>
              <w:bottom w:val="single" w:sz="8" w:space="0" w:color="000000"/>
            </w:tcBorders>
          </w:tcPr>
          <w:p w14:paraId="7326D135" w14:textId="77777777" w:rsidR="00EF3DFB" w:rsidRDefault="00D27C17">
            <w:pPr>
              <w:pStyle w:val="TableParagraph"/>
              <w:spacing w:line="192" w:lineRule="exact"/>
              <w:ind w:left="243" w:right="76" w:hanging="107"/>
              <w:rPr>
                <w:b/>
                <w:sz w:val="16"/>
              </w:rPr>
            </w:pPr>
            <w:r>
              <w:rPr>
                <w:b/>
                <w:sz w:val="16"/>
              </w:rPr>
              <w:t>Commercial Solutions</w:t>
            </w:r>
          </w:p>
        </w:tc>
        <w:tc>
          <w:tcPr>
            <w:tcW w:w="1265" w:type="dxa"/>
            <w:tcBorders>
              <w:top w:val="single" w:sz="8" w:space="0" w:color="000000"/>
              <w:bottom w:val="single" w:sz="8" w:space="0" w:color="000000"/>
            </w:tcBorders>
          </w:tcPr>
          <w:p w14:paraId="7326D136" w14:textId="77777777" w:rsidR="00EF3DFB" w:rsidRDefault="00D27C17">
            <w:pPr>
              <w:pStyle w:val="TableParagraph"/>
              <w:spacing w:line="192" w:lineRule="exact"/>
              <w:ind w:left="344" w:right="269" w:firstLine="111"/>
              <w:rPr>
                <w:b/>
                <w:sz w:val="16"/>
              </w:rPr>
            </w:pPr>
            <w:r>
              <w:rPr>
                <w:b/>
                <w:sz w:val="16"/>
              </w:rPr>
              <w:t>Home Solutions</w:t>
            </w:r>
          </w:p>
        </w:tc>
        <w:tc>
          <w:tcPr>
            <w:tcW w:w="1275" w:type="dxa"/>
            <w:tcBorders>
              <w:top w:val="single" w:sz="8" w:space="0" w:color="000000"/>
              <w:bottom w:val="single" w:sz="8" w:space="0" w:color="000000"/>
            </w:tcBorders>
          </w:tcPr>
          <w:p w14:paraId="7326D137" w14:textId="77777777" w:rsidR="00EF3DFB" w:rsidRDefault="00D27C17">
            <w:pPr>
              <w:pStyle w:val="TableParagraph"/>
              <w:spacing w:line="192" w:lineRule="exact"/>
              <w:ind w:left="221" w:right="120" w:hanging="16"/>
              <w:rPr>
                <w:b/>
                <w:sz w:val="16"/>
              </w:rPr>
            </w:pPr>
            <w:r>
              <w:rPr>
                <w:b/>
                <w:sz w:val="16"/>
              </w:rPr>
              <w:t>Learning and Development</w:t>
            </w:r>
          </w:p>
        </w:tc>
        <w:tc>
          <w:tcPr>
            <w:tcW w:w="1100" w:type="dxa"/>
            <w:tcBorders>
              <w:top w:val="single" w:sz="8" w:space="0" w:color="000000"/>
              <w:bottom w:val="single" w:sz="8" w:space="0" w:color="000000"/>
            </w:tcBorders>
          </w:tcPr>
          <w:p w14:paraId="7326D138" w14:textId="77777777" w:rsidR="00EF3DFB" w:rsidRDefault="00D27C17">
            <w:pPr>
              <w:pStyle w:val="TableParagraph"/>
              <w:spacing w:line="192" w:lineRule="exact"/>
              <w:ind w:left="199" w:right="65" w:hanging="69"/>
              <w:rPr>
                <w:b/>
                <w:sz w:val="16"/>
              </w:rPr>
            </w:pPr>
            <w:r>
              <w:rPr>
                <w:b/>
                <w:sz w:val="16"/>
              </w:rPr>
              <w:t>Outdoor and Recreation</w:t>
            </w:r>
          </w:p>
        </w:tc>
        <w:tc>
          <w:tcPr>
            <w:tcW w:w="1232" w:type="dxa"/>
            <w:tcBorders>
              <w:top w:val="single" w:sz="8" w:space="0" w:color="000000"/>
              <w:bottom w:val="single" w:sz="8" w:space="0" w:color="000000"/>
            </w:tcBorders>
          </w:tcPr>
          <w:p w14:paraId="7326D139" w14:textId="77777777" w:rsidR="00EF3DFB" w:rsidRDefault="00EF3DFB">
            <w:pPr>
              <w:pStyle w:val="TableParagraph"/>
              <w:rPr>
                <w:b/>
                <w:sz w:val="17"/>
              </w:rPr>
            </w:pPr>
          </w:p>
          <w:p w14:paraId="7326D13A" w14:textId="77777777" w:rsidR="00EF3DFB" w:rsidRDefault="00D27C17">
            <w:pPr>
              <w:pStyle w:val="TableParagraph"/>
              <w:spacing w:line="184" w:lineRule="exact"/>
              <w:ind w:left="467"/>
              <w:rPr>
                <w:b/>
                <w:sz w:val="16"/>
              </w:rPr>
            </w:pPr>
            <w:r>
              <w:rPr>
                <w:b/>
                <w:sz w:val="16"/>
              </w:rPr>
              <w:t>Total</w:t>
            </w:r>
          </w:p>
        </w:tc>
      </w:tr>
      <w:tr w:rsidR="00EF3DFB" w14:paraId="7326D143" w14:textId="77777777">
        <w:trPr>
          <w:trHeight w:val="275"/>
        </w:trPr>
        <w:tc>
          <w:tcPr>
            <w:tcW w:w="3435" w:type="dxa"/>
            <w:shd w:val="clear" w:color="auto" w:fill="CCEDFF"/>
          </w:tcPr>
          <w:p w14:paraId="7326D13C" w14:textId="77777777" w:rsidR="00EF3DFB" w:rsidRDefault="00D27C17">
            <w:pPr>
              <w:pStyle w:val="TableParagraph"/>
              <w:spacing w:line="224" w:lineRule="exact"/>
              <w:ind w:left="52"/>
              <w:rPr>
                <w:sz w:val="20"/>
              </w:rPr>
            </w:pPr>
            <w:r>
              <w:rPr>
                <w:sz w:val="20"/>
              </w:rPr>
              <w:t>Appliances and Cookware</w:t>
            </w:r>
          </w:p>
        </w:tc>
        <w:tc>
          <w:tcPr>
            <w:tcW w:w="1237" w:type="dxa"/>
            <w:tcBorders>
              <w:top w:val="single" w:sz="8" w:space="0" w:color="000000"/>
            </w:tcBorders>
            <w:shd w:val="clear" w:color="auto" w:fill="CCEDFF"/>
          </w:tcPr>
          <w:p w14:paraId="7326D13D" w14:textId="77777777" w:rsidR="00EF3DFB" w:rsidRDefault="00D27C17">
            <w:pPr>
              <w:pStyle w:val="TableParagraph"/>
              <w:tabs>
                <w:tab w:val="left" w:pos="615"/>
              </w:tabs>
              <w:spacing w:before="15"/>
              <w:ind w:right="116"/>
              <w:jc w:val="right"/>
              <w:rPr>
                <w:sz w:val="20"/>
              </w:rPr>
            </w:pPr>
            <w:r>
              <w:rPr>
                <w:sz w:val="20"/>
              </w:rPr>
              <w:t>$</w:t>
            </w:r>
            <w:r>
              <w:rPr>
                <w:sz w:val="20"/>
              </w:rPr>
              <w:tab/>
              <w:t>1,706</w:t>
            </w:r>
          </w:p>
        </w:tc>
        <w:tc>
          <w:tcPr>
            <w:tcW w:w="1077" w:type="dxa"/>
            <w:tcBorders>
              <w:top w:val="single" w:sz="8" w:space="0" w:color="000000"/>
            </w:tcBorders>
            <w:shd w:val="clear" w:color="auto" w:fill="CCEDFF"/>
          </w:tcPr>
          <w:p w14:paraId="7326D13E" w14:textId="77777777" w:rsidR="00EF3DFB" w:rsidRDefault="00D27C17">
            <w:pPr>
              <w:pStyle w:val="TableParagraph"/>
              <w:tabs>
                <w:tab w:val="left" w:pos="670"/>
              </w:tabs>
              <w:spacing w:before="15"/>
              <w:ind w:right="113"/>
              <w:jc w:val="right"/>
              <w:rPr>
                <w:sz w:val="20"/>
              </w:rPr>
            </w:pPr>
            <w:r>
              <w:rPr>
                <w:sz w:val="20"/>
              </w:rPr>
              <w:t>$</w:t>
            </w:r>
            <w:r>
              <w:rPr>
                <w:sz w:val="20"/>
              </w:rPr>
              <w:tab/>
              <w:t>—</w:t>
            </w:r>
          </w:p>
        </w:tc>
        <w:tc>
          <w:tcPr>
            <w:tcW w:w="1265" w:type="dxa"/>
            <w:tcBorders>
              <w:top w:val="single" w:sz="8" w:space="0" w:color="000000"/>
            </w:tcBorders>
            <w:shd w:val="clear" w:color="auto" w:fill="CCEDFF"/>
          </w:tcPr>
          <w:p w14:paraId="7326D13F" w14:textId="77777777" w:rsidR="00EF3DFB" w:rsidRDefault="00D27C17">
            <w:pPr>
              <w:pStyle w:val="TableParagraph"/>
              <w:tabs>
                <w:tab w:val="left" w:pos="865"/>
              </w:tabs>
              <w:spacing w:before="15"/>
              <w:ind w:right="103"/>
              <w:jc w:val="right"/>
              <w:rPr>
                <w:sz w:val="20"/>
              </w:rPr>
            </w:pPr>
            <w:r>
              <w:rPr>
                <w:sz w:val="20"/>
              </w:rPr>
              <w:t>$</w:t>
            </w:r>
            <w:r>
              <w:rPr>
                <w:sz w:val="20"/>
              </w:rPr>
              <w:tab/>
              <w:t>—</w:t>
            </w:r>
          </w:p>
        </w:tc>
        <w:tc>
          <w:tcPr>
            <w:tcW w:w="1275" w:type="dxa"/>
            <w:tcBorders>
              <w:top w:val="single" w:sz="8" w:space="0" w:color="000000"/>
            </w:tcBorders>
            <w:shd w:val="clear" w:color="auto" w:fill="CCEDFF"/>
          </w:tcPr>
          <w:p w14:paraId="7326D140" w14:textId="77777777" w:rsidR="00EF3DFB" w:rsidRDefault="00D27C17">
            <w:pPr>
              <w:pStyle w:val="TableParagraph"/>
              <w:tabs>
                <w:tab w:val="left" w:pos="865"/>
              </w:tabs>
              <w:spacing w:before="15"/>
              <w:ind w:right="103"/>
              <w:jc w:val="right"/>
              <w:rPr>
                <w:sz w:val="20"/>
              </w:rPr>
            </w:pPr>
            <w:r>
              <w:rPr>
                <w:sz w:val="20"/>
              </w:rPr>
              <w:t>$</w:t>
            </w:r>
            <w:r>
              <w:rPr>
                <w:sz w:val="20"/>
              </w:rPr>
              <w:tab/>
              <w:t>—</w:t>
            </w:r>
          </w:p>
        </w:tc>
        <w:tc>
          <w:tcPr>
            <w:tcW w:w="1100" w:type="dxa"/>
            <w:tcBorders>
              <w:top w:val="single" w:sz="8" w:space="0" w:color="000000"/>
            </w:tcBorders>
            <w:shd w:val="clear" w:color="auto" w:fill="CCEDFF"/>
          </w:tcPr>
          <w:p w14:paraId="7326D141" w14:textId="77777777" w:rsidR="00EF3DFB" w:rsidRDefault="00D27C17">
            <w:pPr>
              <w:pStyle w:val="TableParagraph"/>
              <w:tabs>
                <w:tab w:val="left" w:pos="670"/>
              </w:tabs>
              <w:spacing w:before="15"/>
              <w:ind w:right="123"/>
              <w:jc w:val="right"/>
              <w:rPr>
                <w:sz w:val="20"/>
              </w:rPr>
            </w:pPr>
            <w:r>
              <w:rPr>
                <w:sz w:val="20"/>
              </w:rPr>
              <w:t>$</w:t>
            </w:r>
            <w:r>
              <w:rPr>
                <w:sz w:val="20"/>
              </w:rPr>
              <w:tab/>
              <w:t>—</w:t>
            </w:r>
          </w:p>
        </w:tc>
        <w:tc>
          <w:tcPr>
            <w:tcW w:w="1232" w:type="dxa"/>
            <w:tcBorders>
              <w:top w:val="single" w:sz="8" w:space="0" w:color="000000"/>
            </w:tcBorders>
            <w:shd w:val="clear" w:color="auto" w:fill="CCEDFF"/>
          </w:tcPr>
          <w:p w14:paraId="7326D142" w14:textId="77777777" w:rsidR="00EF3DFB" w:rsidRDefault="00D27C17">
            <w:pPr>
              <w:pStyle w:val="TableParagraph"/>
              <w:tabs>
                <w:tab w:val="left" w:pos="615"/>
              </w:tabs>
              <w:spacing w:before="15"/>
              <w:ind w:right="80"/>
              <w:jc w:val="right"/>
              <w:rPr>
                <w:sz w:val="20"/>
              </w:rPr>
            </w:pPr>
            <w:r>
              <w:rPr>
                <w:sz w:val="20"/>
              </w:rPr>
              <w:t>$</w:t>
            </w:r>
            <w:r>
              <w:rPr>
                <w:sz w:val="20"/>
              </w:rPr>
              <w:tab/>
              <w:t>1,706</w:t>
            </w:r>
          </w:p>
        </w:tc>
      </w:tr>
      <w:tr w:rsidR="00EF3DFB" w14:paraId="7326D14B" w14:textId="77777777">
        <w:trPr>
          <w:trHeight w:val="285"/>
        </w:trPr>
        <w:tc>
          <w:tcPr>
            <w:tcW w:w="3435" w:type="dxa"/>
          </w:tcPr>
          <w:p w14:paraId="7326D144" w14:textId="77777777" w:rsidR="00EF3DFB" w:rsidRDefault="00D27C17">
            <w:pPr>
              <w:pStyle w:val="TableParagraph"/>
              <w:spacing w:before="4"/>
              <w:ind w:left="52"/>
              <w:rPr>
                <w:sz w:val="20"/>
              </w:rPr>
            </w:pPr>
            <w:r>
              <w:rPr>
                <w:sz w:val="20"/>
              </w:rPr>
              <w:t>Commercial</w:t>
            </w:r>
          </w:p>
        </w:tc>
        <w:tc>
          <w:tcPr>
            <w:tcW w:w="1237" w:type="dxa"/>
          </w:tcPr>
          <w:p w14:paraId="7326D145" w14:textId="77777777" w:rsidR="00EF3DFB" w:rsidRDefault="00D27C17">
            <w:pPr>
              <w:pStyle w:val="TableParagraph"/>
              <w:spacing w:before="25"/>
              <w:ind w:right="116"/>
              <w:jc w:val="right"/>
              <w:rPr>
                <w:sz w:val="20"/>
              </w:rPr>
            </w:pPr>
            <w:r>
              <w:rPr>
                <w:sz w:val="20"/>
              </w:rPr>
              <w:t>—</w:t>
            </w:r>
          </w:p>
        </w:tc>
        <w:tc>
          <w:tcPr>
            <w:tcW w:w="1077" w:type="dxa"/>
          </w:tcPr>
          <w:p w14:paraId="7326D146" w14:textId="77777777" w:rsidR="00EF3DFB" w:rsidRDefault="00D27C17">
            <w:pPr>
              <w:pStyle w:val="TableParagraph"/>
              <w:spacing w:before="25"/>
              <w:ind w:right="113"/>
              <w:jc w:val="right"/>
              <w:rPr>
                <w:sz w:val="20"/>
              </w:rPr>
            </w:pPr>
            <w:r>
              <w:rPr>
                <w:sz w:val="20"/>
              </w:rPr>
              <w:t>1,502</w:t>
            </w:r>
          </w:p>
        </w:tc>
        <w:tc>
          <w:tcPr>
            <w:tcW w:w="1265" w:type="dxa"/>
          </w:tcPr>
          <w:p w14:paraId="7326D147" w14:textId="77777777" w:rsidR="00EF3DFB" w:rsidRDefault="00D27C17">
            <w:pPr>
              <w:pStyle w:val="TableParagraph"/>
              <w:spacing w:before="25"/>
              <w:ind w:right="103"/>
              <w:jc w:val="right"/>
              <w:rPr>
                <w:sz w:val="20"/>
              </w:rPr>
            </w:pPr>
            <w:r>
              <w:rPr>
                <w:sz w:val="20"/>
              </w:rPr>
              <w:t>—</w:t>
            </w:r>
          </w:p>
        </w:tc>
        <w:tc>
          <w:tcPr>
            <w:tcW w:w="1275" w:type="dxa"/>
          </w:tcPr>
          <w:p w14:paraId="7326D148" w14:textId="77777777" w:rsidR="00EF3DFB" w:rsidRDefault="00D27C17">
            <w:pPr>
              <w:pStyle w:val="TableParagraph"/>
              <w:spacing w:before="25"/>
              <w:ind w:right="103"/>
              <w:jc w:val="right"/>
              <w:rPr>
                <w:sz w:val="20"/>
              </w:rPr>
            </w:pPr>
            <w:r>
              <w:rPr>
                <w:sz w:val="20"/>
              </w:rPr>
              <w:t>—</w:t>
            </w:r>
          </w:p>
        </w:tc>
        <w:tc>
          <w:tcPr>
            <w:tcW w:w="1100" w:type="dxa"/>
          </w:tcPr>
          <w:p w14:paraId="7326D149" w14:textId="77777777" w:rsidR="00EF3DFB" w:rsidRDefault="00D27C17">
            <w:pPr>
              <w:pStyle w:val="TableParagraph"/>
              <w:spacing w:before="25"/>
              <w:ind w:right="123"/>
              <w:jc w:val="right"/>
              <w:rPr>
                <w:sz w:val="20"/>
              </w:rPr>
            </w:pPr>
            <w:r>
              <w:rPr>
                <w:sz w:val="20"/>
              </w:rPr>
              <w:t>—</w:t>
            </w:r>
          </w:p>
        </w:tc>
        <w:tc>
          <w:tcPr>
            <w:tcW w:w="1232" w:type="dxa"/>
          </w:tcPr>
          <w:p w14:paraId="7326D14A" w14:textId="77777777" w:rsidR="00EF3DFB" w:rsidRDefault="00D27C17">
            <w:pPr>
              <w:pStyle w:val="TableParagraph"/>
              <w:spacing w:before="25"/>
              <w:ind w:right="80"/>
              <w:jc w:val="right"/>
              <w:rPr>
                <w:sz w:val="20"/>
              </w:rPr>
            </w:pPr>
            <w:r>
              <w:rPr>
                <w:sz w:val="20"/>
              </w:rPr>
              <w:t>1,502</w:t>
            </w:r>
          </w:p>
        </w:tc>
      </w:tr>
      <w:tr w:rsidR="00EF3DFB" w14:paraId="7326D153" w14:textId="77777777">
        <w:trPr>
          <w:trHeight w:val="285"/>
        </w:trPr>
        <w:tc>
          <w:tcPr>
            <w:tcW w:w="3435" w:type="dxa"/>
            <w:shd w:val="clear" w:color="auto" w:fill="CCEDFF"/>
          </w:tcPr>
          <w:p w14:paraId="7326D14C" w14:textId="77777777" w:rsidR="00EF3DFB" w:rsidRDefault="00D27C17">
            <w:pPr>
              <w:pStyle w:val="TableParagraph"/>
              <w:spacing w:before="4"/>
              <w:ind w:left="52"/>
              <w:rPr>
                <w:sz w:val="20"/>
              </w:rPr>
            </w:pPr>
            <w:r>
              <w:rPr>
                <w:sz w:val="20"/>
              </w:rPr>
              <w:t>Connected Home Security</w:t>
            </w:r>
          </w:p>
        </w:tc>
        <w:tc>
          <w:tcPr>
            <w:tcW w:w="1237" w:type="dxa"/>
            <w:shd w:val="clear" w:color="auto" w:fill="CCEDFF"/>
          </w:tcPr>
          <w:p w14:paraId="7326D14D" w14:textId="77777777" w:rsidR="00EF3DFB" w:rsidRDefault="00D27C17">
            <w:pPr>
              <w:pStyle w:val="TableParagraph"/>
              <w:spacing w:before="25"/>
              <w:ind w:right="116"/>
              <w:jc w:val="right"/>
              <w:rPr>
                <w:sz w:val="20"/>
              </w:rPr>
            </w:pPr>
            <w:r>
              <w:rPr>
                <w:sz w:val="20"/>
              </w:rPr>
              <w:t>—</w:t>
            </w:r>
          </w:p>
        </w:tc>
        <w:tc>
          <w:tcPr>
            <w:tcW w:w="1077" w:type="dxa"/>
            <w:shd w:val="clear" w:color="auto" w:fill="CCEDFF"/>
          </w:tcPr>
          <w:p w14:paraId="7326D14E" w14:textId="77777777" w:rsidR="00EF3DFB" w:rsidRDefault="00D27C17">
            <w:pPr>
              <w:pStyle w:val="TableParagraph"/>
              <w:spacing w:before="25"/>
              <w:ind w:right="113"/>
              <w:jc w:val="right"/>
              <w:rPr>
                <w:sz w:val="20"/>
              </w:rPr>
            </w:pPr>
            <w:r>
              <w:rPr>
                <w:sz w:val="20"/>
              </w:rPr>
              <w:t>357</w:t>
            </w:r>
          </w:p>
        </w:tc>
        <w:tc>
          <w:tcPr>
            <w:tcW w:w="1265" w:type="dxa"/>
            <w:shd w:val="clear" w:color="auto" w:fill="CCEDFF"/>
          </w:tcPr>
          <w:p w14:paraId="7326D14F" w14:textId="77777777" w:rsidR="00EF3DFB" w:rsidRDefault="00D27C17">
            <w:pPr>
              <w:pStyle w:val="TableParagraph"/>
              <w:spacing w:before="25"/>
              <w:ind w:right="103"/>
              <w:jc w:val="right"/>
              <w:rPr>
                <w:sz w:val="20"/>
              </w:rPr>
            </w:pPr>
            <w:r>
              <w:rPr>
                <w:sz w:val="20"/>
              </w:rPr>
              <w:t>—</w:t>
            </w:r>
          </w:p>
        </w:tc>
        <w:tc>
          <w:tcPr>
            <w:tcW w:w="1275" w:type="dxa"/>
            <w:shd w:val="clear" w:color="auto" w:fill="CCEDFF"/>
          </w:tcPr>
          <w:p w14:paraId="7326D150" w14:textId="77777777" w:rsidR="00EF3DFB" w:rsidRDefault="00D27C17">
            <w:pPr>
              <w:pStyle w:val="TableParagraph"/>
              <w:spacing w:before="25"/>
              <w:ind w:right="103"/>
              <w:jc w:val="right"/>
              <w:rPr>
                <w:sz w:val="20"/>
              </w:rPr>
            </w:pPr>
            <w:r>
              <w:rPr>
                <w:sz w:val="20"/>
              </w:rPr>
              <w:t>—</w:t>
            </w:r>
          </w:p>
        </w:tc>
        <w:tc>
          <w:tcPr>
            <w:tcW w:w="1100" w:type="dxa"/>
            <w:shd w:val="clear" w:color="auto" w:fill="CCEDFF"/>
          </w:tcPr>
          <w:p w14:paraId="7326D151" w14:textId="77777777" w:rsidR="00EF3DFB" w:rsidRDefault="00D27C17">
            <w:pPr>
              <w:pStyle w:val="TableParagraph"/>
              <w:spacing w:before="25"/>
              <w:ind w:right="123"/>
              <w:jc w:val="right"/>
              <w:rPr>
                <w:sz w:val="20"/>
              </w:rPr>
            </w:pPr>
            <w:r>
              <w:rPr>
                <w:sz w:val="20"/>
              </w:rPr>
              <w:t>—</w:t>
            </w:r>
          </w:p>
        </w:tc>
        <w:tc>
          <w:tcPr>
            <w:tcW w:w="1232" w:type="dxa"/>
            <w:shd w:val="clear" w:color="auto" w:fill="CCEDFF"/>
          </w:tcPr>
          <w:p w14:paraId="7326D152" w14:textId="77777777" w:rsidR="00EF3DFB" w:rsidRDefault="00D27C17">
            <w:pPr>
              <w:pStyle w:val="TableParagraph"/>
              <w:spacing w:before="25"/>
              <w:ind w:right="80"/>
              <w:jc w:val="right"/>
              <w:rPr>
                <w:sz w:val="20"/>
              </w:rPr>
            </w:pPr>
            <w:r>
              <w:rPr>
                <w:sz w:val="20"/>
              </w:rPr>
              <w:t>357</w:t>
            </w:r>
          </w:p>
        </w:tc>
      </w:tr>
      <w:tr w:rsidR="00EF3DFB" w14:paraId="7326D15B" w14:textId="77777777">
        <w:trPr>
          <w:trHeight w:val="285"/>
        </w:trPr>
        <w:tc>
          <w:tcPr>
            <w:tcW w:w="3435" w:type="dxa"/>
          </w:tcPr>
          <w:p w14:paraId="7326D154" w14:textId="77777777" w:rsidR="00EF3DFB" w:rsidRDefault="00D27C17">
            <w:pPr>
              <w:pStyle w:val="TableParagraph"/>
              <w:spacing w:before="4"/>
              <w:ind w:left="52"/>
              <w:rPr>
                <w:sz w:val="20"/>
              </w:rPr>
            </w:pPr>
            <w:r>
              <w:rPr>
                <w:sz w:val="20"/>
              </w:rPr>
              <w:t>Food</w:t>
            </w:r>
          </w:p>
        </w:tc>
        <w:tc>
          <w:tcPr>
            <w:tcW w:w="1237" w:type="dxa"/>
          </w:tcPr>
          <w:p w14:paraId="7326D155" w14:textId="77777777" w:rsidR="00EF3DFB" w:rsidRDefault="00D27C17">
            <w:pPr>
              <w:pStyle w:val="TableParagraph"/>
              <w:spacing w:before="25"/>
              <w:ind w:right="116"/>
              <w:jc w:val="right"/>
              <w:rPr>
                <w:sz w:val="20"/>
              </w:rPr>
            </w:pPr>
            <w:r>
              <w:rPr>
                <w:sz w:val="20"/>
              </w:rPr>
              <w:t>—</w:t>
            </w:r>
          </w:p>
        </w:tc>
        <w:tc>
          <w:tcPr>
            <w:tcW w:w="1077" w:type="dxa"/>
          </w:tcPr>
          <w:p w14:paraId="7326D156" w14:textId="77777777" w:rsidR="00EF3DFB" w:rsidRDefault="00D27C17">
            <w:pPr>
              <w:pStyle w:val="TableParagraph"/>
              <w:spacing w:before="25"/>
              <w:ind w:right="113"/>
              <w:jc w:val="right"/>
              <w:rPr>
                <w:sz w:val="20"/>
              </w:rPr>
            </w:pPr>
            <w:r>
              <w:rPr>
                <w:sz w:val="20"/>
              </w:rPr>
              <w:t>—</w:t>
            </w:r>
          </w:p>
        </w:tc>
        <w:tc>
          <w:tcPr>
            <w:tcW w:w="1265" w:type="dxa"/>
          </w:tcPr>
          <w:p w14:paraId="7326D157" w14:textId="77777777" w:rsidR="00EF3DFB" w:rsidRDefault="00D27C17">
            <w:pPr>
              <w:pStyle w:val="TableParagraph"/>
              <w:spacing w:before="25"/>
              <w:ind w:right="103"/>
              <w:jc w:val="right"/>
              <w:rPr>
                <w:sz w:val="20"/>
              </w:rPr>
            </w:pPr>
            <w:r>
              <w:rPr>
                <w:sz w:val="20"/>
              </w:rPr>
              <w:t>1,053</w:t>
            </w:r>
          </w:p>
        </w:tc>
        <w:tc>
          <w:tcPr>
            <w:tcW w:w="1275" w:type="dxa"/>
          </w:tcPr>
          <w:p w14:paraId="7326D158" w14:textId="77777777" w:rsidR="00EF3DFB" w:rsidRDefault="00D27C17">
            <w:pPr>
              <w:pStyle w:val="TableParagraph"/>
              <w:spacing w:before="25"/>
              <w:ind w:right="103"/>
              <w:jc w:val="right"/>
              <w:rPr>
                <w:sz w:val="20"/>
              </w:rPr>
            </w:pPr>
            <w:r>
              <w:rPr>
                <w:sz w:val="20"/>
              </w:rPr>
              <w:t>—</w:t>
            </w:r>
          </w:p>
        </w:tc>
        <w:tc>
          <w:tcPr>
            <w:tcW w:w="1100" w:type="dxa"/>
          </w:tcPr>
          <w:p w14:paraId="7326D159" w14:textId="77777777" w:rsidR="00EF3DFB" w:rsidRDefault="00D27C17">
            <w:pPr>
              <w:pStyle w:val="TableParagraph"/>
              <w:spacing w:before="25"/>
              <w:ind w:right="123"/>
              <w:jc w:val="right"/>
              <w:rPr>
                <w:sz w:val="20"/>
              </w:rPr>
            </w:pPr>
            <w:r>
              <w:rPr>
                <w:sz w:val="20"/>
              </w:rPr>
              <w:t>—</w:t>
            </w:r>
          </w:p>
        </w:tc>
        <w:tc>
          <w:tcPr>
            <w:tcW w:w="1232" w:type="dxa"/>
          </w:tcPr>
          <w:p w14:paraId="7326D15A" w14:textId="77777777" w:rsidR="00EF3DFB" w:rsidRDefault="00D27C17">
            <w:pPr>
              <w:pStyle w:val="TableParagraph"/>
              <w:spacing w:before="25"/>
              <w:ind w:right="80"/>
              <w:jc w:val="right"/>
              <w:rPr>
                <w:sz w:val="20"/>
              </w:rPr>
            </w:pPr>
            <w:r>
              <w:rPr>
                <w:sz w:val="20"/>
              </w:rPr>
              <w:t>1,053</w:t>
            </w:r>
          </w:p>
        </w:tc>
      </w:tr>
      <w:tr w:rsidR="00EF3DFB" w14:paraId="7326D163" w14:textId="77777777">
        <w:trPr>
          <w:trHeight w:val="285"/>
        </w:trPr>
        <w:tc>
          <w:tcPr>
            <w:tcW w:w="3435" w:type="dxa"/>
            <w:shd w:val="clear" w:color="auto" w:fill="CCEDFF"/>
          </w:tcPr>
          <w:p w14:paraId="7326D15C" w14:textId="77777777" w:rsidR="00EF3DFB" w:rsidRDefault="00D27C17">
            <w:pPr>
              <w:pStyle w:val="TableParagraph"/>
              <w:spacing w:before="4"/>
              <w:ind w:left="52"/>
              <w:rPr>
                <w:sz w:val="20"/>
              </w:rPr>
            </w:pPr>
            <w:r>
              <w:rPr>
                <w:sz w:val="20"/>
              </w:rPr>
              <w:t>Home Fragrance</w:t>
            </w:r>
          </w:p>
        </w:tc>
        <w:tc>
          <w:tcPr>
            <w:tcW w:w="1237" w:type="dxa"/>
            <w:shd w:val="clear" w:color="auto" w:fill="CCEDFF"/>
          </w:tcPr>
          <w:p w14:paraId="7326D15D" w14:textId="77777777" w:rsidR="00EF3DFB" w:rsidRDefault="00D27C17">
            <w:pPr>
              <w:pStyle w:val="TableParagraph"/>
              <w:spacing w:before="25"/>
              <w:ind w:right="116"/>
              <w:jc w:val="right"/>
              <w:rPr>
                <w:sz w:val="20"/>
              </w:rPr>
            </w:pPr>
            <w:r>
              <w:rPr>
                <w:sz w:val="20"/>
              </w:rPr>
              <w:t>—</w:t>
            </w:r>
          </w:p>
        </w:tc>
        <w:tc>
          <w:tcPr>
            <w:tcW w:w="1077" w:type="dxa"/>
            <w:shd w:val="clear" w:color="auto" w:fill="CCEDFF"/>
          </w:tcPr>
          <w:p w14:paraId="7326D15E" w14:textId="77777777" w:rsidR="00EF3DFB" w:rsidRDefault="00D27C17">
            <w:pPr>
              <w:pStyle w:val="TableParagraph"/>
              <w:spacing w:before="25"/>
              <w:ind w:right="113"/>
              <w:jc w:val="right"/>
              <w:rPr>
                <w:sz w:val="20"/>
              </w:rPr>
            </w:pPr>
            <w:r>
              <w:rPr>
                <w:sz w:val="20"/>
              </w:rPr>
              <w:t>—</w:t>
            </w:r>
          </w:p>
        </w:tc>
        <w:tc>
          <w:tcPr>
            <w:tcW w:w="1265" w:type="dxa"/>
            <w:shd w:val="clear" w:color="auto" w:fill="CCEDFF"/>
          </w:tcPr>
          <w:p w14:paraId="7326D15F" w14:textId="77777777" w:rsidR="00EF3DFB" w:rsidRDefault="00D27C17">
            <w:pPr>
              <w:pStyle w:val="TableParagraph"/>
              <w:spacing w:before="25"/>
              <w:ind w:right="103"/>
              <w:jc w:val="right"/>
              <w:rPr>
                <w:sz w:val="20"/>
              </w:rPr>
            </w:pPr>
            <w:r>
              <w:rPr>
                <w:sz w:val="20"/>
              </w:rPr>
              <w:t>918</w:t>
            </w:r>
          </w:p>
        </w:tc>
        <w:tc>
          <w:tcPr>
            <w:tcW w:w="1275" w:type="dxa"/>
            <w:shd w:val="clear" w:color="auto" w:fill="CCEDFF"/>
          </w:tcPr>
          <w:p w14:paraId="7326D160" w14:textId="77777777" w:rsidR="00EF3DFB" w:rsidRDefault="00D27C17">
            <w:pPr>
              <w:pStyle w:val="TableParagraph"/>
              <w:spacing w:before="25"/>
              <w:ind w:right="103"/>
              <w:jc w:val="right"/>
              <w:rPr>
                <w:sz w:val="20"/>
              </w:rPr>
            </w:pPr>
            <w:r>
              <w:rPr>
                <w:sz w:val="20"/>
              </w:rPr>
              <w:t>—</w:t>
            </w:r>
          </w:p>
        </w:tc>
        <w:tc>
          <w:tcPr>
            <w:tcW w:w="1100" w:type="dxa"/>
            <w:shd w:val="clear" w:color="auto" w:fill="CCEDFF"/>
          </w:tcPr>
          <w:p w14:paraId="7326D161" w14:textId="77777777" w:rsidR="00EF3DFB" w:rsidRDefault="00D27C17">
            <w:pPr>
              <w:pStyle w:val="TableParagraph"/>
              <w:spacing w:before="25"/>
              <w:ind w:right="123"/>
              <w:jc w:val="right"/>
              <w:rPr>
                <w:sz w:val="20"/>
              </w:rPr>
            </w:pPr>
            <w:r>
              <w:rPr>
                <w:sz w:val="20"/>
              </w:rPr>
              <w:t>—</w:t>
            </w:r>
          </w:p>
        </w:tc>
        <w:tc>
          <w:tcPr>
            <w:tcW w:w="1232" w:type="dxa"/>
            <w:shd w:val="clear" w:color="auto" w:fill="CCEDFF"/>
          </w:tcPr>
          <w:p w14:paraId="7326D162" w14:textId="77777777" w:rsidR="00EF3DFB" w:rsidRDefault="00D27C17">
            <w:pPr>
              <w:pStyle w:val="TableParagraph"/>
              <w:spacing w:before="25"/>
              <w:ind w:right="80"/>
              <w:jc w:val="right"/>
              <w:rPr>
                <w:sz w:val="20"/>
              </w:rPr>
            </w:pPr>
            <w:r>
              <w:rPr>
                <w:sz w:val="20"/>
              </w:rPr>
              <w:t>918</w:t>
            </w:r>
          </w:p>
        </w:tc>
      </w:tr>
      <w:tr w:rsidR="00EF3DFB" w14:paraId="7326D16B" w14:textId="77777777">
        <w:trPr>
          <w:trHeight w:val="285"/>
        </w:trPr>
        <w:tc>
          <w:tcPr>
            <w:tcW w:w="3435" w:type="dxa"/>
          </w:tcPr>
          <w:p w14:paraId="7326D164" w14:textId="77777777" w:rsidR="00EF3DFB" w:rsidRDefault="00D27C17">
            <w:pPr>
              <w:pStyle w:val="TableParagraph"/>
              <w:spacing w:before="4"/>
              <w:ind w:left="52"/>
              <w:rPr>
                <w:sz w:val="20"/>
              </w:rPr>
            </w:pPr>
            <w:r>
              <w:rPr>
                <w:sz w:val="20"/>
              </w:rPr>
              <w:t>Baby and Parenting</w:t>
            </w:r>
          </w:p>
        </w:tc>
        <w:tc>
          <w:tcPr>
            <w:tcW w:w="1237" w:type="dxa"/>
          </w:tcPr>
          <w:p w14:paraId="7326D165" w14:textId="77777777" w:rsidR="00EF3DFB" w:rsidRDefault="00D27C17">
            <w:pPr>
              <w:pStyle w:val="TableParagraph"/>
              <w:spacing w:before="25"/>
              <w:ind w:right="116"/>
              <w:jc w:val="right"/>
              <w:rPr>
                <w:sz w:val="20"/>
              </w:rPr>
            </w:pPr>
            <w:r>
              <w:rPr>
                <w:sz w:val="20"/>
              </w:rPr>
              <w:t>—</w:t>
            </w:r>
          </w:p>
        </w:tc>
        <w:tc>
          <w:tcPr>
            <w:tcW w:w="1077" w:type="dxa"/>
          </w:tcPr>
          <w:p w14:paraId="7326D166" w14:textId="77777777" w:rsidR="00EF3DFB" w:rsidRDefault="00D27C17">
            <w:pPr>
              <w:pStyle w:val="TableParagraph"/>
              <w:spacing w:before="25"/>
              <w:ind w:right="113"/>
              <w:jc w:val="right"/>
              <w:rPr>
                <w:sz w:val="20"/>
              </w:rPr>
            </w:pPr>
            <w:r>
              <w:rPr>
                <w:sz w:val="20"/>
              </w:rPr>
              <w:t>—</w:t>
            </w:r>
          </w:p>
        </w:tc>
        <w:tc>
          <w:tcPr>
            <w:tcW w:w="1265" w:type="dxa"/>
          </w:tcPr>
          <w:p w14:paraId="7326D167" w14:textId="77777777" w:rsidR="00EF3DFB" w:rsidRDefault="00D27C17">
            <w:pPr>
              <w:pStyle w:val="TableParagraph"/>
              <w:spacing w:before="25"/>
              <w:ind w:right="103"/>
              <w:jc w:val="right"/>
              <w:rPr>
                <w:sz w:val="20"/>
              </w:rPr>
            </w:pPr>
            <w:r>
              <w:rPr>
                <w:sz w:val="20"/>
              </w:rPr>
              <w:t>—</w:t>
            </w:r>
          </w:p>
        </w:tc>
        <w:tc>
          <w:tcPr>
            <w:tcW w:w="1275" w:type="dxa"/>
          </w:tcPr>
          <w:p w14:paraId="7326D168" w14:textId="77777777" w:rsidR="00EF3DFB" w:rsidRDefault="00D27C17">
            <w:pPr>
              <w:pStyle w:val="TableParagraph"/>
              <w:spacing w:before="25"/>
              <w:ind w:right="103"/>
              <w:jc w:val="right"/>
              <w:rPr>
                <w:sz w:val="20"/>
              </w:rPr>
            </w:pPr>
            <w:r>
              <w:rPr>
                <w:sz w:val="20"/>
              </w:rPr>
              <w:t>1,112</w:t>
            </w:r>
          </w:p>
        </w:tc>
        <w:tc>
          <w:tcPr>
            <w:tcW w:w="1100" w:type="dxa"/>
          </w:tcPr>
          <w:p w14:paraId="7326D169" w14:textId="77777777" w:rsidR="00EF3DFB" w:rsidRDefault="00D27C17">
            <w:pPr>
              <w:pStyle w:val="TableParagraph"/>
              <w:spacing w:before="25"/>
              <w:ind w:right="123"/>
              <w:jc w:val="right"/>
              <w:rPr>
                <w:sz w:val="20"/>
              </w:rPr>
            </w:pPr>
            <w:r>
              <w:rPr>
                <w:sz w:val="20"/>
              </w:rPr>
              <w:t>—</w:t>
            </w:r>
          </w:p>
        </w:tc>
        <w:tc>
          <w:tcPr>
            <w:tcW w:w="1232" w:type="dxa"/>
          </w:tcPr>
          <w:p w14:paraId="7326D16A" w14:textId="77777777" w:rsidR="00EF3DFB" w:rsidRDefault="00D27C17">
            <w:pPr>
              <w:pStyle w:val="TableParagraph"/>
              <w:spacing w:before="25"/>
              <w:ind w:right="80"/>
              <w:jc w:val="right"/>
              <w:rPr>
                <w:sz w:val="20"/>
              </w:rPr>
            </w:pPr>
            <w:r>
              <w:rPr>
                <w:sz w:val="20"/>
              </w:rPr>
              <w:t>1,112</w:t>
            </w:r>
          </w:p>
        </w:tc>
      </w:tr>
      <w:tr w:rsidR="00EF3DFB" w14:paraId="7326D173" w14:textId="77777777">
        <w:trPr>
          <w:trHeight w:val="285"/>
        </w:trPr>
        <w:tc>
          <w:tcPr>
            <w:tcW w:w="3435" w:type="dxa"/>
            <w:shd w:val="clear" w:color="auto" w:fill="CCEDFF"/>
          </w:tcPr>
          <w:p w14:paraId="7326D16C" w14:textId="77777777" w:rsidR="00EF3DFB" w:rsidRDefault="00D27C17">
            <w:pPr>
              <w:pStyle w:val="TableParagraph"/>
              <w:spacing w:before="4"/>
              <w:ind w:left="52"/>
              <w:rPr>
                <w:sz w:val="20"/>
              </w:rPr>
            </w:pPr>
            <w:r>
              <w:rPr>
                <w:sz w:val="20"/>
              </w:rPr>
              <w:t>Writing</w:t>
            </w:r>
          </w:p>
        </w:tc>
        <w:tc>
          <w:tcPr>
            <w:tcW w:w="1237" w:type="dxa"/>
            <w:shd w:val="clear" w:color="auto" w:fill="CCEDFF"/>
          </w:tcPr>
          <w:p w14:paraId="7326D16D" w14:textId="77777777" w:rsidR="00EF3DFB" w:rsidRDefault="00D27C17">
            <w:pPr>
              <w:pStyle w:val="TableParagraph"/>
              <w:spacing w:before="25"/>
              <w:ind w:right="116"/>
              <w:jc w:val="right"/>
              <w:rPr>
                <w:sz w:val="20"/>
              </w:rPr>
            </w:pPr>
            <w:r>
              <w:rPr>
                <w:sz w:val="20"/>
              </w:rPr>
              <w:t>—</w:t>
            </w:r>
          </w:p>
        </w:tc>
        <w:tc>
          <w:tcPr>
            <w:tcW w:w="1077" w:type="dxa"/>
            <w:shd w:val="clear" w:color="auto" w:fill="CCEDFF"/>
          </w:tcPr>
          <w:p w14:paraId="7326D16E" w14:textId="77777777" w:rsidR="00EF3DFB" w:rsidRDefault="00D27C17">
            <w:pPr>
              <w:pStyle w:val="TableParagraph"/>
              <w:spacing w:before="25"/>
              <w:ind w:right="113"/>
              <w:jc w:val="right"/>
              <w:rPr>
                <w:sz w:val="20"/>
              </w:rPr>
            </w:pPr>
            <w:r>
              <w:rPr>
                <w:sz w:val="20"/>
              </w:rPr>
              <w:t>—</w:t>
            </w:r>
          </w:p>
        </w:tc>
        <w:tc>
          <w:tcPr>
            <w:tcW w:w="1265" w:type="dxa"/>
            <w:shd w:val="clear" w:color="auto" w:fill="CCEDFF"/>
          </w:tcPr>
          <w:p w14:paraId="7326D16F" w14:textId="77777777" w:rsidR="00EF3DFB" w:rsidRDefault="00D27C17">
            <w:pPr>
              <w:pStyle w:val="TableParagraph"/>
              <w:spacing w:before="25"/>
              <w:ind w:right="103"/>
              <w:jc w:val="right"/>
              <w:rPr>
                <w:sz w:val="20"/>
              </w:rPr>
            </w:pPr>
            <w:r>
              <w:rPr>
                <w:sz w:val="20"/>
              </w:rPr>
              <w:t>—</w:t>
            </w:r>
          </w:p>
        </w:tc>
        <w:tc>
          <w:tcPr>
            <w:tcW w:w="1275" w:type="dxa"/>
            <w:shd w:val="clear" w:color="auto" w:fill="CCEDFF"/>
          </w:tcPr>
          <w:p w14:paraId="7326D170" w14:textId="77777777" w:rsidR="00EF3DFB" w:rsidRDefault="00D27C17">
            <w:pPr>
              <w:pStyle w:val="TableParagraph"/>
              <w:spacing w:before="25"/>
              <w:ind w:right="103"/>
              <w:jc w:val="right"/>
              <w:rPr>
                <w:sz w:val="20"/>
              </w:rPr>
            </w:pPr>
            <w:r>
              <w:rPr>
                <w:sz w:val="20"/>
              </w:rPr>
              <w:t>1,445</w:t>
            </w:r>
          </w:p>
        </w:tc>
        <w:tc>
          <w:tcPr>
            <w:tcW w:w="1100" w:type="dxa"/>
            <w:shd w:val="clear" w:color="auto" w:fill="CCEDFF"/>
          </w:tcPr>
          <w:p w14:paraId="7326D171" w14:textId="77777777" w:rsidR="00EF3DFB" w:rsidRDefault="00D27C17">
            <w:pPr>
              <w:pStyle w:val="TableParagraph"/>
              <w:spacing w:before="25"/>
              <w:ind w:right="123"/>
              <w:jc w:val="right"/>
              <w:rPr>
                <w:sz w:val="20"/>
              </w:rPr>
            </w:pPr>
            <w:r>
              <w:rPr>
                <w:sz w:val="20"/>
              </w:rPr>
              <w:t>—</w:t>
            </w:r>
          </w:p>
        </w:tc>
        <w:tc>
          <w:tcPr>
            <w:tcW w:w="1232" w:type="dxa"/>
            <w:shd w:val="clear" w:color="auto" w:fill="CCEDFF"/>
          </w:tcPr>
          <w:p w14:paraId="7326D172" w14:textId="77777777" w:rsidR="00EF3DFB" w:rsidRDefault="00D27C17">
            <w:pPr>
              <w:pStyle w:val="TableParagraph"/>
              <w:spacing w:before="25"/>
              <w:ind w:right="80"/>
              <w:jc w:val="right"/>
              <w:rPr>
                <w:sz w:val="20"/>
              </w:rPr>
            </w:pPr>
            <w:r>
              <w:rPr>
                <w:sz w:val="20"/>
              </w:rPr>
              <w:t>1,445</w:t>
            </w:r>
          </w:p>
        </w:tc>
      </w:tr>
      <w:tr w:rsidR="00EF3DFB" w14:paraId="7326D17B" w14:textId="77777777">
        <w:trPr>
          <w:trHeight w:val="275"/>
        </w:trPr>
        <w:tc>
          <w:tcPr>
            <w:tcW w:w="3435" w:type="dxa"/>
          </w:tcPr>
          <w:p w14:paraId="7326D174" w14:textId="77777777" w:rsidR="00EF3DFB" w:rsidRDefault="00D27C17">
            <w:pPr>
              <w:pStyle w:val="TableParagraph"/>
              <w:spacing w:before="4"/>
              <w:ind w:left="52"/>
              <w:rPr>
                <w:sz w:val="20"/>
              </w:rPr>
            </w:pPr>
            <w:r>
              <w:rPr>
                <w:sz w:val="20"/>
              </w:rPr>
              <w:t>Outdoor and Recreation</w:t>
            </w:r>
          </w:p>
        </w:tc>
        <w:tc>
          <w:tcPr>
            <w:tcW w:w="1237" w:type="dxa"/>
            <w:tcBorders>
              <w:bottom w:val="single" w:sz="8" w:space="0" w:color="000000"/>
            </w:tcBorders>
          </w:tcPr>
          <w:p w14:paraId="7326D175" w14:textId="77777777" w:rsidR="00EF3DFB" w:rsidRDefault="00D27C17">
            <w:pPr>
              <w:pStyle w:val="TableParagraph"/>
              <w:spacing w:before="25" w:line="230" w:lineRule="exact"/>
              <w:ind w:right="116"/>
              <w:jc w:val="right"/>
              <w:rPr>
                <w:sz w:val="20"/>
              </w:rPr>
            </w:pPr>
            <w:r>
              <w:rPr>
                <w:sz w:val="20"/>
              </w:rPr>
              <w:t>—</w:t>
            </w:r>
          </w:p>
        </w:tc>
        <w:tc>
          <w:tcPr>
            <w:tcW w:w="1077" w:type="dxa"/>
            <w:tcBorders>
              <w:bottom w:val="single" w:sz="8" w:space="0" w:color="000000"/>
            </w:tcBorders>
          </w:tcPr>
          <w:p w14:paraId="7326D176" w14:textId="77777777" w:rsidR="00EF3DFB" w:rsidRDefault="00D27C17">
            <w:pPr>
              <w:pStyle w:val="TableParagraph"/>
              <w:spacing w:before="25" w:line="230" w:lineRule="exact"/>
              <w:ind w:right="113"/>
              <w:jc w:val="right"/>
              <w:rPr>
                <w:sz w:val="20"/>
              </w:rPr>
            </w:pPr>
            <w:r>
              <w:rPr>
                <w:sz w:val="20"/>
              </w:rPr>
              <w:t>—</w:t>
            </w:r>
          </w:p>
        </w:tc>
        <w:tc>
          <w:tcPr>
            <w:tcW w:w="1265" w:type="dxa"/>
            <w:tcBorders>
              <w:bottom w:val="single" w:sz="8" w:space="0" w:color="000000"/>
            </w:tcBorders>
          </w:tcPr>
          <w:p w14:paraId="7326D177" w14:textId="77777777" w:rsidR="00EF3DFB" w:rsidRDefault="00D27C17">
            <w:pPr>
              <w:pStyle w:val="TableParagraph"/>
              <w:spacing w:before="25" w:line="230" w:lineRule="exact"/>
              <w:ind w:right="103"/>
              <w:jc w:val="right"/>
              <w:rPr>
                <w:sz w:val="20"/>
              </w:rPr>
            </w:pPr>
            <w:r>
              <w:rPr>
                <w:sz w:val="20"/>
              </w:rPr>
              <w:t>—</w:t>
            </w:r>
          </w:p>
        </w:tc>
        <w:tc>
          <w:tcPr>
            <w:tcW w:w="1275" w:type="dxa"/>
            <w:tcBorders>
              <w:bottom w:val="single" w:sz="8" w:space="0" w:color="000000"/>
            </w:tcBorders>
          </w:tcPr>
          <w:p w14:paraId="7326D178" w14:textId="77777777" w:rsidR="00EF3DFB" w:rsidRDefault="00D27C17">
            <w:pPr>
              <w:pStyle w:val="TableParagraph"/>
              <w:spacing w:before="25" w:line="230" w:lineRule="exact"/>
              <w:ind w:right="103"/>
              <w:jc w:val="right"/>
              <w:rPr>
                <w:sz w:val="20"/>
              </w:rPr>
            </w:pPr>
            <w:r>
              <w:rPr>
                <w:sz w:val="20"/>
              </w:rPr>
              <w:t>—</w:t>
            </w:r>
          </w:p>
        </w:tc>
        <w:tc>
          <w:tcPr>
            <w:tcW w:w="1100" w:type="dxa"/>
            <w:tcBorders>
              <w:bottom w:val="single" w:sz="8" w:space="0" w:color="000000"/>
            </w:tcBorders>
          </w:tcPr>
          <w:p w14:paraId="7326D179" w14:textId="77777777" w:rsidR="00EF3DFB" w:rsidRDefault="00D27C17">
            <w:pPr>
              <w:pStyle w:val="TableParagraph"/>
              <w:spacing w:before="25" w:line="230" w:lineRule="exact"/>
              <w:ind w:right="123"/>
              <w:jc w:val="right"/>
              <w:rPr>
                <w:sz w:val="20"/>
              </w:rPr>
            </w:pPr>
            <w:r>
              <w:rPr>
                <w:sz w:val="20"/>
              </w:rPr>
              <w:t>1,292</w:t>
            </w:r>
          </w:p>
        </w:tc>
        <w:tc>
          <w:tcPr>
            <w:tcW w:w="1232" w:type="dxa"/>
            <w:tcBorders>
              <w:bottom w:val="single" w:sz="8" w:space="0" w:color="000000"/>
            </w:tcBorders>
          </w:tcPr>
          <w:p w14:paraId="7326D17A" w14:textId="77777777" w:rsidR="00EF3DFB" w:rsidRDefault="00D27C17">
            <w:pPr>
              <w:pStyle w:val="TableParagraph"/>
              <w:spacing w:before="25" w:line="230" w:lineRule="exact"/>
              <w:ind w:right="80"/>
              <w:jc w:val="right"/>
              <w:rPr>
                <w:sz w:val="20"/>
              </w:rPr>
            </w:pPr>
            <w:r>
              <w:rPr>
                <w:sz w:val="20"/>
              </w:rPr>
              <w:t>1,292</w:t>
            </w:r>
          </w:p>
        </w:tc>
      </w:tr>
      <w:tr w:rsidR="00EF3DFB" w14:paraId="7326D183" w14:textId="77777777">
        <w:trPr>
          <w:trHeight w:val="277"/>
        </w:trPr>
        <w:tc>
          <w:tcPr>
            <w:tcW w:w="3435" w:type="dxa"/>
            <w:shd w:val="clear" w:color="auto" w:fill="CCEDFF"/>
          </w:tcPr>
          <w:p w14:paraId="7326D17C" w14:textId="77777777" w:rsidR="00EF3DFB" w:rsidRDefault="00D27C17">
            <w:pPr>
              <w:pStyle w:val="TableParagraph"/>
              <w:spacing w:line="224" w:lineRule="exact"/>
              <w:ind w:left="412"/>
              <w:rPr>
                <w:sz w:val="20"/>
              </w:rPr>
            </w:pPr>
            <w:r>
              <w:rPr>
                <w:sz w:val="20"/>
              </w:rPr>
              <w:t>Total</w:t>
            </w:r>
          </w:p>
        </w:tc>
        <w:tc>
          <w:tcPr>
            <w:tcW w:w="1237" w:type="dxa"/>
            <w:tcBorders>
              <w:top w:val="single" w:sz="8" w:space="0" w:color="000000"/>
              <w:bottom w:val="single" w:sz="8" w:space="0" w:color="000000"/>
            </w:tcBorders>
            <w:shd w:val="clear" w:color="auto" w:fill="CCEDFF"/>
          </w:tcPr>
          <w:p w14:paraId="7326D17D" w14:textId="77777777" w:rsidR="00EF3DFB" w:rsidRDefault="00D27C17">
            <w:pPr>
              <w:pStyle w:val="TableParagraph"/>
              <w:tabs>
                <w:tab w:val="left" w:pos="615"/>
              </w:tabs>
              <w:spacing w:before="15"/>
              <w:ind w:right="116"/>
              <w:jc w:val="right"/>
              <w:rPr>
                <w:sz w:val="20"/>
              </w:rPr>
            </w:pPr>
            <w:r>
              <w:rPr>
                <w:sz w:val="20"/>
                <w:u w:val="single"/>
              </w:rPr>
              <w:t>$</w:t>
            </w:r>
            <w:r>
              <w:rPr>
                <w:sz w:val="20"/>
                <w:u w:val="single"/>
              </w:rPr>
              <w:tab/>
              <w:t>1,706</w:t>
            </w:r>
          </w:p>
        </w:tc>
        <w:tc>
          <w:tcPr>
            <w:tcW w:w="1077" w:type="dxa"/>
            <w:tcBorders>
              <w:top w:val="single" w:sz="8" w:space="0" w:color="000000"/>
              <w:bottom w:val="single" w:sz="8" w:space="0" w:color="000000"/>
            </w:tcBorders>
            <w:shd w:val="clear" w:color="auto" w:fill="CCEDFF"/>
          </w:tcPr>
          <w:p w14:paraId="7326D17E" w14:textId="77777777" w:rsidR="00EF3DFB" w:rsidRDefault="00D27C17">
            <w:pPr>
              <w:pStyle w:val="TableParagraph"/>
              <w:tabs>
                <w:tab w:val="left" w:pos="420"/>
              </w:tabs>
              <w:spacing w:before="15"/>
              <w:ind w:right="113"/>
              <w:jc w:val="right"/>
              <w:rPr>
                <w:sz w:val="20"/>
              </w:rPr>
            </w:pPr>
            <w:r>
              <w:rPr>
                <w:sz w:val="20"/>
                <w:u w:val="single"/>
              </w:rPr>
              <w:t>$</w:t>
            </w:r>
            <w:r>
              <w:rPr>
                <w:sz w:val="20"/>
                <w:u w:val="single"/>
              </w:rPr>
              <w:tab/>
              <w:t>1,859</w:t>
            </w:r>
          </w:p>
        </w:tc>
        <w:tc>
          <w:tcPr>
            <w:tcW w:w="1265" w:type="dxa"/>
            <w:tcBorders>
              <w:top w:val="single" w:sz="8" w:space="0" w:color="000000"/>
              <w:bottom w:val="single" w:sz="8" w:space="0" w:color="000000"/>
            </w:tcBorders>
            <w:shd w:val="clear" w:color="auto" w:fill="CCEDFF"/>
          </w:tcPr>
          <w:p w14:paraId="7326D17F" w14:textId="77777777" w:rsidR="00EF3DFB" w:rsidRDefault="00D27C17">
            <w:pPr>
              <w:pStyle w:val="TableParagraph"/>
              <w:tabs>
                <w:tab w:val="left" w:pos="615"/>
              </w:tabs>
              <w:spacing w:before="15"/>
              <w:ind w:right="103"/>
              <w:jc w:val="right"/>
              <w:rPr>
                <w:sz w:val="20"/>
              </w:rPr>
            </w:pPr>
            <w:r>
              <w:rPr>
                <w:sz w:val="20"/>
                <w:u w:val="single"/>
              </w:rPr>
              <w:t>$</w:t>
            </w:r>
            <w:r>
              <w:rPr>
                <w:sz w:val="20"/>
                <w:u w:val="single"/>
              </w:rPr>
              <w:tab/>
              <w:t>1,971</w:t>
            </w:r>
          </w:p>
        </w:tc>
        <w:tc>
          <w:tcPr>
            <w:tcW w:w="1275" w:type="dxa"/>
            <w:tcBorders>
              <w:top w:val="single" w:sz="8" w:space="0" w:color="000000"/>
              <w:bottom w:val="single" w:sz="8" w:space="0" w:color="000000"/>
            </w:tcBorders>
            <w:shd w:val="clear" w:color="auto" w:fill="CCEDFF"/>
          </w:tcPr>
          <w:p w14:paraId="7326D180" w14:textId="77777777" w:rsidR="00EF3DFB" w:rsidRDefault="00D27C17">
            <w:pPr>
              <w:pStyle w:val="TableParagraph"/>
              <w:tabs>
                <w:tab w:val="left" w:pos="615"/>
              </w:tabs>
              <w:spacing w:before="15"/>
              <w:ind w:right="103"/>
              <w:jc w:val="right"/>
              <w:rPr>
                <w:sz w:val="20"/>
              </w:rPr>
            </w:pPr>
            <w:r>
              <w:rPr>
                <w:sz w:val="20"/>
                <w:u w:val="single"/>
              </w:rPr>
              <w:t>$</w:t>
            </w:r>
            <w:r>
              <w:rPr>
                <w:sz w:val="20"/>
                <w:u w:val="single"/>
              </w:rPr>
              <w:tab/>
              <w:t>2,557</w:t>
            </w:r>
          </w:p>
        </w:tc>
        <w:tc>
          <w:tcPr>
            <w:tcW w:w="1100" w:type="dxa"/>
            <w:tcBorders>
              <w:top w:val="single" w:sz="8" w:space="0" w:color="000000"/>
              <w:bottom w:val="single" w:sz="8" w:space="0" w:color="000000"/>
            </w:tcBorders>
            <w:shd w:val="clear" w:color="auto" w:fill="CCEDFF"/>
          </w:tcPr>
          <w:p w14:paraId="7326D181" w14:textId="77777777" w:rsidR="00EF3DFB" w:rsidRDefault="00D27C17">
            <w:pPr>
              <w:pStyle w:val="TableParagraph"/>
              <w:tabs>
                <w:tab w:val="left" w:pos="420"/>
              </w:tabs>
              <w:spacing w:before="15"/>
              <w:ind w:right="123"/>
              <w:jc w:val="right"/>
              <w:rPr>
                <w:sz w:val="20"/>
              </w:rPr>
            </w:pPr>
            <w:r>
              <w:rPr>
                <w:sz w:val="20"/>
                <w:u w:val="single"/>
              </w:rPr>
              <w:t>$</w:t>
            </w:r>
            <w:r>
              <w:rPr>
                <w:sz w:val="20"/>
                <w:u w:val="single"/>
              </w:rPr>
              <w:tab/>
              <w:t>1,292</w:t>
            </w:r>
          </w:p>
        </w:tc>
        <w:tc>
          <w:tcPr>
            <w:tcW w:w="1232" w:type="dxa"/>
            <w:tcBorders>
              <w:top w:val="single" w:sz="8" w:space="0" w:color="000000"/>
              <w:bottom w:val="single" w:sz="8" w:space="0" w:color="000000"/>
            </w:tcBorders>
            <w:shd w:val="clear" w:color="auto" w:fill="CCEDFF"/>
          </w:tcPr>
          <w:p w14:paraId="7326D182" w14:textId="77777777" w:rsidR="00EF3DFB" w:rsidRDefault="00D27C17">
            <w:pPr>
              <w:pStyle w:val="TableParagraph"/>
              <w:tabs>
                <w:tab w:val="left" w:pos="615"/>
              </w:tabs>
              <w:spacing w:before="15"/>
              <w:ind w:right="80"/>
              <w:jc w:val="right"/>
              <w:rPr>
                <w:sz w:val="20"/>
              </w:rPr>
            </w:pPr>
            <w:r>
              <w:rPr>
                <w:sz w:val="20"/>
                <w:u w:val="single"/>
              </w:rPr>
              <w:t>$</w:t>
            </w:r>
            <w:r>
              <w:rPr>
                <w:sz w:val="20"/>
                <w:u w:val="single"/>
              </w:rPr>
              <w:tab/>
              <w:t>9,385</w:t>
            </w:r>
          </w:p>
        </w:tc>
      </w:tr>
      <w:tr w:rsidR="00EF3DFB" w14:paraId="7326D18B" w14:textId="77777777">
        <w:trPr>
          <w:trHeight w:val="262"/>
        </w:trPr>
        <w:tc>
          <w:tcPr>
            <w:tcW w:w="3435" w:type="dxa"/>
          </w:tcPr>
          <w:p w14:paraId="7326D184" w14:textId="77777777" w:rsidR="00EF3DFB" w:rsidRDefault="00D27C17">
            <w:pPr>
              <w:pStyle w:val="TableParagraph"/>
              <w:spacing w:line="204" w:lineRule="exact"/>
              <w:ind w:left="52"/>
              <w:rPr>
                <w:sz w:val="20"/>
              </w:rPr>
            </w:pPr>
            <w:r>
              <w:rPr>
                <w:sz w:val="20"/>
              </w:rPr>
              <w:t>North America</w:t>
            </w:r>
          </w:p>
        </w:tc>
        <w:tc>
          <w:tcPr>
            <w:tcW w:w="1237" w:type="dxa"/>
            <w:tcBorders>
              <w:top w:val="single" w:sz="8" w:space="0" w:color="000000"/>
            </w:tcBorders>
          </w:tcPr>
          <w:p w14:paraId="7326D185" w14:textId="77777777" w:rsidR="00EF3DFB" w:rsidRDefault="00D27C17">
            <w:pPr>
              <w:pStyle w:val="TableParagraph"/>
              <w:tabs>
                <w:tab w:val="left" w:pos="615"/>
              </w:tabs>
              <w:spacing w:line="225" w:lineRule="exact"/>
              <w:ind w:right="116"/>
              <w:jc w:val="right"/>
              <w:rPr>
                <w:sz w:val="20"/>
              </w:rPr>
            </w:pPr>
            <w:r>
              <w:rPr>
                <w:sz w:val="20"/>
              </w:rPr>
              <w:t>$</w:t>
            </w:r>
            <w:r>
              <w:rPr>
                <w:sz w:val="20"/>
              </w:rPr>
              <w:tab/>
              <w:t>1,068</w:t>
            </w:r>
          </w:p>
        </w:tc>
        <w:tc>
          <w:tcPr>
            <w:tcW w:w="1077" w:type="dxa"/>
            <w:tcBorders>
              <w:top w:val="single" w:sz="8" w:space="0" w:color="000000"/>
            </w:tcBorders>
          </w:tcPr>
          <w:p w14:paraId="7326D186" w14:textId="77777777" w:rsidR="00EF3DFB" w:rsidRDefault="00D27C17">
            <w:pPr>
              <w:pStyle w:val="TableParagraph"/>
              <w:tabs>
                <w:tab w:val="left" w:pos="420"/>
              </w:tabs>
              <w:spacing w:line="225" w:lineRule="exact"/>
              <w:ind w:right="113"/>
              <w:jc w:val="right"/>
              <w:rPr>
                <w:sz w:val="20"/>
              </w:rPr>
            </w:pPr>
            <w:r>
              <w:rPr>
                <w:sz w:val="20"/>
              </w:rPr>
              <w:t>$</w:t>
            </w:r>
            <w:r>
              <w:rPr>
                <w:sz w:val="20"/>
              </w:rPr>
              <w:tab/>
              <w:t>1,387</w:t>
            </w:r>
          </w:p>
        </w:tc>
        <w:tc>
          <w:tcPr>
            <w:tcW w:w="1265" w:type="dxa"/>
            <w:tcBorders>
              <w:top w:val="single" w:sz="8" w:space="0" w:color="000000"/>
            </w:tcBorders>
          </w:tcPr>
          <w:p w14:paraId="7326D187" w14:textId="77777777" w:rsidR="00EF3DFB" w:rsidRDefault="00D27C17">
            <w:pPr>
              <w:pStyle w:val="TableParagraph"/>
              <w:tabs>
                <w:tab w:val="left" w:pos="615"/>
              </w:tabs>
              <w:spacing w:line="225" w:lineRule="exact"/>
              <w:ind w:right="103"/>
              <w:jc w:val="right"/>
              <w:rPr>
                <w:sz w:val="20"/>
              </w:rPr>
            </w:pPr>
            <w:r>
              <w:rPr>
                <w:sz w:val="20"/>
              </w:rPr>
              <w:t>$</w:t>
            </w:r>
            <w:r>
              <w:rPr>
                <w:sz w:val="20"/>
              </w:rPr>
              <w:tab/>
              <w:t>1,568</w:t>
            </w:r>
          </w:p>
        </w:tc>
        <w:tc>
          <w:tcPr>
            <w:tcW w:w="1275" w:type="dxa"/>
            <w:tcBorders>
              <w:top w:val="single" w:sz="8" w:space="0" w:color="000000"/>
            </w:tcBorders>
          </w:tcPr>
          <w:p w14:paraId="7326D188" w14:textId="77777777" w:rsidR="00EF3DFB" w:rsidRDefault="00D27C17">
            <w:pPr>
              <w:pStyle w:val="TableParagraph"/>
              <w:tabs>
                <w:tab w:val="left" w:pos="615"/>
              </w:tabs>
              <w:spacing w:line="225" w:lineRule="exact"/>
              <w:ind w:right="103"/>
              <w:jc w:val="right"/>
              <w:rPr>
                <w:sz w:val="20"/>
              </w:rPr>
            </w:pPr>
            <w:r>
              <w:rPr>
                <w:sz w:val="20"/>
              </w:rPr>
              <w:t>$</w:t>
            </w:r>
            <w:r>
              <w:rPr>
                <w:sz w:val="20"/>
              </w:rPr>
              <w:tab/>
              <w:t>1,845</w:t>
            </w:r>
          </w:p>
        </w:tc>
        <w:tc>
          <w:tcPr>
            <w:tcW w:w="1100" w:type="dxa"/>
            <w:tcBorders>
              <w:top w:val="single" w:sz="8" w:space="0" w:color="000000"/>
            </w:tcBorders>
          </w:tcPr>
          <w:p w14:paraId="7326D189" w14:textId="77777777" w:rsidR="00EF3DFB" w:rsidRDefault="00D27C17">
            <w:pPr>
              <w:pStyle w:val="TableParagraph"/>
              <w:tabs>
                <w:tab w:val="left" w:pos="570"/>
              </w:tabs>
              <w:spacing w:line="225" w:lineRule="exact"/>
              <w:ind w:right="123"/>
              <w:jc w:val="right"/>
              <w:rPr>
                <w:sz w:val="20"/>
              </w:rPr>
            </w:pPr>
            <w:r>
              <w:rPr>
                <w:sz w:val="20"/>
              </w:rPr>
              <w:t>$</w:t>
            </w:r>
            <w:r>
              <w:rPr>
                <w:sz w:val="20"/>
              </w:rPr>
              <w:tab/>
              <w:t>805</w:t>
            </w:r>
          </w:p>
        </w:tc>
        <w:tc>
          <w:tcPr>
            <w:tcW w:w="1232" w:type="dxa"/>
            <w:tcBorders>
              <w:top w:val="single" w:sz="8" w:space="0" w:color="000000"/>
            </w:tcBorders>
          </w:tcPr>
          <w:p w14:paraId="7326D18A" w14:textId="77777777" w:rsidR="00EF3DFB" w:rsidRDefault="00D27C17">
            <w:pPr>
              <w:pStyle w:val="TableParagraph"/>
              <w:tabs>
                <w:tab w:val="left" w:pos="615"/>
              </w:tabs>
              <w:spacing w:line="225" w:lineRule="exact"/>
              <w:ind w:right="80"/>
              <w:jc w:val="right"/>
              <w:rPr>
                <w:sz w:val="20"/>
              </w:rPr>
            </w:pPr>
            <w:r>
              <w:rPr>
                <w:sz w:val="20"/>
              </w:rPr>
              <w:t>$</w:t>
            </w:r>
            <w:r>
              <w:rPr>
                <w:sz w:val="20"/>
              </w:rPr>
              <w:tab/>
              <w:t>6,673</w:t>
            </w:r>
          </w:p>
        </w:tc>
      </w:tr>
      <w:tr w:rsidR="00EF3DFB" w14:paraId="7326D193" w14:textId="77777777">
        <w:trPr>
          <w:trHeight w:val="275"/>
        </w:trPr>
        <w:tc>
          <w:tcPr>
            <w:tcW w:w="3435" w:type="dxa"/>
            <w:shd w:val="clear" w:color="auto" w:fill="CCEDFF"/>
          </w:tcPr>
          <w:p w14:paraId="7326D18C" w14:textId="77777777" w:rsidR="00EF3DFB" w:rsidRDefault="00D27C17">
            <w:pPr>
              <w:pStyle w:val="TableParagraph"/>
              <w:spacing w:before="4"/>
              <w:ind w:left="52"/>
              <w:rPr>
                <w:sz w:val="20"/>
              </w:rPr>
            </w:pPr>
            <w:r>
              <w:rPr>
                <w:sz w:val="20"/>
              </w:rPr>
              <w:t>International</w:t>
            </w:r>
          </w:p>
        </w:tc>
        <w:tc>
          <w:tcPr>
            <w:tcW w:w="1237" w:type="dxa"/>
            <w:tcBorders>
              <w:bottom w:val="single" w:sz="8" w:space="0" w:color="000000"/>
            </w:tcBorders>
            <w:shd w:val="clear" w:color="auto" w:fill="CCEDFF"/>
          </w:tcPr>
          <w:p w14:paraId="7326D18D" w14:textId="77777777" w:rsidR="00EF3DFB" w:rsidRDefault="00D27C17">
            <w:pPr>
              <w:pStyle w:val="TableParagraph"/>
              <w:spacing w:before="25" w:line="230" w:lineRule="exact"/>
              <w:ind w:right="116"/>
              <w:jc w:val="right"/>
              <w:rPr>
                <w:sz w:val="20"/>
              </w:rPr>
            </w:pPr>
            <w:r>
              <w:rPr>
                <w:sz w:val="20"/>
              </w:rPr>
              <w:t>638</w:t>
            </w:r>
          </w:p>
        </w:tc>
        <w:tc>
          <w:tcPr>
            <w:tcW w:w="1077" w:type="dxa"/>
            <w:tcBorders>
              <w:bottom w:val="single" w:sz="8" w:space="0" w:color="000000"/>
            </w:tcBorders>
            <w:shd w:val="clear" w:color="auto" w:fill="CCEDFF"/>
          </w:tcPr>
          <w:p w14:paraId="7326D18E" w14:textId="77777777" w:rsidR="00EF3DFB" w:rsidRDefault="00D27C17">
            <w:pPr>
              <w:pStyle w:val="TableParagraph"/>
              <w:spacing w:before="25" w:line="230" w:lineRule="exact"/>
              <w:ind w:right="113"/>
              <w:jc w:val="right"/>
              <w:rPr>
                <w:sz w:val="20"/>
              </w:rPr>
            </w:pPr>
            <w:r>
              <w:rPr>
                <w:sz w:val="20"/>
              </w:rPr>
              <w:t>472</w:t>
            </w:r>
          </w:p>
        </w:tc>
        <w:tc>
          <w:tcPr>
            <w:tcW w:w="1265" w:type="dxa"/>
            <w:tcBorders>
              <w:bottom w:val="single" w:sz="8" w:space="0" w:color="000000"/>
            </w:tcBorders>
            <w:shd w:val="clear" w:color="auto" w:fill="CCEDFF"/>
          </w:tcPr>
          <w:p w14:paraId="7326D18F" w14:textId="77777777" w:rsidR="00EF3DFB" w:rsidRDefault="00D27C17">
            <w:pPr>
              <w:pStyle w:val="TableParagraph"/>
              <w:spacing w:before="25" w:line="230" w:lineRule="exact"/>
              <w:ind w:right="103"/>
              <w:jc w:val="right"/>
              <w:rPr>
                <w:sz w:val="20"/>
              </w:rPr>
            </w:pPr>
            <w:r>
              <w:rPr>
                <w:sz w:val="20"/>
              </w:rPr>
              <w:t>403</w:t>
            </w:r>
          </w:p>
        </w:tc>
        <w:tc>
          <w:tcPr>
            <w:tcW w:w="1275" w:type="dxa"/>
            <w:tcBorders>
              <w:bottom w:val="single" w:sz="8" w:space="0" w:color="000000"/>
            </w:tcBorders>
            <w:shd w:val="clear" w:color="auto" w:fill="CCEDFF"/>
          </w:tcPr>
          <w:p w14:paraId="7326D190" w14:textId="77777777" w:rsidR="00EF3DFB" w:rsidRDefault="00D27C17">
            <w:pPr>
              <w:pStyle w:val="TableParagraph"/>
              <w:spacing w:before="25" w:line="230" w:lineRule="exact"/>
              <w:ind w:right="103"/>
              <w:jc w:val="right"/>
              <w:rPr>
                <w:sz w:val="20"/>
              </w:rPr>
            </w:pPr>
            <w:r>
              <w:rPr>
                <w:sz w:val="20"/>
              </w:rPr>
              <w:t>712</w:t>
            </w:r>
          </w:p>
        </w:tc>
        <w:tc>
          <w:tcPr>
            <w:tcW w:w="1100" w:type="dxa"/>
            <w:tcBorders>
              <w:bottom w:val="single" w:sz="8" w:space="0" w:color="000000"/>
            </w:tcBorders>
            <w:shd w:val="clear" w:color="auto" w:fill="CCEDFF"/>
          </w:tcPr>
          <w:p w14:paraId="7326D191" w14:textId="77777777" w:rsidR="00EF3DFB" w:rsidRDefault="00D27C17">
            <w:pPr>
              <w:pStyle w:val="TableParagraph"/>
              <w:spacing w:before="25" w:line="230" w:lineRule="exact"/>
              <w:ind w:right="123"/>
              <w:jc w:val="right"/>
              <w:rPr>
                <w:sz w:val="20"/>
              </w:rPr>
            </w:pPr>
            <w:r>
              <w:rPr>
                <w:sz w:val="20"/>
              </w:rPr>
              <w:t>487</w:t>
            </w:r>
          </w:p>
        </w:tc>
        <w:tc>
          <w:tcPr>
            <w:tcW w:w="1232" w:type="dxa"/>
            <w:tcBorders>
              <w:bottom w:val="single" w:sz="8" w:space="0" w:color="000000"/>
            </w:tcBorders>
            <w:shd w:val="clear" w:color="auto" w:fill="CCEDFF"/>
          </w:tcPr>
          <w:p w14:paraId="7326D192" w14:textId="77777777" w:rsidR="00EF3DFB" w:rsidRDefault="00D27C17">
            <w:pPr>
              <w:pStyle w:val="TableParagraph"/>
              <w:spacing w:before="25" w:line="230" w:lineRule="exact"/>
              <w:ind w:right="80"/>
              <w:jc w:val="right"/>
              <w:rPr>
                <w:sz w:val="20"/>
              </w:rPr>
            </w:pPr>
            <w:r>
              <w:rPr>
                <w:sz w:val="20"/>
              </w:rPr>
              <w:t>2,712</w:t>
            </w:r>
          </w:p>
        </w:tc>
      </w:tr>
      <w:tr w:rsidR="00EF3DFB" w14:paraId="7326D19B" w14:textId="77777777">
        <w:trPr>
          <w:trHeight w:val="284"/>
        </w:trPr>
        <w:tc>
          <w:tcPr>
            <w:tcW w:w="3435" w:type="dxa"/>
          </w:tcPr>
          <w:p w14:paraId="7326D194" w14:textId="77777777" w:rsidR="00EF3DFB" w:rsidRDefault="00D27C17">
            <w:pPr>
              <w:pStyle w:val="TableParagraph"/>
              <w:spacing w:line="224" w:lineRule="exact"/>
              <w:ind w:left="412"/>
              <w:rPr>
                <w:sz w:val="20"/>
              </w:rPr>
            </w:pPr>
            <w:r>
              <w:rPr>
                <w:sz w:val="20"/>
              </w:rPr>
              <w:t>Total</w:t>
            </w:r>
          </w:p>
        </w:tc>
        <w:tc>
          <w:tcPr>
            <w:tcW w:w="1237" w:type="dxa"/>
            <w:tcBorders>
              <w:top w:val="single" w:sz="8" w:space="0" w:color="000000"/>
              <w:bottom w:val="single" w:sz="8" w:space="0" w:color="000000"/>
            </w:tcBorders>
          </w:tcPr>
          <w:p w14:paraId="7326D195" w14:textId="77777777" w:rsidR="00EF3DFB" w:rsidRDefault="00D27C17">
            <w:pPr>
              <w:pStyle w:val="TableParagraph"/>
              <w:tabs>
                <w:tab w:val="left" w:pos="615"/>
              </w:tabs>
              <w:spacing w:before="15"/>
              <w:ind w:right="116"/>
              <w:jc w:val="right"/>
              <w:rPr>
                <w:sz w:val="20"/>
              </w:rPr>
            </w:pPr>
            <w:r>
              <w:rPr>
                <w:sz w:val="20"/>
                <w:u w:val="single"/>
              </w:rPr>
              <w:t>$</w:t>
            </w:r>
            <w:r>
              <w:rPr>
                <w:sz w:val="20"/>
                <w:u w:val="single"/>
              </w:rPr>
              <w:tab/>
              <w:t>1,706</w:t>
            </w:r>
          </w:p>
        </w:tc>
        <w:tc>
          <w:tcPr>
            <w:tcW w:w="1077" w:type="dxa"/>
            <w:tcBorders>
              <w:top w:val="single" w:sz="8" w:space="0" w:color="000000"/>
              <w:bottom w:val="single" w:sz="8" w:space="0" w:color="000000"/>
            </w:tcBorders>
          </w:tcPr>
          <w:p w14:paraId="7326D196" w14:textId="77777777" w:rsidR="00EF3DFB" w:rsidRDefault="00D27C17">
            <w:pPr>
              <w:pStyle w:val="TableParagraph"/>
              <w:tabs>
                <w:tab w:val="left" w:pos="420"/>
              </w:tabs>
              <w:spacing w:before="15"/>
              <w:ind w:right="113"/>
              <w:jc w:val="right"/>
              <w:rPr>
                <w:sz w:val="20"/>
              </w:rPr>
            </w:pPr>
            <w:r>
              <w:rPr>
                <w:sz w:val="20"/>
                <w:u w:val="single"/>
              </w:rPr>
              <w:t>$</w:t>
            </w:r>
            <w:r>
              <w:rPr>
                <w:sz w:val="20"/>
                <w:u w:val="single"/>
              </w:rPr>
              <w:tab/>
            </w:r>
            <w:r>
              <w:rPr>
                <w:sz w:val="20"/>
                <w:u w:val="single"/>
              </w:rPr>
              <w:t>1,859</w:t>
            </w:r>
          </w:p>
        </w:tc>
        <w:tc>
          <w:tcPr>
            <w:tcW w:w="1265" w:type="dxa"/>
            <w:tcBorders>
              <w:top w:val="single" w:sz="8" w:space="0" w:color="000000"/>
              <w:bottom w:val="single" w:sz="8" w:space="0" w:color="000000"/>
            </w:tcBorders>
          </w:tcPr>
          <w:p w14:paraId="7326D197" w14:textId="77777777" w:rsidR="00EF3DFB" w:rsidRDefault="00D27C17">
            <w:pPr>
              <w:pStyle w:val="TableParagraph"/>
              <w:tabs>
                <w:tab w:val="left" w:pos="615"/>
              </w:tabs>
              <w:spacing w:before="15"/>
              <w:ind w:right="103"/>
              <w:jc w:val="right"/>
              <w:rPr>
                <w:sz w:val="20"/>
              </w:rPr>
            </w:pPr>
            <w:r>
              <w:rPr>
                <w:sz w:val="20"/>
                <w:u w:val="single"/>
              </w:rPr>
              <w:t>$</w:t>
            </w:r>
            <w:r>
              <w:rPr>
                <w:sz w:val="20"/>
                <w:u w:val="single"/>
              </w:rPr>
              <w:tab/>
              <w:t>1,971</w:t>
            </w:r>
          </w:p>
        </w:tc>
        <w:tc>
          <w:tcPr>
            <w:tcW w:w="1275" w:type="dxa"/>
            <w:tcBorders>
              <w:top w:val="single" w:sz="8" w:space="0" w:color="000000"/>
              <w:bottom w:val="single" w:sz="8" w:space="0" w:color="000000"/>
            </w:tcBorders>
          </w:tcPr>
          <w:p w14:paraId="7326D198" w14:textId="77777777" w:rsidR="00EF3DFB" w:rsidRDefault="00D27C17">
            <w:pPr>
              <w:pStyle w:val="TableParagraph"/>
              <w:tabs>
                <w:tab w:val="left" w:pos="615"/>
              </w:tabs>
              <w:spacing w:before="15"/>
              <w:ind w:right="103"/>
              <w:jc w:val="right"/>
              <w:rPr>
                <w:sz w:val="20"/>
              </w:rPr>
            </w:pPr>
            <w:r>
              <w:rPr>
                <w:sz w:val="20"/>
                <w:u w:val="single"/>
              </w:rPr>
              <w:t>$</w:t>
            </w:r>
            <w:r>
              <w:rPr>
                <w:sz w:val="20"/>
                <w:u w:val="single"/>
              </w:rPr>
              <w:tab/>
              <w:t>2,557</w:t>
            </w:r>
          </w:p>
        </w:tc>
        <w:tc>
          <w:tcPr>
            <w:tcW w:w="1100" w:type="dxa"/>
            <w:tcBorders>
              <w:top w:val="single" w:sz="8" w:space="0" w:color="000000"/>
              <w:bottom w:val="single" w:sz="8" w:space="0" w:color="000000"/>
            </w:tcBorders>
          </w:tcPr>
          <w:p w14:paraId="7326D199" w14:textId="77777777" w:rsidR="00EF3DFB" w:rsidRDefault="00D27C17">
            <w:pPr>
              <w:pStyle w:val="TableParagraph"/>
              <w:tabs>
                <w:tab w:val="left" w:pos="420"/>
              </w:tabs>
              <w:spacing w:before="15"/>
              <w:ind w:right="123"/>
              <w:jc w:val="right"/>
              <w:rPr>
                <w:sz w:val="20"/>
              </w:rPr>
            </w:pPr>
            <w:r>
              <w:rPr>
                <w:sz w:val="20"/>
                <w:u w:val="single"/>
              </w:rPr>
              <w:t>$</w:t>
            </w:r>
            <w:r>
              <w:rPr>
                <w:sz w:val="20"/>
                <w:u w:val="single"/>
              </w:rPr>
              <w:tab/>
              <w:t>1,292</w:t>
            </w:r>
          </w:p>
        </w:tc>
        <w:tc>
          <w:tcPr>
            <w:tcW w:w="1232" w:type="dxa"/>
            <w:tcBorders>
              <w:top w:val="single" w:sz="8" w:space="0" w:color="000000"/>
              <w:bottom w:val="single" w:sz="8" w:space="0" w:color="000000"/>
            </w:tcBorders>
          </w:tcPr>
          <w:p w14:paraId="7326D19A" w14:textId="77777777" w:rsidR="00EF3DFB" w:rsidRDefault="00D27C17">
            <w:pPr>
              <w:pStyle w:val="TableParagraph"/>
              <w:tabs>
                <w:tab w:val="left" w:pos="615"/>
              </w:tabs>
              <w:spacing w:before="15"/>
              <w:ind w:right="80"/>
              <w:jc w:val="right"/>
              <w:rPr>
                <w:sz w:val="20"/>
              </w:rPr>
            </w:pPr>
            <w:r>
              <w:rPr>
                <w:sz w:val="20"/>
                <w:u w:val="single"/>
              </w:rPr>
              <w:t>$</w:t>
            </w:r>
            <w:r>
              <w:rPr>
                <w:sz w:val="20"/>
                <w:u w:val="single"/>
              </w:rPr>
              <w:tab/>
              <w:t>9,385</w:t>
            </w:r>
          </w:p>
        </w:tc>
      </w:tr>
    </w:tbl>
    <w:p w14:paraId="7326D19C" w14:textId="77777777" w:rsidR="00EF3DFB" w:rsidRDefault="00EF3DFB">
      <w:pPr>
        <w:jc w:val="right"/>
        <w:rPr>
          <w:sz w:val="20"/>
        </w:rPr>
        <w:sectPr w:rsidR="00EF3DFB">
          <w:pgSz w:w="12240" w:h="15840"/>
          <w:pgMar w:top="760" w:right="640" w:bottom="480" w:left="620" w:header="0" w:footer="291" w:gutter="0"/>
          <w:cols w:space="720"/>
        </w:sectPr>
      </w:pPr>
    </w:p>
    <w:p w14:paraId="7326D19D" w14:textId="77777777" w:rsidR="00EF3DFB" w:rsidRDefault="00D27C17">
      <w:pPr>
        <w:spacing w:before="80" w:after="30"/>
        <w:ind w:left="3135" w:right="116"/>
        <w:jc w:val="center"/>
        <w:rPr>
          <w:b/>
          <w:sz w:val="20"/>
        </w:rPr>
      </w:pPr>
      <w:r>
        <w:rPr>
          <w:b/>
          <w:sz w:val="20"/>
        </w:rPr>
        <w:lastRenderedPageBreak/>
        <w:t>2019</w:t>
      </w:r>
    </w:p>
    <w:tbl>
      <w:tblPr>
        <w:tblW w:w="0" w:type="auto"/>
        <w:tblInd w:w="212" w:type="dxa"/>
        <w:tblLayout w:type="fixed"/>
        <w:tblCellMar>
          <w:left w:w="0" w:type="dxa"/>
          <w:right w:w="0" w:type="dxa"/>
        </w:tblCellMar>
        <w:tblLook w:val="01E0" w:firstRow="1" w:lastRow="1" w:firstColumn="1" w:lastColumn="1" w:noHBand="0" w:noVBand="0"/>
      </w:tblPr>
      <w:tblGrid>
        <w:gridCol w:w="3000"/>
        <w:gridCol w:w="1237"/>
        <w:gridCol w:w="1262"/>
        <w:gridCol w:w="1276"/>
        <w:gridCol w:w="1276"/>
        <w:gridCol w:w="1276"/>
        <w:gridCol w:w="1253"/>
      </w:tblGrid>
      <w:tr w:rsidR="00EF3DFB" w14:paraId="7326D1A6" w14:textId="77777777">
        <w:trPr>
          <w:trHeight w:val="400"/>
        </w:trPr>
        <w:tc>
          <w:tcPr>
            <w:tcW w:w="3000" w:type="dxa"/>
          </w:tcPr>
          <w:p w14:paraId="7326D19E" w14:textId="77777777" w:rsidR="00EF3DFB" w:rsidRDefault="00EF3DFB">
            <w:pPr>
              <w:pStyle w:val="TableParagraph"/>
              <w:rPr>
                <w:sz w:val="18"/>
              </w:rPr>
            </w:pPr>
          </w:p>
        </w:tc>
        <w:tc>
          <w:tcPr>
            <w:tcW w:w="1237" w:type="dxa"/>
            <w:tcBorders>
              <w:top w:val="single" w:sz="8" w:space="0" w:color="000000"/>
              <w:bottom w:val="single" w:sz="8" w:space="0" w:color="000000"/>
            </w:tcBorders>
          </w:tcPr>
          <w:p w14:paraId="7326D19F" w14:textId="77777777" w:rsidR="00EF3DFB" w:rsidRDefault="00D27C17">
            <w:pPr>
              <w:pStyle w:val="TableParagraph"/>
              <w:spacing w:line="192" w:lineRule="exact"/>
              <w:ind w:left="268" w:right="71" w:hanging="176"/>
              <w:rPr>
                <w:b/>
                <w:sz w:val="16"/>
              </w:rPr>
            </w:pPr>
            <w:r>
              <w:rPr>
                <w:b/>
                <w:sz w:val="16"/>
              </w:rPr>
              <w:t>Appliances and Cookware</w:t>
            </w:r>
          </w:p>
        </w:tc>
        <w:tc>
          <w:tcPr>
            <w:tcW w:w="1262" w:type="dxa"/>
            <w:tcBorders>
              <w:top w:val="single" w:sz="8" w:space="0" w:color="000000"/>
              <w:bottom w:val="single" w:sz="8" w:space="0" w:color="000000"/>
            </w:tcBorders>
          </w:tcPr>
          <w:p w14:paraId="7326D1A0" w14:textId="77777777" w:rsidR="00EF3DFB" w:rsidRDefault="00D27C17">
            <w:pPr>
              <w:pStyle w:val="TableParagraph"/>
              <w:spacing w:line="192" w:lineRule="exact"/>
              <w:ind w:left="341" w:right="163" w:hanging="107"/>
              <w:rPr>
                <w:b/>
                <w:sz w:val="16"/>
              </w:rPr>
            </w:pPr>
            <w:r>
              <w:rPr>
                <w:b/>
                <w:sz w:val="16"/>
              </w:rPr>
              <w:t>Commercial Solutions</w:t>
            </w:r>
          </w:p>
        </w:tc>
        <w:tc>
          <w:tcPr>
            <w:tcW w:w="1276" w:type="dxa"/>
            <w:tcBorders>
              <w:top w:val="single" w:sz="8" w:space="0" w:color="000000"/>
              <w:bottom w:val="single" w:sz="8" w:space="0" w:color="000000"/>
            </w:tcBorders>
          </w:tcPr>
          <w:p w14:paraId="7326D1A1" w14:textId="77777777" w:rsidR="00EF3DFB" w:rsidRDefault="00D27C17">
            <w:pPr>
              <w:pStyle w:val="TableParagraph"/>
              <w:spacing w:line="192" w:lineRule="exact"/>
              <w:ind w:left="354" w:right="270" w:firstLine="111"/>
              <w:rPr>
                <w:b/>
                <w:sz w:val="16"/>
              </w:rPr>
            </w:pPr>
            <w:r>
              <w:rPr>
                <w:b/>
                <w:sz w:val="16"/>
              </w:rPr>
              <w:t>Home Solutions</w:t>
            </w:r>
          </w:p>
        </w:tc>
        <w:tc>
          <w:tcPr>
            <w:tcW w:w="1276" w:type="dxa"/>
            <w:tcBorders>
              <w:top w:val="single" w:sz="8" w:space="0" w:color="000000"/>
              <w:bottom w:val="single" w:sz="8" w:space="0" w:color="000000"/>
            </w:tcBorders>
          </w:tcPr>
          <w:p w14:paraId="7326D1A2" w14:textId="77777777" w:rsidR="00EF3DFB" w:rsidRDefault="00D27C17">
            <w:pPr>
              <w:pStyle w:val="TableParagraph"/>
              <w:spacing w:line="192" w:lineRule="exact"/>
              <w:ind w:left="220" w:right="122" w:hanging="16"/>
              <w:rPr>
                <w:b/>
                <w:sz w:val="16"/>
              </w:rPr>
            </w:pPr>
            <w:r>
              <w:rPr>
                <w:b/>
                <w:sz w:val="16"/>
              </w:rPr>
              <w:t>Learning and Development</w:t>
            </w:r>
          </w:p>
        </w:tc>
        <w:tc>
          <w:tcPr>
            <w:tcW w:w="1276" w:type="dxa"/>
            <w:tcBorders>
              <w:top w:val="single" w:sz="8" w:space="0" w:color="000000"/>
              <w:bottom w:val="single" w:sz="8" w:space="0" w:color="000000"/>
            </w:tcBorders>
          </w:tcPr>
          <w:p w14:paraId="7326D1A3" w14:textId="77777777" w:rsidR="00EF3DFB" w:rsidRDefault="00D27C17">
            <w:pPr>
              <w:pStyle w:val="TableParagraph"/>
              <w:spacing w:line="192" w:lineRule="exact"/>
              <w:ind w:left="294" w:right="146" w:hanging="69"/>
              <w:rPr>
                <w:b/>
                <w:sz w:val="16"/>
              </w:rPr>
            </w:pPr>
            <w:r>
              <w:rPr>
                <w:b/>
                <w:sz w:val="16"/>
              </w:rPr>
              <w:t>Outdoor and Recreation</w:t>
            </w:r>
          </w:p>
        </w:tc>
        <w:tc>
          <w:tcPr>
            <w:tcW w:w="1253" w:type="dxa"/>
            <w:tcBorders>
              <w:top w:val="single" w:sz="8" w:space="0" w:color="000000"/>
              <w:bottom w:val="single" w:sz="8" w:space="0" w:color="000000"/>
            </w:tcBorders>
          </w:tcPr>
          <w:p w14:paraId="7326D1A4" w14:textId="77777777" w:rsidR="00EF3DFB" w:rsidRDefault="00EF3DFB">
            <w:pPr>
              <w:pStyle w:val="TableParagraph"/>
              <w:rPr>
                <w:b/>
                <w:sz w:val="17"/>
              </w:rPr>
            </w:pPr>
          </w:p>
          <w:p w14:paraId="7326D1A5" w14:textId="77777777" w:rsidR="00EF3DFB" w:rsidRDefault="00D27C17">
            <w:pPr>
              <w:pStyle w:val="TableParagraph"/>
              <w:spacing w:line="184" w:lineRule="exact"/>
              <w:ind w:left="484"/>
              <w:rPr>
                <w:b/>
                <w:sz w:val="16"/>
              </w:rPr>
            </w:pPr>
            <w:r>
              <w:rPr>
                <w:b/>
                <w:sz w:val="16"/>
              </w:rPr>
              <w:t>Total</w:t>
            </w:r>
          </w:p>
        </w:tc>
      </w:tr>
      <w:tr w:rsidR="00EF3DFB" w14:paraId="7326D1AE" w14:textId="77777777">
        <w:trPr>
          <w:trHeight w:val="275"/>
        </w:trPr>
        <w:tc>
          <w:tcPr>
            <w:tcW w:w="3000" w:type="dxa"/>
            <w:shd w:val="clear" w:color="auto" w:fill="CCEDFF"/>
          </w:tcPr>
          <w:p w14:paraId="7326D1A7" w14:textId="77777777" w:rsidR="00EF3DFB" w:rsidRDefault="00D27C17">
            <w:pPr>
              <w:pStyle w:val="TableParagraph"/>
              <w:spacing w:line="224" w:lineRule="exact"/>
              <w:ind w:left="52"/>
              <w:rPr>
                <w:sz w:val="20"/>
              </w:rPr>
            </w:pPr>
            <w:r>
              <w:rPr>
                <w:sz w:val="20"/>
              </w:rPr>
              <w:t>Appliances and Cookware</w:t>
            </w:r>
          </w:p>
        </w:tc>
        <w:tc>
          <w:tcPr>
            <w:tcW w:w="1237" w:type="dxa"/>
            <w:tcBorders>
              <w:top w:val="single" w:sz="8" w:space="0" w:color="000000"/>
            </w:tcBorders>
            <w:shd w:val="clear" w:color="auto" w:fill="CCEDFF"/>
          </w:tcPr>
          <w:p w14:paraId="7326D1A8" w14:textId="77777777" w:rsidR="00EF3DFB" w:rsidRDefault="00D27C17">
            <w:pPr>
              <w:pStyle w:val="TableParagraph"/>
              <w:tabs>
                <w:tab w:val="left" w:pos="615"/>
              </w:tabs>
              <w:spacing w:before="15"/>
              <w:ind w:right="116"/>
              <w:jc w:val="right"/>
              <w:rPr>
                <w:sz w:val="20"/>
              </w:rPr>
            </w:pPr>
            <w:r>
              <w:rPr>
                <w:sz w:val="20"/>
              </w:rPr>
              <w:t>$</w:t>
            </w:r>
            <w:r>
              <w:rPr>
                <w:sz w:val="20"/>
              </w:rPr>
              <w:tab/>
              <w:t>1,692</w:t>
            </w:r>
          </w:p>
        </w:tc>
        <w:tc>
          <w:tcPr>
            <w:tcW w:w="1262" w:type="dxa"/>
            <w:tcBorders>
              <w:top w:val="single" w:sz="8" w:space="0" w:color="000000"/>
            </w:tcBorders>
            <w:shd w:val="clear" w:color="auto" w:fill="CCEDFF"/>
          </w:tcPr>
          <w:p w14:paraId="7326D1A9" w14:textId="77777777" w:rsidR="00EF3DFB" w:rsidRDefault="00D27C17">
            <w:pPr>
              <w:pStyle w:val="TableParagraph"/>
              <w:tabs>
                <w:tab w:val="left" w:pos="865"/>
              </w:tabs>
              <w:spacing w:before="15"/>
              <w:ind w:right="103"/>
              <w:jc w:val="right"/>
              <w:rPr>
                <w:sz w:val="20"/>
              </w:rPr>
            </w:pPr>
            <w:r>
              <w:rPr>
                <w:sz w:val="20"/>
              </w:rPr>
              <w:t>$</w:t>
            </w:r>
            <w:r>
              <w:rPr>
                <w:sz w:val="20"/>
              </w:rPr>
              <w:tab/>
              <w:t>—</w:t>
            </w:r>
          </w:p>
        </w:tc>
        <w:tc>
          <w:tcPr>
            <w:tcW w:w="1276" w:type="dxa"/>
            <w:tcBorders>
              <w:top w:val="single" w:sz="8" w:space="0" w:color="000000"/>
            </w:tcBorders>
            <w:shd w:val="clear" w:color="auto" w:fill="CCEDFF"/>
          </w:tcPr>
          <w:p w14:paraId="7326D1AA" w14:textId="77777777" w:rsidR="00EF3DFB" w:rsidRDefault="00D27C17">
            <w:pPr>
              <w:pStyle w:val="TableParagraph"/>
              <w:tabs>
                <w:tab w:val="left" w:pos="865"/>
              </w:tabs>
              <w:spacing w:before="15"/>
              <w:ind w:right="104"/>
              <w:jc w:val="right"/>
              <w:rPr>
                <w:sz w:val="20"/>
              </w:rPr>
            </w:pPr>
            <w:r>
              <w:rPr>
                <w:sz w:val="20"/>
              </w:rPr>
              <w:t>$</w:t>
            </w:r>
            <w:r>
              <w:rPr>
                <w:sz w:val="20"/>
              </w:rPr>
              <w:tab/>
              <w:t>—</w:t>
            </w:r>
          </w:p>
        </w:tc>
        <w:tc>
          <w:tcPr>
            <w:tcW w:w="1276" w:type="dxa"/>
            <w:tcBorders>
              <w:top w:val="single" w:sz="8" w:space="0" w:color="000000"/>
            </w:tcBorders>
            <w:shd w:val="clear" w:color="auto" w:fill="CCEDFF"/>
          </w:tcPr>
          <w:p w14:paraId="7326D1AB" w14:textId="77777777" w:rsidR="00EF3DFB" w:rsidRDefault="00D27C17">
            <w:pPr>
              <w:pStyle w:val="TableParagraph"/>
              <w:tabs>
                <w:tab w:val="left" w:pos="865"/>
              </w:tabs>
              <w:spacing w:before="15"/>
              <w:ind w:right="105"/>
              <w:jc w:val="right"/>
              <w:rPr>
                <w:sz w:val="20"/>
              </w:rPr>
            </w:pPr>
            <w:r>
              <w:rPr>
                <w:sz w:val="20"/>
              </w:rPr>
              <w:t>$</w:t>
            </w:r>
            <w:r>
              <w:rPr>
                <w:sz w:val="20"/>
              </w:rPr>
              <w:tab/>
              <w:t>—</w:t>
            </w:r>
          </w:p>
        </w:tc>
        <w:tc>
          <w:tcPr>
            <w:tcW w:w="1276" w:type="dxa"/>
            <w:tcBorders>
              <w:top w:val="single" w:sz="8" w:space="0" w:color="000000"/>
            </w:tcBorders>
            <w:shd w:val="clear" w:color="auto" w:fill="CCEDFF"/>
          </w:tcPr>
          <w:p w14:paraId="7326D1AC" w14:textId="77777777" w:rsidR="00EF3DFB" w:rsidRDefault="00D27C17">
            <w:pPr>
              <w:pStyle w:val="TableParagraph"/>
              <w:tabs>
                <w:tab w:val="left" w:pos="865"/>
              </w:tabs>
              <w:spacing w:before="15"/>
              <w:ind w:right="106"/>
              <w:jc w:val="right"/>
              <w:rPr>
                <w:sz w:val="20"/>
              </w:rPr>
            </w:pPr>
            <w:r>
              <w:rPr>
                <w:sz w:val="20"/>
              </w:rPr>
              <w:t>$</w:t>
            </w:r>
            <w:r>
              <w:rPr>
                <w:sz w:val="20"/>
              </w:rPr>
              <w:tab/>
              <w:t>—</w:t>
            </w:r>
          </w:p>
        </w:tc>
        <w:tc>
          <w:tcPr>
            <w:tcW w:w="1253" w:type="dxa"/>
            <w:tcBorders>
              <w:top w:val="single" w:sz="8" w:space="0" w:color="000000"/>
            </w:tcBorders>
            <w:shd w:val="clear" w:color="auto" w:fill="CCEDFF"/>
          </w:tcPr>
          <w:p w14:paraId="7326D1AD" w14:textId="77777777" w:rsidR="00EF3DFB" w:rsidRDefault="00D27C17">
            <w:pPr>
              <w:pStyle w:val="TableParagraph"/>
              <w:tabs>
                <w:tab w:val="left" w:pos="615"/>
              </w:tabs>
              <w:spacing w:before="15"/>
              <w:ind w:right="84"/>
              <w:jc w:val="right"/>
              <w:rPr>
                <w:sz w:val="20"/>
              </w:rPr>
            </w:pPr>
            <w:r>
              <w:rPr>
                <w:sz w:val="20"/>
              </w:rPr>
              <w:t>$</w:t>
            </w:r>
            <w:r>
              <w:rPr>
                <w:sz w:val="20"/>
              </w:rPr>
              <w:tab/>
              <w:t>1,692</w:t>
            </w:r>
          </w:p>
        </w:tc>
      </w:tr>
      <w:tr w:rsidR="00EF3DFB" w14:paraId="7326D1B6" w14:textId="77777777">
        <w:trPr>
          <w:trHeight w:val="285"/>
        </w:trPr>
        <w:tc>
          <w:tcPr>
            <w:tcW w:w="3000" w:type="dxa"/>
          </w:tcPr>
          <w:p w14:paraId="7326D1AF" w14:textId="77777777" w:rsidR="00EF3DFB" w:rsidRDefault="00D27C17">
            <w:pPr>
              <w:pStyle w:val="TableParagraph"/>
              <w:spacing w:before="4"/>
              <w:ind w:left="52"/>
              <w:rPr>
                <w:sz w:val="20"/>
              </w:rPr>
            </w:pPr>
            <w:r>
              <w:rPr>
                <w:sz w:val="20"/>
              </w:rPr>
              <w:t>Commercial</w:t>
            </w:r>
          </w:p>
        </w:tc>
        <w:tc>
          <w:tcPr>
            <w:tcW w:w="1237" w:type="dxa"/>
          </w:tcPr>
          <w:p w14:paraId="7326D1B0" w14:textId="77777777" w:rsidR="00EF3DFB" w:rsidRDefault="00D27C17">
            <w:pPr>
              <w:pStyle w:val="TableParagraph"/>
              <w:spacing w:before="25"/>
              <w:ind w:right="116"/>
              <w:jc w:val="right"/>
              <w:rPr>
                <w:sz w:val="20"/>
              </w:rPr>
            </w:pPr>
            <w:r>
              <w:rPr>
                <w:sz w:val="20"/>
              </w:rPr>
              <w:t>—</w:t>
            </w:r>
          </w:p>
        </w:tc>
        <w:tc>
          <w:tcPr>
            <w:tcW w:w="1262" w:type="dxa"/>
          </w:tcPr>
          <w:p w14:paraId="7326D1B1" w14:textId="77777777" w:rsidR="00EF3DFB" w:rsidRDefault="00D27C17">
            <w:pPr>
              <w:pStyle w:val="TableParagraph"/>
              <w:spacing w:before="25"/>
              <w:ind w:right="103"/>
              <w:jc w:val="right"/>
              <w:rPr>
                <w:sz w:val="20"/>
              </w:rPr>
            </w:pPr>
            <w:r>
              <w:rPr>
                <w:sz w:val="20"/>
              </w:rPr>
              <w:t>1,402</w:t>
            </w:r>
          </w:p>
        </w:tc>
        <w:tc>
          <w:tcPr>
            <w:tcW w:w="1276" w:type="dxa"/>
          </w:tcPr>
          <w:p w14:paraId="7326D1B2" w14:textId="77777777" w:rsidR="00EF3DFB" w:rsidRDefault="00D27C17">
            <w:pPr>
              <w:pStyle w:val="TableParagraph"/>
              <w:spacing w:before="25"/>
              <w:ind w:right="104"/>
              <w:jc w:val="right"/>
              <w:rPr>
                <w:sz w:val="20"/>
              </w:rPr>
            </w:pPr>
            <w:r>
              <w:rPr>
                <w:sz w:val="20"/>
              </w:rPr>
              <w:t>—</w:t>
            </w:r>
          </w:p>
        </w:tc>
        <w:tc>
          <w:tcPr>
            <w:tcW w:w="1276" w:type="dxa"/>
          </w:tcPr>
          <w:p w14:paraId="7326D1B3" w14:textId="77777777" w:rsidR="00EF3DFB" w:rsidRDefault="00D27C17">
            <w:pPr>
              <w:pStyle w:val="TableParagraph"/>
              <w:spacing w:before="25"/>
              <w:ind w:right="105"/>
              <w:jc w:val="right"/>
              <w:rPr>
                <w:sz w:val="20"/>
              </w:rPr>
            </w:pPr>
            <w:r>
              <w:rPr>
                <w:sz w:val="20"/>
              </w:rPr>
              <w:t>—</w:t>
            </w:r>
          </w:p>
        </w:tc>
        <w:tc>
          <w:tcPr>
            <w:tcW w:w="1276" w:type="dxa"/>
          </w:tcPr>
          <w:p w14:paraId="7326D1B4" w14:textId="77777777" w:rsidR="00EF3DFB" w:rsidRDefault="00D27C17">
            <w:pPr>
              <w:pStyle w:val="TableParagraph"/>
              <w:spacing w:before="25"/>
              <w:ind w:right="106"/>
              <w:jc w:val="right"/>
              <w:rPr>
                <w:sz w:val="20"/>
              </w:rPr>
            </w:pPr>
            <w:r>
              <w:rPr>
                <w:sz w:val="20"/>
              </w:rPr>
              <w:t>—</w:t>
            </w:r>
          </w:p>
        </w:tc>
        <w:tc>
          <w:tcPr>
            <w:tcW w:w="1253" w:type="dxa"/>
          </w:tcPr>
          <w:p w14:paraId="7326D1B5" w14:textId="77777777" w:rsidR="00EF3DFB" w:rsidRDefault="00D27C17">
            <w:pPr>
              <w:pStyle w:val="TableParagraph"/>
              <w:spacing w:before="25"/>
              <w:ind w:right="84"/>
              <w:jc w:val="right"/>
              <w:rPr>
                <w:sz w:val="20"/>
              </w:rPr>
            </w:pPr>
            <w:r>
              <w:rPr>
                <w:sz w:val="20"/>
              </w:rPr>
              <w:t>1,402</w:t>
            </w:r>
          </w:p>
        </w:tc>
      </w:tr>
      <w:tr w:rsidR="00EF3DFB" w14:paraId="7326D1BE" w14:textId="77777777">
        <w:trPr>
          <w:trHeight w:val="285"/>
        </w:trPr>
        <w:tc>
          <w:tcPr>
            <w:tcW w:w="3000" w:type="dxa"/>
            <w:shd w:val="clear" w:color="auto" w:fill="CCEDFF"/>
          </w:tcPr>
          <w:p w14:paraId="7326D1B7" w14:textId="77777777" w:rsidR="00EF3DFB" w:rsidRDefault="00D27C17">
            <w:pPr>
              <w:pStyle w:val="TableParagraph"/>
              <w:spacing w:before="4"/>
              <w:ind w:left="52"/>
              <w:rPr>
                <w:sz w:val="20"/>
              </w:rPr>
            </w:pPr>
            <w:r>
              <w:rPr>
                <w:sz w:val="20"/>
              </w:rPr>
              <w:t>Connected Home Security</w:t>
            </w:r>
          </w:p>
        </w:tc>
        <w:tc>
          <w:tcPr>
            <w:tcW w:w="1237" w:type="dxa"/>
            <w:shd w:val="clear" w:color="auto" w:fill="CCEDFF"/>
          </w:tcPr>
          <w:p w14:paraId="7326D1B8" w14:textId="77777777" w:rsidR="00EF3DFB" w:rsidRDefault="00D27C17">
            <w:pPr>
              <w:pStyle w:val="TableParagraph"/>
              <w:spacing w:before="25"/>
              <w:ind w:right="116"/>
              <w:jc w:val="right"/>
              <w:rPr>
                <w:sz w:val="20"/>
              </w:rPr>
            </w:pPr>
            <w:r>
              <w:rPr>
                <w:sz w:val="20"/>
              </w:rPr>
              <w:t>—</w:t>
            </w:r>
          </w:p>
        </w:tc>
        <w:tc>
          <w:tcPr>
            <w:tcW w:w="1262" w:type="dxa"/>
            <w:shd w:val="clear" w:color="auto" w:fill="CCEDFF"/>
          </w:tcPr>
          <w:p w14:paraId="7326D1B9" w14:textId="77777777" w:rsidR="00EF3DFB" w:rsidRDefault="00D27C17">
            <w:pPr>
              <w:pStyle w:val="TableParagraph"/>
              <w:spacing w:before="25"/>
              <w:ind w:right="103"/>
              <w:jc w:val="right"/>
              <w:rPr>
                <w:sz w:val="20"/>
              </w:rPr>
            </w:pPr>
            <w:r>
              <w:rPr>
                <w:sz w:val="20"/>
              </w:rPr>
              <w:t>377</w:t>
            </w:r>
          </w:p>
        </w:tc>
        <w:tc>
          <w:tcPr>
            <w:tcW w:w="1276" w:type="dxa"/>
            <w:shd w:val="clear" w:color="auto" w:fill="CCEDFF"/>
          </w:tcPr>
          <w:p w14:paraId="7326D1BA" w14:textId="77777777" w:rsidR="00EF3DFB" w:rsidRDefault="00D27C17">
            <w:pPr>
              <w:pStyle w:val="TableParagraph"/>
              <w:spacing w:before="25"/>
              <w:ind w:right="104"/>
              <w:jc w:val="right"/>
              <w:rPr>
                <w:sz w:val="20"/>
              </w:rPr>
            </w:pPr>
            <w:r>
              <w:rPr>
                <w:sz w:val="20"/>
              </w:rPr>
              <w:t>—</w:t>
            </w:r>
          </w:p>
        </w:tc>
        <w:tc>
          <w:tcPr>
            <w:tcW w:w="1276" w:type="dxa"/>
            <w:shd w:val="clear" w:color="auto" w:fill="CCEDFF"/>
          </w:tcPr>
          <w:p w14:paraId="7326D1BB" w14:textId="77777777" w:rsidR="00EF3DFB" w:rsidRDefault="00D27C17">
            <w:pPr>
              <w:pStyle w:val="TableParagraph"/>
              <w:spacing w:before="25"/>
              <w:ind w:right="105"/>
              <w:jc w:val="right"/>
              <w:rPr>
                <w:sz w:val="20"/>
              </w:rPr>
            </w:pPr>
            <w:r>
              <w:rPr>
                <w:sz w:val="20"/>
              </w:rPr>
              <w:t>—</w:t>
            </w:r>
          </w:p>
        </w:tc>
        <w:tc>
          <w:tcPr>
            <w:tcW w:w="1276" w:type="dxa"/>
            <w:shd w:val="clear" w:color="auto" w:fill="CCEDFF"/>
          </w:tcPr>
          <w:p w14:paraId="7326D1BC" w14:textId="77777777" w:rsidR="00EF3DFB" w:rsidRDefault="00D27C17">
            <w:pPr>
              <w:pStyle w:val="TableParagraph"/>
              <w:spacing w:before="25"/>
              <w:ind w:right="106"/>
              <w:jc w:val="right"/>
              <w:rPr>
                <w:sz w:val="20"/>
              </w:rPr>
            </w:pPr>
            <w:r>
              <w:rPr>
                <w:sz w:val="20"/>
              </w:rPr>
              <w:t>—</w:t>
            </w:r>
          </w:p>
        </w:tc>
        <w:tc>
          <w:tcPr>
            <w:tcW w:w="1253" w:type="dxa"/>
            <w:shd w:val="clear" w:color="auto" w:fill="CCEDFF"/>
          </w:tcPr>
          <w:p w14:paraId="7326D1BD" w14:textId="77777777" w:rsidR="00EF3DFB" w:rsidRDefault="00D27C17">
            <w:pPr>
              <w:pStyle w:val="TableParagraph"/>
              <w:spacing w:before="25"/>
              <w:ind w:right="84"/>
              <w:jc w:val="right"/>
              <w:rPr>
                <w:sz w:val="20"/>
              </w:rPr>
            </w:pPr>
            <w:r>
              <w:rPr>
                <w:sz w:val="20"/>
              </w:rPr>
              <w:t>377</w:t>
            </w:r>
          </w:p>
        </w:tc>
      </w:tr>
      <w:tr w:rsidR="00EF3DFB" w14:paraId="7326D1C6" w14:textId="77777777">
        <w:trPr>
          <w:trHeight w:val="285"/>
        </w:trPr>
        <w:tc>
          <w:tcPr>
            <w:tcW w:w="3000" w:type="dxa"/>
          </w:tcPr>
          <w:p w14:paraId="7326D1BF" w14:textId="77777777" w:rsidR="00EF3DFB" w:rsidRDefault="00D27C17">
            <w:pPr>
              <w:pStyle w:val="TableParagraph"/>
              <w:spacing w:before="4"/>
              <w:ind w:left="52"/>
              <w:rPr>
                <w:sz w:val="20"/>
              </w:rPr>
            </w:pPr>
            <w:r>
              <w:rPr>
                <w:sz w:val="20"/>
              </w:rPr>
              <w:t>Food</w:t>
            </w:r>
          </w:p>
        </w:tc>
        <w:tc>
          <w:tcPr>
            <w:tcW w:w="1237" w:type="dxa"/>
          </w:tcPr>
          <w:p w14:paraId="7326D1C0" w14:textId="77777777" w:rsidR="00EF3DFB" w:rsidRDefault="00D27C17">
            <w:pPr>
              <w:pStyle w:val="TableParagraph"/>
              <w:spacing w:before="25"/>
              <w:ind w:right="116"/>
              <w:jc w:val="right"/>
              <w:rPr>
                <w:sz w:val="20"/>
              </w:rPr>
            </w:pPr>
            <w:r>
              <w:rPr>
                <w:sz w:val="20"/>
              </w:rPr>
              <w:t>—</w:t>
            </w:r>
          </w:p>
        </w:tc>
        <w:tc>
          <w:tcPr>
            <w:tcW w:w="1262" w:type="dxa"/>
          </w:tcPr>
          <w:p w14:paraId="7326D1C1" w14:textId="77777777" w:rsidR="00EF3DFB" w:rsidRDefault="00D27C17">
            <w:pPr>
              <w:pStyle w:val="TableParagraph"/>
              <w:spacing w:before="25"/>
              <w:ind w:right="103"/>
              <w:jc w:val="right"/>
              <w:rPr>
                <w:sz w:val="20"/>
              </w:rPr>
            </w:pPr>
            <w:r>
              <w:rPr>
                <w:sz w:val="20"/>
              </w:rPr>
              <w:t>—</w:t>
            </w:r>
          </w:p>
        </w:tc>
        <w:tc>
          <w:tcPr>
            <w:tcW w:w="1276" w:type="dxa"/>
          </w:tcPr>
          <w:p w14:paraId="7326D1C2" w14:textId="77777777" w:rsidR="00EF3DFB" w:rsidRDefault="00D27C17">
            <w:pPr>
              <w:pStyle w:val="TableParagraph"/>
              <w:spacing w:before="25"/>
              <w:ind w:right="104"/>
              <w:jc w:val="right"/>
              <w:rPr>
                <w:sz w:val="20"/>
              </w:rPr>
            </w:pPr>
            <w:r>
              <w:rPr>
                <w:sz w:val="20"/>
              </w:rPr>
              <w:t>842</w:t>
            </w:r>
          </w:p>
        </w:tc>
        <w:tc>
          <w:tcPr>
            <w:tcW w:w="1276" w:type="dxa"/>
          </w:tcPr>
          <w:p w14:paraId="7326D1C3" w14:textId="77777777" w:rsidR="00EF3DFB" w:rsidRDefault="00D27C17">
            <w:pPr>
              <w:pStyle w:val="TableParagraph"/>
              <w:spacing w:before="25"/>
              <w:ind w:right="105"/>
              <w:jc w:val="right"/>
              <w:rPr>
                <w:sz w:val="20"/>
              </w:rPr>
            </w:pPr>
            <w:r>
              <w:rPr>
                <w:sz w:val="20"/>
              </w:rPr>
              <w:t>—</w:t>
            </w:r>
          </w:p>
        </w:tc>
        <w:tc>
          <w:tcPr>
            <w:tcW w:w="1276" w:type="dxa"/>
          </w:tcPr>
          <w:p w14:paraId="7326D1C4" w14:textId="77777777" w:rsidR="00EF3DFB" w:rsidRDefault="00D27C17">
            <w:pPr>
              <w:pStyle w:val="TableParagraph"/>
              <w:spacing w:before="25"/>
              <w:ind w:right="106"/>
              <w:jc w:val="right"/>
              <w:rPr>
                <w:sz w:val="20"/>
              </w:rPr>
            </w:pPr>
            <w:r>
              <w:rPr>
                <w:sz w:val="20"/>
              </w:rPr>
              <w:t>—</w:t>
            </w:r>
          </w:p>
        </w:tc>
        <w:tc>
          <w:tcPr>
            <w:tcW w:w="1253" w:type="dxa"/>
          </w:tcPr>
          <w:p w14:paraId="7326D1C5" w14:textId="77777777" w:rsidR="00EF3DFB" w:rsidRDefault="00D27C17">
            <w:pPr>
              <w:pStyle w:val="TableParagraph"/>
              <w:spacing w:before="25"/>
              <w:ind w:right="84"/>
              <w:jc w:val="right"/>
              <w:rPr>
                <w:sz w:val="20"/>
              </w:rPr>
            </w:pPr>
            <w:r>
              <w:rPr>
                <w:sz w:val="20"/>
              </w:rPr>
              <w:t>842</w:t>
            </w:r>
          </w:p>
        </w:tc>
      </w:tr>
      <w:tr w:rsidR="00EF3DFB" w14:paraId="7326D1CE" w14:textId="77777777">
        <w:trPr>
          <w:trHeight w:val="285"/>
        </w:trPr>
        <w:tc>
          <w:tcPr>
            <w:tcW w:w="3000" w:type="dxa"/>
            <w:shd w:val="clear" w:color="auto" w:fill="CCEDFF"/>
          </w:tcPr>
          <w:p w14:paraId="7326D1C7" w14:textId="77777777" w:rsidR="00EF3DFB" w:rsidRDefault="00D27C17">
            <w:pPr>
              <w:pStyle w:val="TableParagraph"/>
              <w:spacing w:before="4"/>
              <w:ind w:left="52"/>
              <w:rPr>
                <w:sz w:val="20"/>
              </w:rPr>
            </w:pPr>
            <w:r>
              <w:rPr>
                <w:sz w:val="20"/>
              </w:rPr>
              <w:t>Home Fragrance</w:t>
            </w:r>
          </w:p>
        </w:tc>
        <w:tc>
          <w:tcPr>
            <w:tcW w:w="1237" w:type="dxa"/>
            <w:shd w:val="clear" w:color="auto" w:fill="CCEDFF"/>
          </w:tcPr>
          <w:p w14:paraId="7326D1C8" w14:textId="77777777" w:rsidR="00EF3DFB" w:rsidRDefault="00D27C17">
            <w:pPr>
              <w:pStyle w:val="TableParagraph"/>
              <w:spacing w:before="25"/>
              <w:ind w:right="116"/>
              <w:jc w:val="right"/>
              <w:rPr>
                <w:sz w:val="20"/>
              </w:rPr>
            </w:pPr>
            <w:r>
              <w:rPr>
                <w:sz w:val="20"/>
              </w:rPr>
              <w:t>—</w:t>
            </w:r>
          </w:p>
        </w:tc>
        <w:tc>
          <w:tcPr>
            <w:tcW w:w="1262" w:type="dxa"/>
            <w:shd w:val="clear" w:color="auto" w:fill="CCEDFF"/>
          </w:tcPr>
          <w:p w14:paraId="7326D1C9" w14:textId="77777777" w:rsidR="00EF3DFB" w:rsidRDefault="00D27C17">
            <w:pPr>
              <w:pStyle w:val="TableParagraph"/>
              <w:spacing w:before="25"/>
              <w:ind w:right="103"/>
              <w:jc w:val="right"/>
              <w:rPr>
                <w:sz w:val="20"/>
              </w:rPr>
            </w:pPr>
            <w:r>
              <w:rPr>
                <w:sz w:val="20"/>
              </w:rPr>
              <w:t>—</w:t>
            </w:r>
          </w:p>
        </w:tc>
        <w:tc>
          <w:tcPr>
            <w:tcW w:w="1276" w:type="dxa"/>
            <w:shd w:val="clear" w:color="auto" w:fill="CCEDFF"/>
          </w:tcPr>
          <w:p w14:paraId="7326D1CA" w14:textId="77777777" w:rsidR="00EF3DFB" w:rsidRDefault="00D27C17">
            <w:pPr>
              <w:pStyle w:val="TableParagraph"/>
              <w:spacing w:before="25"/>
              <w:ind w:right="104"/>
              <w:jc w:val="right"/>
              <w:rPr>
                <w:sz w:val="20"/>
              </w:rPr>
            </w:pPr>
            <w:r>
              <w:rPr>
                <w:sz w:val="20"/>
              </w:rPr>
              <w:t>1,033</w:t>
            </w:r>
          </w:p>
        </w:tc>
        <w:tc>
          <w:tcPr>
            <w:tcW w:w="1276" w:type="dxa"/>
            <w:shd w:val="clear" w:color="auto" w:fill="CCEDFF"/>
          </w:tcPr>
          <w:p w14:paraId="7326D1CB" w14:textId="77777777" w:rsidR="00EF3DFB" w:rsidRDefault="00D27C17">
            <w:pPr>
              <w:pStyle w:val="TableParagraph"/>
              <w:spacing w:before="25"/>
              <w:ind w:right="105"/>
              <w:jc w:val="right"/>
              <w:rPr>
                <w:sz w:val="20"/>
              </w:rPr>
            </w:pPr>
            <w:r>
              <w:rPr>
                <w:sz w:val="20"/>
              </w:rPr>
              <w:t>—</w:t>
            </w:r>
          </w:p>
        </w:tc>
        <w:tc>
          <w:tcPr>
            <w:tcW w:w="1276" w:type="dxa"/>
            <w:shd w:val="clear" w:color="auto" w:fill="CCEDFF"/>
          </w:tcPr>
          <w:p w14:paraId="7326D1CC" w14:textId="77777777" w:rsidR="00EF3DFB" w:rsidRDefault="00D27C17">
            <w:pPr>
              <w:pStyle w:val="TableParagraph"/>
              <w:spacing w:before="25"/>
              <w:ind w:right="106"/>
              <w:jc w:val="right"/>
              <w:rPr>
                <w:sz w:val="20"/>
              </w:rPr>
            </w:pPr>
            <w:r>
              <w:rPr>
                <w:sz w:val="20"/>
              </w:rPr>
              <w:t>—</w:t>
            </w:r>
          </w:p>
        </w:tc>
        <w:tc>
          <w:tcPr>
            <w:tcW w:w="1253" w:type="dxa"/>
            <w:shd w:val="clear" w:color="auto" w:fill="CCEDFF"/>
          </w:tcPr>
          <w:p w14:paraId="7326D1CD" w14:textId="77777777" w:rsidR="00EF3DFB" w:rsidRDefault="00D27C17">
            <w:pPr>
              <w:pStyle w:val="TableParagraph"/>
              <w:spacing w:before="25"/>
              <w:ind w:right="84"/>
              <w:jc w:val="right"/>
              <w:rPr>
                <w:sz w:val="20"/>
              </w:rPr>
            </w:pPr>
            <w:r>
              <w:rPr>
                <w:sz w:val="20"/>
              </w:rPr>
              <w:t>1,033</w:t>
            </w:r>
          </w:p>
        </w:tc>
      </w:tr>
      <w:tr w:rsidR="00EF3DFB" w14:paraId="7326D1D6" w14:textId="77777777">
        <w:trPr>
          <w:trHeight w:val="285"/>
        </w:trPr>
        <w:tc>
          <w:tcPr>
            <w:tcW w:w="3000" w:type="dxa"/>
          </w:tcPr>
          <w:p w14:paraId="7326D1CF" w14:textId="77777777" w:rsidR="00EF3DFB" w:rsidRDefault="00D27C17">
            <w:pPr>
              <w:pStyle w:val="TableParagraph"/>
              <w:spacing w:before="4"/>
              <w:ind w:left="52"/>
              <w:rPr>
                <w:sz w:val="20"/>
              </w:rPr>
            </w:pPr>
            <w:r>
              <w:rPr>
                <w:sz w:val="20"/>
              </w:rPr>
              <w:t>Baby and Parenting</w:t>
            </w:r>
          </w:p>
        </w:tc>
        <w:tc>
          <w:tcPr>
            <w:tcW w:w="1237" w:type="dxa"/>
          </w:tcPr>
          <w:p w14:paraId="7326D1D0" w14:textId="77777777" w:rsidR="00EF3DFB" w:rsidRDefault="00D27C17">
            <w:pPr>
              <w:pStyle w:val="TableParagraph"/>
              <w:spacing w:before="25"/>
              <w:ind w:right="116"/>
              <w:jc w:val="right"/>
              <w:rPr>
                <w:sz w:val="20"/>
              </w:rPr>
            </w:pPr>
            <w:r>
              <w:rPr>
                <w:sz w:val="20"/>
              </w:rPr>
              <w:t>—</w:t>
            </w:r>
          </w:p>
        </w:tc>
        <w:tc>
          <w:tcPr>
            <w:tcW w:w="1262" w:type="dxa"/>
          </w:tcPr>
          <w:p w14:paraId="7326D1D1" w14:textId="77777777" w:rsidR="00EF3DFB" w:rsidRDefault="00D27C17">
            <w:pPr>
              <w:pStyle w:val="TableParagraph"/>
              <w:spacing w:before="25"/>
              <w:ind w:right="103"/>
              <w:jc w:val="right"/>
              <w:rPr>
                <w:sz w:val="20"/>
              </w:rPr>
            </w:pPr>
            <w:r>
              <w:rPr>
                <w:sz w:val="20"/>
              </w:rPr>
              <w:t>—</w:t>
            </w:r>
          </w:p>
        </w:tc>
        <w:tc>
          <w:tcPr>
            <w:tcW w:w="1276" w:type="dxa"/>
          </w:tcPr>
          <w:p w14:paraId="7326D1D2" w14:textId="77777777" w:rsidR="00EF3DFB" w:rsidRDefault="00D27C17">
            <w:pPr>
              <w:pStyle w:val="TableParagraph"/>
              <w:spacing w:before="25"/>
              <w:ind w:right="104"/>
              <w:jc w:val="right"/>
              <w:rPr>
                <w:sz w:val="20"/>
              </w:rPr>
            </w:pPr>
            <w:r>
              <w:rPr>
                <w:sz w:val="20"/>
              </w:rPr>
              <w:t>—</w:t>
            </w:r>
          </w:p>
        </w:tc>
        <w:tc>
          <w:tcPr>
            <w:tcW w:w="1276" w:type="dxa"/>
          </w:tcPr>
          <w:p w14:paraId="7326D1D3" w14:textId="77777777" w:rsidR="00EF3DFB" w:rsidRDefault="00D27C17">
            <w:pPr>
              <w:pStyle w:val="TableParagraph"/>
              <w:spacing w:before="25"/>
              <w:ind w:right="105"/>
              <w:jc w:val="right"/>
              <w:rPr>
                <w:sz w:val="20"/>
              </w:rPr>
            </w:pPr>
            <w:r>
              <w:rPr>
                <w:sz w:val="20"/>
              </w:rPr>
              <w:t>1,111</w:t>
            </w:r>
          </w:p>
        </w:tc>
        <w:tc>
          <w:tcPr>
            <w:tcW w:w="1276" w:type="dxa"/>
          </w:tcPr>
          <w:p w14:paraId="7326D1D4" w14:textId="77777777" w:rsidR="00EF3DFB" w:rsidRDefault="00D27C17">
            <w:pPr>
              <w:pStyle w:val="TableParagraph"/>
              <w:spacing w:before="25"/>
              <w:ind w:right="106"/>
              <w:jc w:val="right"/>
              <w:rPr>
                <w:sz w:val="20"/>
              </w:rPr>
            </w:pPr>
            <w:r>
              <w:rPr>
                <w:sz w:val="20"/>
              </w:rPr>
              <w:t>—</w:t>
            </w:r>
          </w:p>
        </w:tc>
        <w:tc>
          <w:tcPr>
            <w:tcW w:w="1253" w:type="dxa"/>
          </w:tcPr>
          <w:p w14:paraId="7326D1D5" w14:textId="77777777" w:rsidR="00EF3DFB" w:rsidRDefault="00D27C17">
            <w:pPr>
              <w:pStyle w:val="TableParagraph"/>
              <w:spacing w:before="25"/>
              <w:ind w:right="84"/>
              <w:jc w:val="right"/>
              <w:rPr>
                <w:sz w:val="20"/>
              </w:rPr>
            </w:pPr>
            <w:r>
              <w:rPr>
                <w:sz w:val="20"/>
              </w:rPr>
              <w:t>1,111</w:t>
            </w:r>
          </w:p>
        </w:tc>
      </w:tr>
      <w:tr w:rsidR="00EF3DFB" w14:paraId="7326D1DE" w14:textId="77777777">
        <w:trPr>
          <w:trHeight w:val="285"/>
        </w:trPr>
        <w:tc>
          <w:tcPr>
            <w:tcW w:w="3000" w:type="dxa"/>
            <w:shd w:val="clear" w:color="auto" w:fill="CCEDFF"/>
          </w:tcPr>
          <w:p w14:paraId="7326D1D7" w14:textId="77777777" w:rsidR="00EF3DFB" w:rsidRDefault="00D27C17">
            <w:pPr>
              <w:pStyle w:val="TableParagraph"/>
              <w:spacing w:before="4"/>
              <w:ind w:left="52"/>
              <w:rPr>
                <w:sz w:val="20"/>
              </w:rPr>
            </w:pPr>
            <w:r>
              <w:rPr>
                <w:sz w:val="20"/>
              </w:rPr>
              <w:t>Writing</w:t>
            </w:r>
          </w:p>
        </w:tc>
        <w:tc>
          <w:tcPr>
            <w:tcW w:w="1237" w:type="dxa"/>
            <w:shd w:val="clear" w:color="auto" w:fill="CCEDFF"/>
          </w:tcPr>
          <w:p w14:paraId="7326D1D8" w14:textId="77777777" w:rsidR="00EF3DFB" w:rsidRDefault="00D27C17">
            <w:pPr>
              <w:pStyle w:val="TableParagraph"/>
              <w:spacing w:before="25"/>
              <w:ind w:right="116"/>
              <w:jc w:val="right"/>
              <w:rPr>
                <w:sz w:val="20"/>
              </w:rPr>
            </w:pPr>
            <w:r>
              <w:rPr>
                <w:sz w:val="20"/>
              </w:rPr>
              <w:t>—</w:t>
            </w:r>
          </w:p>
        </w:tc>
        <w:tc>
          <w:tcPr>
            <w:tcW w:w="1262" w:type="dxa"/>
            <w:shd w:val="clear" w:color="auto" w:fill="CCEDFF"/>
          </w:tcPr>
          <w:p w14:paraId="7326D1D9" w14:textId="77777777" w:rsidR="00EF3DFB" w:rsidRDefault="00D27C17">
            <w:pPr>
              <w:pStyle w:val="TableParagraph"/>
              <w:spacing w:before="25"/>
              <w:ind w:right="103"/>
              <w:jc w:val="right"/>
              <w:rPr>
                <w:sz w:val="20"/>
              </w:rPr>
            </w:pPr>
            <w:r>
              <w:rPr>
                <w:sz w:val="20"/>
              </w:rPr>
              <w:t>—</w:t>
            </w:r>
          </w:p>
        </w:tc>
        <w:tc>
          <w:tcPr>
            <w:tcW w:w="1276" w:type="dxa"/>
            <w:shd w:val="clear" w:color="auto" w:fill="CCEDFF"/>
          </w:tcPr>
          <w:p w14:paraId="7326D1DA" w14:textId="77777777" w:rsidR="00EF3DFB" w:rsidRDefault="00D27C17">
            <w:pPr>
              <w:pStyle w:val="TableParagraph"/>
              <w:spacing w:before="25"/>
              <w:ind w:right="104"/>
              <w:jc w:val="right"/>
              <w:rPr>
                <w:sz w:val="20"/>
              </w:rPr>
            </w:pPr>
            <w:r>
              <w:rPr>
                <w:sz w:val="20"/>
              </w:rPr>
              <w:t>—</w:t>
            </w:r>
          </w:p>
        </w:tc>
        <w:tc>
          <w:tcPr>
            <w:tcW w:w="1276" w:type="dxa"/>
            <w:shd w:val="clear" w:color="auto" w:fill="CCEDFF"/>
          </w:tcPr>
          <w:p w14:paraId="7326D1DB" w14:textId="77777777" w:rsidR="00EF3DFB" w:rsidRDefault="00D27C17">
            <w:pPr>
              <w:pStyle w:val="TableParagraph"/>
              <w:spacing w:before="25"/>
              <w:ind w:right="105"/>
              <w:jc w:val="right"/>
              <w:rPr>
                <w:sz w:val="20"/>
              </w:rPr>
            </w:pPr>
            <w:r>
              <w:rPr>
                <w:sz w:val="20"/>
              </w:rPr>
              <w:t>1,845</w:t>
            </w:r>
          </w:p>
        </w:tc>
        <w:tc>
          <w:tcPr>
            <w:tcW w:w="1276" w:type="dxa"/>
            <w:shd w:val="clear" w:color="auto" w:fill="CCEDFF"/>
          </w:tcPr>
          <w:p w14:paraId="7326D1DC" w14:textId="77777777" w:rsidR="00EF3DFB" w:rsidRDefault="00D27C17">
            <w:pPr>
              <w:pStyle w:val="TableParagraph"/>
              <w:spacing w:before="25"/>
              <w:ind w:right="106"/>
              <w:jc w:val="right"/>
              <w:rPr>
                <w:sz w:val="20"/>
              </w:rPr>
            </w:pPr>
            <w:r>
              <w:rPr>
                <w:sz w:val="20"/>
              </w:rPr>
              <w:t>—</w:t>
            </w:r>
          </w:p>
        </w:tc>
        <w:tc>
          <w:tcPr>
            <w:tcW w:w="1253" w:type="dxa"/>
            <w:shd w:val="clear" w:color="auto" w:fill="CCEDFF"/>
          </w:tcPr>
          <w:p w14:paraId="7326D1DD" w14:textId="77777777" w:rsidR="00EF3DFB" w:rsidRDefault="00D27C17">
            <w:pPr>
              <w:pStyle w:val="TableParagraph"/>
              <w:spacing w:before="25"/>
              <w:ind w:right="84"/>
              <w:jc w:val="right"/>
              <w:rPr>
                <w:sz w:val="20"/>
              </w:rPr>
            </w:pPr>
            <w:r>
              <w:rPr>
                <w:sz w:val="20"/>
              </w:rPr>
              <w:t>1,845</w:t>
            </w:r>
          </w:p>
        </w:tc>
      </w:tr>
      <w:tr w:rsidR="00EF3DFB" w14:paraId="7326D1E6" w14:textId="77777777">
        <w:trPr>
          <w:trHeight w:val="275"/>
        </w:trPr>
        <w:tc>
          <w:tcPr>
            <w:tcW w:w="3000" w:type="dxa"/>
          </w:tcPr>
          <w:p w14:paraId="7326D1DF" w14:textId="77777777" w:rsidR="00EF3DFB" w:rsidRDefault="00D27C17">
            <w:pPr>
              <w:pStyle w:val="TableParagraph"/>
              <w:spacing w:before="4"/>
              <w:ind w:left="52"/>
              <w:rPr>
                <w:sz w:val="20"/>
              </w:rPr>
            </w:pPr>
            <w:r>
              <w:rPr>
                <w:sz w:val="20"/>
              </w:rPr>
              <w:t>Outdoor and Recreation</w:t>
            </w:r>
          </w:p>
        </w:tc>
        <w:tc>
          <w:tcPr>
            <w:tcW w:w="1237" w:type="dxa"/>
            <w:tcBorders>
              <w:bottom w:val="single" w:sz="8" w:space="0" w:color="000000"/>
            </w:tcBorders>
          </w:tcPr>
          <w:p w14:paraId="7326D1E0" w14:textId="77777777" w:rsidR="00EF3DFB" w:rsidRDefault="00D27C17">
            <w:pPr>
              <w:pStyle w:val="TableParagraph"/>
              <w:spacing w:before="25" w:line="230" w:lineRule="exact"/>
              <w:ind w:right="116"/>
              <w:jc w:val="right"/>
              <w:rPr>
                <w:sz w:val="20"/>
              </w:rPr>
            </w:pPr>
            <w:r>
              <w:rPr>
                <w:sz w:val="20"/>
              </w:rPr>
              <w:t>—</w:t>
            </w:r>
          </w:p>
        </w:tc>
        <w:tc>
          <w:tcPr>
            <w:tcW w:w="1262" w:type="dxa"/>
            <w:tcBorders>
              <w:bottom w:val="single" w:sz="8" w:space="0" w:color="000000"/>
            </w:tcBorders>
          </w:tcPr>
          <w:p w14:paraId="7326D1E1" w14:textId="77777777" w:rsidR="00EF3DFB" w:rsidRDefault="00D27C17">
            <w:pPr>
              <w:pStyle w:val="TableParagraph"/>
              <w:spacing w:before="25" w:line="230" w:lineRule="exact"/>
              <w:ind w:right="103"/>
              <w:jc w:val="right"/>
              <w:rPr>
                <w:sz w:val="20"/>
              </w:rPr>
            </w:pPr>
            <w:r>
              <w:rPr>
                <w:sz w:val="20"/>
              </w:rPr>
              <w:t>—</w:t>
            </w:r>
          </w:p>
        </w:tc>
        <w:tc>
          <w:tcPr>
            <w:tcW w:w="1276" w:type="dxa"/>
            <w:tcBorders>
              <w:bottom w:val="single" w:sz="8" w:space="0" w:color="000000"/>
            </w:tcBorders>
          </w:tcPr>
          <w:p w14:paraId="7326D1E2" w14:textId="77777777" w:rsidR="00EF3DFB" w:rsidRDefault="00D27C17">
            <w:pPr>
              <w:pStyle w:val="TableParagraph"/>
              <w:spacing w:before="25" w:line="230" w:lineRule="exact"/>
              <w:ind w:right="104"/>
              <w:jc w:val="right"/>
              <w:rPr>
                <w:sz w:val="20"/>
              </w:rPr>
            </w:pPr>
            <w:r>
              <w:rPr>
                <w:sz w:val="20"/>
              </w:rPr>
              <w:t>—</w:t>
            </w:r>
          </w:p>
        </w:tc>
        <w:tc>
          <w:tcPr>
            <w:tcW w:w="1276" w:type="dxa"/>
            <w:tcBorders>
              <w:bottom w:val="single" w:sz="8" w:space="0" w:color="000000"/>
            </w:tcBorders>
          </w:tcPr>
          <w:p w14:paraId="7326D1E3" w14:textId="77777777" w:rsidR="00EF3DFB" w:rsidRDefault="00D27C17">
            <w:pPr>
              <w:pStyle w:val="TableParagraph"/>
              <w:spacing w:before="25" w:line="230" w:lineRule="exact"/>
              <w:ind w:right="105"/>
              <w:jc w:val="right"/>
              <w:rPr>
                <w:sz w:val="20"/>
              </w:rPr>
            </w:pPr>
            <w:r>
              <w:rPr>
                <w:sz w:val="20"/>
              </w:rPr>
              <w:t>—</w:t>
            </w:r>
          </w:p>
        </w:tc>
        <w:tc>
          <w:tcPr>
            <w:tcW w:w="1276" w:type="dxa"/>
            <w:tcBorders>
              <w:bottom w:val="single" w:sz="8" w:space="0" w:color="000000"/>
            </w:tcBorders>
          </w:tcPr>
          <w:p w14:paraId="7326D1E4" w14:textId="77777777" w:rsidR="00EF3DFB" w:rsidRDefault="00D27C17">
            <w:pPr>
              <w:pStyle w:val="TableParagraph"/>
              <w:spacing w:before="25" w:line="230" w:lineRule="exact"/>
              <w:ind w:right="106"/>
              <w:jc w:val="right"/>
              <w:rPr>
                <w:sz w:val="20"/>
              </w:rPr>
            </w:pPr>
            <w:r>
              <w:rPr>
                <w:sz w:val="20"/>
              </w:rPr>
              <w:t>1,413</w:t>
            </w:r>
          </w:p>
        </w:tc>
        <w:tc>
          <w:tcPr>
            <w:tcW w:w="1253" w:type="dxa"/>
            <w:tcBorders>
              <w:bottom w:val="single" w:sz="8" w:space="0" w:color="000000"/>
            </w:tcBorders>
          </w:tcPr>
          <w:p w14:paraId="7326D1E5" w14:textId="77777777" w:rsidR="00EF3DFB" w:rsidRDefault="00D27C17">
            <w:pPr>
              <w:pStyle w:val="TableParagraph"/>
              <w:spacing w:before="25" w:line="230" w:lineRule="exact"/>
              <w:ind w:right="84"/>
              <w:jc w:val="right"/>
              <w:rPr>
                <w:sz w:val="20"/>
              </w:rPr>
            </w:pPr>
            <w:r>
              <w:rPr>
                <w:sz w:val="20"/>
              </w:rPr>
              <w:t>1,413</w:t>
            </w:r>
          </w:p>
        </w:tc>
      </w:tr>
      <w:tr w:rsidR="00EF3DFB" w14:paraId="7326D1EE" w14:textId="77777777">
        <w:trPr>
          <w:trHeight w:val="277"/>
        </w:trPr>
        <w:tc>
          <w:tcPr>
            <w:tcW w:w="3000" w:type="dxa"/>
            <w:shd w:val="clear" w:color="auto" w:fill="CCEDFF"/>
          </w:tcPr>
          <w:p w14:paraId="7326D1E7" w14:textId="77777777" w:rsidR="00EF3DFB" w:rsidRDefault="00D27C17">
            <w:pPr>
              <w:pStyle w:val="TableParagraph"/>
              <w:spacing w:line="224" w:lineRule="exact"/>
              <w:ind w:left="412"/>
              <w:rPr>
                <w:sz w:val="20"/>
              </w:rPr>
            </w:pPr>
            <w:r>
              <w:rPr>
                <w:sz w:val="20"/>
              </w:rPr>
              <w:t>Total</w:t>
            </w:r>
          </w:p>
        </w:tc>
        <w:tc>
          <w:tcPr>
            <w:tcW w:w="1237" w:type="dxa"/>
            <w:tcBorders>
              <w:top w:val="single" w:sz="8" w:space="0" w:color="000000"/>
              <w:bottom w:val="single" w:sz="8" w:space="0" w:color="000000"/>
            </w:tcBorders>
            <w:shd w:val="clear" w:color="auto" w:fill="CCEDFF"/>
          </w:tcPr>
          <w:p w14:paraId="7326D1E8" w14:textId="77777777" w:rsidR="00EF3DFB" w:rsidRDefault="00D27C17">
            <w:pPr>
              <w:pStyle w:val="TableParagraph"/>
              <w:tabs>
                <w:tab w:val="left" w:pos="615"/>
              </w:tabs>
              <w:spacing w:before="15"/>
              <w:ind w:right="116"/>
              <w:jc w:val="right"/>
              <w:rPr>
                <w:sz w:val="20"/>
              </w:rPr>
            </w:pPr>
            <w:r>
              <w:rPr>
                <w:sz w:val="20"/>
                <w:u w:val="single"/>
              </w:rPr>
              <w:t>$</w:t>
            </w:r>
            <w:r>
              <w:rPr>
                <w:sz w:val="20"/>
                <w:u w:val="single"/>
              </w:rPr>
              <w:tab/>
              <w:t>1,692</w:t>
            </w:r>
          </w:p>
        </w:tc>
        <w:tc>
          <w:tcPr>
            <w:tcW w:w="1262" w:type="dxa"/>
            <w:tcBorders>
              <w:top w:val="single" w:sz="8" w:space="0" w:color="000000"/>
              <w:bottom w:val="single" w:sz="8" w:space="0" w:color="000000"/>
            </w:tcBorders>
            <w:shd w:val="clear" w:color="auto" w:fill="CCEDFF"/>
          </w:tcPr>
          <w:p w14:paraId="7326D1E9" w14:textId="77777777" w:rsidR="00EF3DFB" w:rsidRDefault="00D27C17">
            <w:pPr>
              <w:pStyle w:val="TableParagraph"/>
              <w:tabs>
                <w:tab w:val="left" w:pos="615"/>
              </w:tabs>
              <w:spacing w:before="15"/>
              <w:ind w:right="103"/>
              <w:jc w:val="right"/>
              <w:rPr>
                <w:sz w:val="20"/>
              </w:rPr>
            </w:pPr>
            <w:r>
              <w:rPr>
                <w:sz w:val="20"/>
                <w:u w:val="single"/>
              </w:rPr>
              <w:t>$</w:t>
            </w:r>
            <w:r>
              <w:rPr>
                <w:sz w:val="20"/>
                <w:u w:val="single"/>
              </w:rPr>
              <w:tab/>
              <w:t>1,779</w:t>
            </w:r>
          </w:p>
        </w:tc>
        <w:tc>
          <w:tcPr>
            <w:tcW w:w="1276" w:type="dxa"/>
            <w:tcBorders>
              <w:top w:val="single" w:sz="8" w:space="0" w:color="000000"/>
              <w:bottom w:val="single" w:sz="8" w:space="0" w:color="000000"/>
            </w:tcBorders>
            <w:shd w:val="clear" w:color="auto" w:fill="CCEDFF"/>
          </w:tcPr>
          <w:p w14:paraId="7326D1EA" w14:textId="77777777" w:rsidR="00EF3DFB" w:rsidRDefault="00D27C17">
            <w:pPr>
              <w:pStyle w:val="TableParagraph"/>
              <w:tabs>
                <w:tab w:val="left" w:pos="615"/>
              </w:tabs>
              <w:spacing w:before="15"/>
              <w:ind w:right="104"/>
              <w:jc w:val="right"/>
              <w:rPr>
                <w:sz w:val="20"/>
              </w:rPr>
            </w:pPr>
            <w:r>
              <w:rPr>
                <w:sz w:val="20"/>
                <w:u w:val="single"/>
              </w:rPr>
              <w:t>$</w:t>
            </w:r>
            <w:r>
              <w:rPr>
                <w:sz w:val="20"/>
                <w:u w:val="single"/>
              </w:rPr>
              <w:tab/>
              <w:t>1,875</w:t>
            </w:r>
          </w:p>
        </w:tc>
        <w:tc>
          <w:tcPr>
            <w:tcW w:w="1276" w:type="dxa"/>
            <w:tcBorders>
              <w:top w:val="single" w:sz="8" w:space="0" w:color="000000"/>
              <w:bottom w:val="single" w:sz="8" w:space="0" w:color="000000"/>
            </w:tcBorders>
            <w:shd w:val="clear" w:color="auto" w:fill="CCEDFF"/>
          </w:tcPr>
          <w:p w14:paraId="7326D1EB" w14:textId="77777777" w:rsidR="00EF3DFB" w:rsidRDefault="00D27C17">
            <w:pPr>
              <w:pStyle w:val="TableParagraph"/>
              <w:tabs>
                <w:tab w:val="left" w:pos="615"/>
              </w:tabs>
              <w:spacing w:before="15"/>
              <w:ind w:right="105"/>
              <w:jc w:val="right"/>
              <w:rPr>
                <w:sz w:val="20"/>
              </w:rPr>
            </w:pPr>
            <w:r>
              <w:rPr>
                <w:sz w:val="20"/>
                <w:u w:val="single"/>
              </w:rPr>
              <w:t>$</w:t>
            </w:r>
            <w:r>
              <w:rPr>
                <w:sz w:val="20"/>
                <w:u w:val="single"/>
              </w:rPr>
              <w:tab/>
            </w:r>
            <w:r>
              <w:rPr>
                <w:sz w:val="20"/>
                <w:u w:val="single"/>
              </w:rPr>
              <w:t>2,956</w:t>
            </w:r>
          </w:p>
        </w:tc>
        <w:tc>
          <w:tcPr>
            <w:tcW w:w="1276" w:type="dxa"/>
            <w:tcBorders>
              <w:top w:val="single" w:sz="8" w:space="0" w:color="000000"/>
              <w:bottom w:val="single" w:sz="8" w:space="0" w:color="000000"/>
            </w:tcBorders>
            <w:shd w:val="clear" w:color="auto" w:fill="CCEDFF"/>
          </w:tcPr>
          <w:p w14:paraId="7326D1EC" w14:textId="77777777" w:rsidR="00EF3DFB" w:rsidRDefault="00D27C17">
            <w:pPr>
              <w:pStyle w:val="TableParagraph"/>
              <w:tabs>
                <w:tab w:val="left" w:pos="615"/>
              </w:tabs>
              <w:spacing w:before="15"/>
              <w:ind w:right="106"/>
              <w:jc w:val="right"/>
              <w:rPr>
                <w:sz w:val="20"/>
              </w:rPr>
            </w:pPr>
            <w:r>
              <w:rPr>
                <w:sz w:val="20"/>
                <w:u w:val="single"/>
              </w:rPr>
              <w:t>$</w:t>
            </w:r>
            <w:r>
              <w:rPr>
                <w:sz w:val="20"/>
                <w:u w:val="single"/>
              </w:rPr>
              <w:tab/>
              <w:t>1,413</w:t>
            </w:r>
          </w:p>
        </w:tc>
        <w:tc>
          <w:tcPr>
            <w:tcW w:w="1253" w:type="dxa"/>
            <w:tcBorders>
              <w:top w:val="single" w:sz="8" w:space="0" w:color="000000"/>
              <w:bottom w:val="single" w:sz="8" w:space="0" w:color="000000"/>
            </w:tcBorders>
            <w:shd w:val="clear" w:color="auto" w:fill="CCEDFF"/>
          </w:tcPr>
          <w:p w14:paraId="7326D1ED" w14:textId="77777777" w:rsidR="00EF3DFB" w:rsidRDefault="00D27C17">
            <w:pPr>
              <w:pStyle w:val="TableParagraph"/>
              <w:tabs>
                <w:tab w:val="left" w:pos="615"/>
              </w:tabs>
              <w:spacing w:before="15"/>
              <w:ind w:right="84"/>
              <w:jc w:val="right"/>
              <w:rPr>
                <w:sz w:val="20"/>
              </w:rPr>
            </w:pPr>
            <w:r>
              <w:rPr>
                <w:sz w:val="20"/>
                <w:u w:val="single"/>
              </w:rPr>
              <w:t>$</w:t>
            </w:r>
            <w:r>
              <w:rPr>
                <w:sz w:val="20"/>
                <w:u w:val="single"/>
              </w:rPr>
              <w:tab/>
              <w:t>9,715</w:t>
            </w:r>
          </w:p>
        </w:tc>
      </w:tr>
      <w:tr w:rsidR="00EF3DFB" w14:paraId="7326D1F6" w14:textId="77777777">
        <w:trPr>
          <w:trHeight w:val="262"/>
        </w:trPr>
        <w:tc>
          <w:tcPr>
            <w:tcW w:w="3000" w:type="dxa"/>
          </w:tcPr>
          <w:p w14:paraId="7326D1EF" w14:textId="77777777" w:rsidR="00EF3DFB" w:rsidRDefault="00D27C17">
            <w:pPr>
              <w:pStyle w:val="TableParagraph"/>
              <w:spacing w:line="204" w:lineRule="exact"/>
              <w:ind w:left="52"/>
              <w:rPr>
                <w:sz w:val="20"/>
              </w:rPr>
            </w:pPr>
            <w:r>
              <w:rPr>
                <w:sz w:val="20"/>
              </w:rPr>
              <w:t>North America</w:t>
            </w:r>
          </w:p>
        </w:tc>
        <w:tc>
          <w:tcPr>
            <w:tcW w:w="1237" w:type="dxa"/>
            <w:tcBorders>
              <w:top w:val="single" w:sz="8" w:space="0" w:color="000000"/>
            </w:tcBorders>
          </w:tcPr>
          <w:p w14:paraId="7326D1F0" w14:textId="77777777" w:rsidR="00EF3DFB" w:rsidRDefault="00D27C17">
            <w:pPr>
              <w:pStyle w:val="TableParagraph"/>
              <w:tabs>
                <w:tab w:val="left" w:pos="615"/>
              </w:tabs>
              <w:spacing w:line="225" w:lineRule="exact"/>
              <w:ind w:right="116"/>
              <w:jc w:val="right"/>
              <w:rPr>
                <w:sz w:val="20"/>
              </w:rPr>
            </w:pPr>
            <w:r>
              <w:rPr>
                <w:sz w:val="20"/>
              </w:rPr>
              <w:t>$</w:t>
            </w:r>
            <w:r>
              <w:rPr>
                <w:sz w:val="20"/>
              </w:rPr>
              <w:tab/>
              <w:t>1,101</w:t>
            </w:r>
          </w:p>
        </w:tc>
        <w:tc>
          <w:tcPr>
            <w:tcW w:w="1262" w:type="dxa"/>
            <w:tcBorders>
              <w:top w:val="single" w:sz="8" w:space="0" w:color="000000"/>
            </w:tcBorders>
          </w:tcPr>
          <w:p w14:paraId="7326D1F1" w14:textId="77777777" w:rsidR="00EF3DFB" w:rsidRDefault="00D27C17">
            <w:pPr>
              <w:pStyle w:val="TableParagraph"/>
              <w:tabs>
                <w:tab w:val="left" w:pos="615"/>
              </w:tabs>
              <w:spacing w:line="225" w:lineRule="exact"/>
              <w:ind w:right="103"/>
              <w:jc w:val="right"/>
              <w:rPr>
                <w:sz w:val="20"/>
              </w:rPr>
            </w:pPr>
            <w:r>
              <w:rPr>
                <w:sz w:val="20"/>
              </w:rPr>
              <w:t>$</w:t>
            </w:r>
            <w:r>
              <w:rPr>
                <w:sz w:val="20"/>
              </w:rPr>
              <w:tab/>
              <w:t>1,345</w:t>
            </w:r>
          </w:p>
        </w:tc>
        <w:tc>
          <w:tcPr>
            <w:tcW w:w="1276" w:type="dxa"/>
            <w:tcBorders>
              <w:top w:val="single" w:sz="8" w:space="0" w:color="000000"/>
            </w:tcBorders>
          </w:tcPr>
          <w:p w14:paraId="7326D1F2" w14:textId="77777777" w:rsidR="00EF3DFB" w:rsidRDefault="00D27C17">
            <w:pPr>
              <w:pStyle w:val="TableParagraph"/>
              <w:tabs>
                <w:tab w:val="left" w:pos="615"/>
              </w:tabs>
              <w:spacing w:line="225" w:lineRule="exact"/>
              <w:ind w:right="104"/>
              <w:jc w:val="right"/>
              <w:rPr>
                <w:sz w:val="20"/>
              </w:rPr>
            </w:pPr>
            <w:r>
              <w:rPr>
                <w:sz w:val="20"/>
              </w:rPr>
              <w:t>$</w:t>
            </w:r>
            <w:r>
              <w:rPr>
                <w:sz w:val="20"/>
              </w:rPr>
              <w:tab/>
              <w:t>1,469</w:t>
            </w:r>
          </w:p>
        </w:tc>
        <w:tc>
          <w:tcPr>
            <w:tcW w:w="1276" w:type="dxa"/>
            <w:tcBorders>
              <w:top w:val="single" w:sz="8" w:space="0" w:color="000000"/>
            </w:tcBorders>
          </w:tcPr>
          <w:p w14:paraId="7326D1F3" w14:textId="77777777" w:rsidR="00EF3DFB" w:rsidRDefault="00D27C17">
            <w:pPr>
              <w:pStyle w:val="TableParagraph"/>
              <w:tabs>
                <w:tab w:val="left" w:pos="615"/>
              </w:tabs>
              <w:spacing w:line="225" w:lineRule="exact"/>
              <w:ind w:right="105"/>
              <w:jc w:val="right"/>
              <w:rPr>
                <w:sz w:val="20"/>
              </w:rPr>
            </w:pPr>
            <w:r>
              <w:rPr>
                <w:sz w:val="20"/>
              </w:rPr>
              <w:t>$</w:t>
            </w:r>
            <w:r>
              <w:rPr>
                <w:sz w:val="20"/>
              </w:rPr>
              <w:tab/>
              <w:t>2,091</w:t>
            </w:r>
          </w:p>
        </w:tc>
        <w:tc>
          <w:tcPr>
            <w:tcW w:w="1276" w:type="dxa"/>
            <w:tcBorders>
              <w:top w:val="single" w:sz="8" w:space="0" w:color="000000"/>
            </w:tcBorders>
          </w:tcPr>
          <w:p w14:paraId="7326D1F4" w14:textId="77777777" w:rsidR="00EF3DFB" w:rsidRDefault="00D27C17">
            <w:pPr>
              <w:pStyle w:val="TableParagraph"/>
              <w:tabs>
                <w:tab w:val="left" w:pos="765"/>
              </w:tabs>
              <w:spacing w:line="225" w:lineRule="exact"/>
              <w:ind w:right="106"/>
              <w:jc w:val="right"/>
              <w:rPr>
                <w:sz w:val="20"/>
              </w:rPr>
            </w:pPr>
            <w:r>
              <w:rPr>
                <w:sz w:val="20"/>
              </w:rPr>
              <w:t>$</w:t>
            </w:r>
            <w:r>
              <w:rPr>
                <w:sz w:val="20"/>
              </w:rPr>
              <w:tab/>
              <w:t>914</w:t>
            </w:r>
          </w:p>
        </w:tc>
        <w:tc>
          <w:tcPr>
            <w:tcW w:w="1253" w:type="dxa"/>
            <w:tcBorders>
              <w:top w:val="single" w:sz="8" w:space="0" w:color="000000"/>
            </w:tcBorders>
          </w:tcPr>
          <w:p w14:paraId="7326D1F5" w14:textId="77777777" w:rsidR="00EF3DFB" w:rsidRDefault="00D27C17">
            <w:pPr>
              <w:pStyle w:val="TableParagraph"/>
              <w:tabs>
                <w:tab w:val="left" w:pos="615"/>
              </w:tabs>
              <w:spacing w:line="225" w:lineRule="exact"/>
              <w:ind w:right="84"/>
              <w:jc w:val="right"/>
              <w:rPr>
                <w:sz w:val="20"/>
              </w:rPr>
            </w:pPr>
            <w:r>
              <w:rPr>
                <w:sz w:val="20"/>
              </w:rPr>
              <w:t>$</w:t>
            </w:r>
            <w:r>
              <w:rPr>
                <w:sz w:val="20"/>
              </w:rPr>
              <w:tab/>
              <w:t>6,920</w:t>
            </w:r>
          </w:p>
        </w:tc>
      </w:tr>
      <w:tr w:rsidR="00EF3DFB" w14:paraId="7326D1FE" w14:textId="77777777">
        <w:trPr>
          <w:trHeight w:val="275"/>
        </w:trPr>
        <w:tc>
          <w:tcPr>
            <w:tcW w:w="3000" w:type="dxa"/>
            <w:shd w:val="clear" w:color="auto" w:fill="CCEDFF"/>
          </w:tcPr>
          <w:p w14:paraId="7326D1F7" w14:textId="77777777" w:rsidR="00EF3DFB" w:rsidRDefault="00D27C17">
            <w:pPr>
              <w:pStyle w:val="TableParagraph"/>
              <w:spacing w:before="4"/>
              <w:ind w:left="52"/>
              <w:rPr>
                <w:sz w:val="20"/>
              </w:rPr>
            </w:pPr>
            <w:r>
              <w:rPr>
                <w:sz w:val="20"/>
              </w:rPr>
              <w:t>International</w:t>
            </w:r>
          </w:p>
        </w:tc>
        <w:tc>
          <w:tcPr>
            <w:tcW w:w="1237" w:type="dxa"/>
            <w:tcBorders>
              <w:bottom w:val="single" w:sz="8" w:space="0" w:color="000000"/>
            </w:tcBorders>
            <w:shd w:val="clear" w:color="auto" w:fill="CCEDFF"/>
          </w:tcPr>
          <w:p w14:paraId="7326D1F8" w14:textId="77777777" w:rsidR="00EF3DFB" w:rsidRDefault="00D27C17">
            <w:pPr>
              <w:pStyle w:val="TableParagraph"/>
              <w:spacing w:before="25" w:line="230" w:lineRule="exact"/>
              <w:ind w:right="116"/>
              <w:jc w:val="right"/>
              <w:rPr>
                <w:sz w:val="20"/>
              </w:rPr>
            </w:pPr>
            <w:r>
              <w:rPr>
                <w:sz w:val="20"/>
              </w:rPr>
              <w:t>591</w:t>
            </w:r>
          </w:p>
        </w:tc>
        <w:tc>
          <w:tcPr>
            <w:tcW w:w="1262" w:type="dxa"/>
            <w:tcBorders>
              <w:bottom w:val="single" w:sz="8" w:space="0" w:color="000000"/>
            </w:tcBorders>
            <w:shd w:val="clear" w:color="auto" w:fill="CCEDFF"/>
          </w:tcPr>
          <w:p w14:paraId="7326D1F9" w14:textId="77777777" w:rsidR="00EF3DFB" w:rsidRDefault="00D27C17">
            <w:pPr>
              <w:pStyle w:val="TableParagraph"/>
              <w:spacing w:before="25" w:line="230" w:lineRule="exact"/>
              <w:ind w:right="103"/>
              <w:jc w:val="right"/>
              <w:rPr>
                <w:sz w:val="20"/>
              </w:rPr>
            </w:pPr>
            <w:r>
              <w:rPr>
                <w:sz w:val="20"/>
              </w:rPr>
              <w:t>434</w:t>
            </w:r>
          </w:p>
        </w:tc>
        <w:tc>
          <w:tcPr>
            <w:tcW w:w="1276" w:type="dxa"/>
            <w:tcBorders>
              <w:bottom w:val="single" w:sz="8" w:space="0" w:color="000000"/>
            </w:tcBorders>
            <w:shd w:val="clear" w:color="auto" w:fill="CCEDFF"/>
          </w:tcPr>
          <w:p w14:paraId="7326D1FA" w14:textId="77777777" w:rsidR="00EF3DFB" w:rsidRDefault="00D27C17">
            <w:pPr>
              <w:pStyle w:val="TableParagraph"/>
              <w:spacing w:before="25" w:line="230" w:lineRule="exact"/>
              <w:ind w:right="104"/>
              <w:jc w:val="right"/>
              <w:rPr>
                <w:sz w:val="20"/>
              </w:rPr>
            </w:pPr>
            <w:r>
              <w:rPr>
                <w:sz w:val="20"/>
              </w:rPr>
              <w:t>406</w:t>
            </w:r>
          </w:p>
        </w:tc>
        <w:tc>
          <w:tcPr>
            <w:tcW w:w="1276" w:type="dxa"/>
            <w:tcBorders>
              <w:bottom w:val="single" w:sz="8" w:space="0" w:color="000000"/>
            </w:tcBorders>
            <w:shd w:val="clear" w:color="auto" w:fill="CCEDFF"/>
          </w:tcPr>
          <w:p w14:paraId="7326D1FB" w14:textId="77777777" w:rsidR="00EF3DFB" w:rsidRDefault="00D27C17">
            <w:pPr>
              <w:pStyle w:val="TableParagraph"/>
              <w:spacing w:before="25" w:line="230" w:lineRule="exact"/>
              <w:ind w:right="105"/>
              <w:jc w:val="right"/>
              <w:rPr>
                <w:sz w:val="20"/>
              </w:rPr>
            </w:pPr>
            <w:r>
              <w:rPr>
                <w:sz w:val="20"/>
              </w:rPr>
              <w:t>865</w:t>
            </w:r>
          </w:p>
        </w:tc>
        <w:tc>
          <w:tcPr>
            <w:tcW w:w="1276" w:type="dxa"/>
            <w:tcBorders>
              <w:bottom w:val="single" w:sz="8" w:space="0" w:color="000000"/>
            </w:tcBorders>
            <w:shd w:val="clear" w:color="auto" w:fill="CCEDFF"/>
          </w:tcPr>
          <w:p w14:paraId="7326D1FC" w14:textId="77777777" w:rsidR="00EF3DFB" w:rsidRDefault="00D27C17">
            <w:pPr>
              <w:pStyle w:val="TableParagraph"/>
              <w:spacing w:before="25" w:line="230" w:lineRule="exact"/>
              <w:ind w:right="106"/>
              <w:jc w:val="right"/>
              <w:rPr>
                <w:sz w:val="20"/>
              </w:rPr>
            </w:pPr>
            <w:r>
              <w:rPr>
                <w:sz w:val="20"/>
              </w:rPr>
              <w:t>499</w:t>
            </w:r>
          </w:p>
        </w:tc>
        <w:tc>
          <w:tcPr>
            <w:tcW w:w="1253" w:type="dxa"/>
            <w:tcBorders>
              <w:bottom w:val="single" w:sz="8" w:space="0" w:color="000000"/>
            </w:tcBorders>
            <w:shd w:val="clear" w:color="auto" w:fill="CCEDFF"/>
          </w:tcPr>
          <w:p w14:paraId="7326D1FD" w14:textId="77777777" w:rsidR="00EF3DFB" w:rsidRDefault="00D27C17">
            <w:pPr>
              <w:pStyle w:val="TableParagraph"/>
              <w:spacing w:before="25" w:line="230" w:lineRule="exact"/>
              <w:ind w:right="84"/>
              <w:jc w:val="right"/>
              <w:rPr>
                <w:sz w:val="20"/>
              </w:rPr>
            </w:pPr>
            <w:r>
              <w:rPr>
                <w:sz w:val="20"/>
              </w:rPr>
              <w:t>2,795</w:t>
            </w:r>
          </w:p>
        </w:tc>
      </w:tr>
    </w:tbl>
    <w:p w14:paraId="7326D1FF" w14:textId="2AE73331" w:rsidR="00EF3DFB" w:rsidRDefault="00D27C17">
      <w:pPr>
        <w:pStyle w:val="BodyText"/>
        <w:tabs>
          <w:tab w:val="left" w:pos="3264"/>
          <w:tab w:val="left" w:pos="3880"/>
          <w:tab w:val="left" w:pos="4539"/>
          <w:tab w:val="left" w:pos="5155"/>
          <w:tab w:val="left" w:pos="5814"/>
          <w:tab w:val="left" w:pos="6430"/>
          <w:tab w:val="left" w:pos="7089"/>
          <w:tab w:val="left" w:pos="7705"/>
          <w:tab w:val="left" w:pos="8364"/>
          <w:tab w:val="left" w:pos="8980"/>
          <w:tab w:val="left" w:pos="9639"/>
          <w:tab w:val="left" w:pos="10255"/>
        </w:tabs>
        <w:ind w:left="625"/>
      </w:pPr>
      <w:r>
        <w:rPr>
          <w:noProof/>
        </w:rPr>
        <mc:AlternateContent>
          <mc:Choice Requires="wps">
            <w:drawing>
              <wp:anchor distT="0" distB="0" distL="0" distR="0" simplePos="0" relativeHeight="4768" behindDoc="0" locked="0" layoutInCell="1" allowOverlap="1" wp14:anchorId="7326D798" wp14:editId="1B0F095F">
                <wp:simplePos x="0" y="0"/>
                <wp:positionH relativeFrom="page">
                  <wp:posOffset>2433320</wp:posOffset>
                </wp:positionH>
                <wp:positionV relativeFrom="paragraph">
                  <wp:posOffset>190500</wp:posOffset>
                </wp:positionV>
                <wp:extent cx="762000" cy="0"/>
                <wp:effectExtent l="13970" t="12065" r="14605" b="6985"/>
                <wp:wrapTopAndBottom/>
                <wp:docPr id="14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C5D5" id="Line 128" o:spid="_x0000_s1026" style="position:absolute;z-index: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6pt,15pt" to="2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4792" behindDoc="0" locked="0" layoutInCell="1" allowOverlap="1" wp14:anchorId="7326D799" wp14:editId="68629FFB">
                <wp:simplePos x="0" y="0"/>
                <wp:positionH relativeFrom="page">
                  <wp:posOffset>3242945</wp:posOffset>
                </wp:positionH>
                <wp:positionV relativeFrom="paragraph">
                  <wp:posOffset>190500</wp:posOffset>
                </wp:positionV>
                <wp:extent cx="1571625" cy="0"/>
                <wp:effectExtent l="13970" t="12065" r="14605" b="6985"/>
                <wp:wrapTopAndBottom/>
                <wp:docPr id="14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B29D" id="Line 127" o:spid="_x0000_s1026" style="position:absolute;z-index:4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35pt,15pt" to="37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" strokeweight="1pt">
                <w10:wrap type="topAndBottom" anchorx="page"/>
              </v:line>
            </w:pict>
          </mc:Fallback>
        </mc:AlternateContent>
      </w:r>
      <w:r>
        <w:rPr>
          <w:noProof/>
        </w:rPr>
        <mc:AlternateContent>
          <mc:Choice Requires="wps">
            <w:drawing>
              <wp:anchor distT="0" distB="0" distL="0" distR="0" simplePos="0" relativeHeight="4816" behindDoc="0" locked="0" layoutInCell="1" allowOverlap="1" wp14:anchorId="7326D79A" wp14:editId="7AB7AD79">
                <wp:simplePos x="0" y="0"/>
                <wp:positionH relativeFrom="page">
                  <wp:posOffset>4862195</wp:posOffset>
                </wp:positionH>
                <wp:positionV relativeFrom="paragraph">
                  <wp:posOffset>190500</wp:posOffset>
                </wp:positionV>
                <wp:extent cx="762000" cy="0"/>
                <wp:effectExtent l="13970" t="12065" r="14605" b="6985"/>
                <wp:wrapTopAndBottom/>
                <wp:docPr id="1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0918" id="Line 126" o:spid="_x0000_s1026" style="position:absolute;z-index: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85pt,15pt" to="44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4840" behindDoc="0" locked="0" layoutInCell="1" allowOverlap="1" wp14:anchorId="7326D79B" wp14:editId="73B97CDC">
                <wp:simplePos x="0" y="0"/>
                <wp:positionH relativeFrom="page">
                  <wp:posOffset>5671820</wp:posOffset>
                </wp:positionH>
                <wp:positionV relativeFrom="paragraph">
                  <wp:posOffset>190500</wp:posOffset>
                </wp:positionV>
                <wp:extent cx="762000" cy="0"/>
                <wp:effectExtent l="13970" t="12065" r="14605" b="6985"/>
                <wp:wrapTopAndBottom/>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00197" id="Line 125" o:spid="_x0000_s1026" style="position:absolute;z-index:4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6.6pt,15pt" to="50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" strokeweight="1pt">
                <w10:wrap type="topAndBottom" anchorx="page"/>
              </v:line>
            </w:pict>
          </mc:Fallback>
        </mc:AlternateContent>
      </w:r>
      <w:r>
        <w:rPr>
          <w:noProof/>
        </w:rPr>
        <mc:AlternateContent>
          <mc:Choice Requires="wps">
            <w:drawing>
              <wp:anchor distT="0" distB="0" distL="0" distR="0" simplePos="0" relativeHeight="4864" behindDoc="0" locked="0" layoutInCell="1" allowOverlap="1" wp14:anchorId="7326D79C" wp14:editId="56F31132">
                <wp:simplePos x="0" y="0"/>
                <wp:positionH relativeFrom="page">
                  <wp:posOffset>6481445</wp:posOffset>
                </wp:positionH>
                <wp:positionV relativeFrom="paragraph">
                  <wp:posOffset>190500</wp:posOffset>
                </wp:positionV>
                <wp:extent cx="762000" cy="0"/>
                <wp:effectExtent l="13970" t="12065" r="14605" b="6985"/>
                <wp:wrapTopAndBottom/>
                <wp:docPr id="14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21B2" id="Line 124" o:spid="_x0000_s1026" style="position:absolute;z-index: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0.35pt,15pt" to="57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" strokeweight="1pt">
                <w10:wrap type="topAndBottom" anchorx="page"/>
              </v:line>
            </w:pict>
          </mc:Fallback>
        </mc:AlternateContent>
      </w:r>
      <w:r>
        <w:rPr>
          <w:position w:val="2"/>
        </w:rPr>
        <w:t>Total</w:t>
      </w:r>
      <w:r>
        <w:rPr>
          <w:position w:val="2"/>
        </w:rPr>
        <w:tab/>
      </w:r>
      <w:r>
        <w:rPr>
          <w:u w:val="single"/>
        </w:rPr>
        <w:t>$</w:t>
      </w:r>
      <w:r>
        <w:rPr>
          <w:u w:val="single"/>
        </w:rPr>
        <w:tab/>
        <w:t>1,692</w:t>
      </w:r>
      <w:r>
        <w:tab/>
      </w:r>
      <w:r>
        <w:rPr>
          <w:u w:val="single"/>
        </w:rPr>
        <w:t>$</w:t>
      </w:r>
      <w:r>
        <w:rPr>
          <w:u w:val="single"/>
        </w:rPr>
        <w:tab/>
        <w:t>1,779</w:t>
      </w:r>
      <w:r>
        <w:rPr>
          <w:u w:val="single"/>
        </w:rPr>
        <w:tab/>
        <w:t>$</w:t>
      </w:r>
      <w:r>
        <w:rPr>
          <w:u w:val="single"/>
        </w:rPr>
        <w:tab/>
        <w:t>1,875</w:t>
      </w:r>
      <w:r>
        <w:tab/>
      </w:r>
      <w:r>
        <w:rPr>
          <w:u w:val="single"/>
        </w:rPr>
        <w:t>$</w:t>
      </w:r>
      <w:r>
        <w:rPr>
          <w:u w:val="single"/>
        </w:rPr>
        <w:tab/>
        <w:t>2,956</w:t>
      </w:r>
      <w:r>
        <w:tab/>
      </w:r>
      <w:r>
        <w:rPr>
          <w:u w:val="single"/>
        </w:rPr>
        <w:t>$</w:t>
      </w:r>
      <w:r>
        <w:rPr>
          <w:u w:val="single"/>
        </w:rPr>
        <w:tab/>
        <w:t>1,413</w:t>
      </w:r>
      <w:r>
        <w:tab/>
      </w:r>
      <w:r>
        <w:rPr>
          <w:u w:val="single"/>
        </w:rPr>
        <w:t>$</w:t>
      </w:r>
      <w:r>
        <w:rPr>
          <w:u w:val="single"/>
        </w:rPr>
        <w:tab/>
        <w:t>9,715</w:t>
      </w:r>
    </w:p>
    <w:p w14:paraId="7326D200" w14:textId="77777777" w:rsidR="00EF3DFB" w:rsidRDefault="00EF3DFB">
      <w:pPr>
        <w:pStyle w:val="BodyText"/>
      </w:pPr>
    </w:p>
    <w:p w14:paraId="7326D201" w14:textId="77777777" w:rsidR="00EF3DFB" w:rsidRDefault="00EF3DFB">
      <w:pPr>
        <w:pStyle w:val="BodyText"/>
        <w:spacing w:before="1" w:after="1"/>
        <w:rPr>
          <w:sz w:val="12"/>
        </w:rPr>
      </w:pPr>
    </w:p>
    <w:tbl>
      <w:tblPr>
        <w:tblW w:w="0" w:type="auto"/>
        <w:tblInd w:w="257" w:type="dxa"/>
        <w:tblLayout w:type="fixed"/>
        <w:tblCellMar>
          <w:left w:w="0" w:type="dxa"/>
          <w:right w:w="0" w:type="dxa"/>
        </w:tblCellMar>
        <w:tblLook w:val="01E0" w:firstRow="1" w:lastRow="1" w:firstColumn="1" w:lastColumn="1" w:noHBand="0" w:noVBand="0"/>
      </w:tblPr>
      <w:tblGrid>
        <w:gridCol w:w="3000"/>
        <w:gridCol w:w="1028"/>
        <w:gridCol w:w="1081"/>
        <w:gridCol w:w="1080"/>
        <w:gridCol w:w="1095"/>
        <w:gridCol w:w="1078"/>
        <w:gridCol w:w="1071"/>
        <w:gridCol w:w="1059"/>
      </w:tblGrid>
      <w:tr w:rsidR="00EF3DFB" w14:paraId="7326D205" w14:textId="77777777">
        <w:trPr>
          <w:trHeight w:val="241"/>
        </w:trPr>
        <w:tc>
          <w:tcPr>
            <w:tcW w:w="6189" w:type="dxa"/>
            <w:gridSpan w:val="4"/>
          </w:tcPr>
          <w:p w14:paraId="7326D202" w14:textId="77777777" w:rsidR="00EF3DFB" w:rsidRDefault="00EF3DFB">
            <w:pPr>
              <w:pStyle w:val="TableParagraph"/>
              <w:rPr>
                <w:sz w:val="16"/>
              </w:rPr>
            </w:pPr>
          </w:p>
        </w:tc>
        <w:tc>
          <w:tcPr>
            <w:tcW w:w="1095" w:type="dxa"/>
            <w:tcBorders>
              <w:bottom w:val="single" w:sz="8" w:space="0" w:color="000000"/>
            </w:tcBorders>
          </w:tcPr>
          <w:p w14:paraId="7326D203" w14:textId="77777777" w:rsidR="00EF3DFB" w:rsidRDefault="00D27C17">
            <w:pPr>
              <w:pStyle w:val="TableParagraph"/>
              <w:spacing w:line="221" w:lineRule="exact"/>
              <w:ind w:left="353"/>
              <w:rPr>
                <w:b/>
                <w:sz w:val="20"/>
              </w:rPr>
            </w:pPr>
            <w:r>
              <w:rPr>
                <w:b/>
                <w:sz w:val="20"/>
              </w:rPr>
              <w:t>2018</w:t>
            </w:r>
          </w:p>
        </w:tc>
        <w:tc>
          <w:tcPr>
            <w:tcW w:w="3208" w:type="dxa"/>
            <w:gridSpan w:val="3"/>
            <w:tcBorders>
              <w:bottom w:val="single" w:sz="8" w:space="0" w:color="000000"/>
            </w:tcBorders>
          </w:tcPr>
          <w:p w14:paraId="7326D204" w14:textId="77777777" w:rsidR="00EF3DFB" w:rsidRDefault="00EF3DFB">
            <w:pPr>
              <w:pStyle w:val="TableParagraph"/>
              <w:rPr>
                <w:sz w:val="16"/>
              </w:rPr>
            </w:pPr>
          </w:p>
        </w:tc>
      </w:tr>
      <w:tr w:rsidR="00EF3DFB" w14:paraId="7326D211" w14:textId="77777777">
        <w:trPr>
          <w:trHeight w:val="346"/>
        </w:trPr>
        <w:tc>
          <w:tcPr>
            <w:tcW w:w="3000" w:type="dxa"/>
          </w:tcPr>
          <w:p w14:paraId="7326D206" w14:textId="77777777" w:rsidR="00EF3DFB" w:rsidRDefault="00EF3DFB">
            <w:pPr>
              <w:pStyle w:val="TableParagraph"/>
              <w:rPr>
                <w:sz w:val="18"/>
              </w:rPr>
            </w:pPr>
          </w:p>
        </w:tc>
        <w:tc>
          <w:tcPr>
            <w:tcW w:w="1028" w:type="dxa"/>
            <w:tcBorders>
              <w:top w:val="single" w:sz="8" w:space="0" w:color="000000"/>
            </w:tcBorders>
          </w:tcPr>
          <w:p w14:paraId="7326D207" w14:textId="77777777" w:rsidR="00EF3DFB" w:rsidRDefault="00D27C17">
            <w:pPr>
              <w:pStyle w:val="TableParagraph"/>
              <w:spacing w:before="32" w:line="160" w:lineRule="exact"/>
              <w:ind w:left="373" w:right="128" w:hanging="249"/>
              <w:rPr>
                <w:b/>
                <w:sz w:val="16"/>
              </w:rPr>
            </w:pPr>
            <w:r>
              <w:rPr>
                <w:b/>
                <w:sz w:val="16"/>
              </w:rPr>
              <w:t>Appliances and</w:t>
            </w:r>
          </w:p>
        </w:tc>
        <w:tc>
          <w:tcPr>
            <w:tcW w:w="1081" w:type="dxa"/>
            <w:tcBorders>
              <w:top w:val="single" w:sz="8" w:space="0" w:color="000000"/>
            </w:tcBorders>
          </w:tcPr>
          <w:p w14:paraId="7326D208" w14:textId="77777777" w:rsidR="00EF3DFB" w:rsidRDefault="00EF3DFB">
            <w:pPr>
              <w:pStyle w:val="TableParagraph"/>
              <w:spacing w:before="10"/>
              <w:rPr>
                <w:sz w:val="14"/>
              </w:rPr>
            </w:pPr>
          </w:p>
          <w:p w14:paraId="7326D209" w14:textId="77777777" w:rsidR="00EF3DFB" w:rsidRDefault="00D27C17">
            <w:pPr>
              <w:pStyle w:val="TableParagraph"/>
              <w:spacing w:line="155" w:lineRule="exact"/>
              <w:ind w:right="102"/>
              <w:jc w:val="right"/>
              <w:rPr>
                <w:b/>
                <w:sz w:val="16"/>
              </w:rPr>
            </w:pPr>
            <w:r>
              <w:rPr>
                <w:b/>
                <w:sz w:val="16"/>
              </w:rPr>
              <w:t>Commercial</w:t>
            </w:r>
          </w:p>
        </w:tc>
        <w:tc>
          <w:tcPr>
            <w:tcW w:w="1080" w:type="dxa"/>
            <w:tcBorders>
              <w:top w:val="single" w:sz="8" w:space="0" w:color="000000"/>
            </w:tcBorders>
          </w:tcPr>
          <w:p w14:paraId="7326D20A" w14:textId="77777777" w:rsidR="00EF3DFB" w:rsidRDefault="00EF3DFB">
            <w:pPr>
              <w:pStyle w:val="TableParagraph"/>
              <w:spacing w:before="10"/>
              <w:rPr>
                <w:sz w:val="14"/>
              </w:rPr>
            </w:pPr>
          </w:p>
          <w:p w14:paraId="7326D20B" w14:textId="77777777" w:rsidR="00EF3DFB" w:rsidRDefault="00D27C17">
            <w:pPr>
              <w:pStyle w:val="TableParagraph"/>
              <w:spacing w:line="155" w:lineRule="exact"/>
              <w:ind w:left="349"/>
              <w:rPr>
                <w:b/>
                <w:sz w:val="16"/>
              </w:rPr>
            </w:pPr>
            <w:r>
              <w:rPr>
                <w:b/>
                <w:sz w:val="16"/>
              </w:rPr>
              <w:t>Home</w:t>
            </w:r>
          </w:p>
        </w:tc>
        <w:tc>
          <w:tcPr>
            <w:tcW w:w="1095" w:type="dxa"/>
            <w:tcBorders>
              <w:top w:val="single" w:sz="8" w:space="0" w:color="000000"/>
            </w:tcBorders>
          </w:tcPr>
          <w:p w14:paraId="7326D20C" w14:textId="77777777" w:rsidR="00EF3DFB" w:rsidRDefault="00D27C17">
            <w:pPr>
              <w:pStyle w:val="TableParagraph"/>
              <w:spacing w:before="32" w:line="160" w:lineRule="exact"/>
              <w:ind w:left="424" w:right="206" w:hanging="187"/>
              <w:rPr>
                <w:b/>
                <w:sz w:val="16"/>
              </w:rPr>
            </w:pPr>
            <w:r>
              <w:rPr>
                <w:b/>
                <w:sz w:val="16"/>
              </w:rPr>
              <w:t>Learning and</w:t>
            </w:r>
          </w:p>
        </w:tc>
        <w:tc>
          <w:tcPr>
            <w:tcW w:w="1078" w:type="dxa"/>
            <w:tcBorders>
              <w:top w:val="single" w:sz="8" w:space="0" w:color="000000"/>
            </w:tcBorders>
          </w:tcPr>
          <w:p w14:paraId="7326D20D" w14:textId="77777777" w:rsidR="00EF3DFB" w:rsidRDefault="00EF3DFB">
            <w:pPr>
              <w:pStyle w:val="TableParagraph"/>
              <w:spacing w:before="10"/>
              <w:rPr>
                <w:sz w:val="14"/>
              </w:rPr>
            </w:pPr>
          </w:p>
          <w:p w14:paraId="7326D20E" w14:textId="77777777" w:rsidR="00EF3DFB" w:rsidRDefault="00D27C17">
            <w:pPr>
              <w:pStyle w:val="TableParagraph"/>
              <w:spacing w:line="155" w:lineRule="exact"/>
              <w:ind w:right="95"/>
              <w:jc w:val="right"/>
              <w:rPr>
                <w:b/>
                <w:sz w:val="16"/>
              </w:rPr>
            </w:pPr>
            <w:r>
              <w:rPr>
                <w:b/>
                <w:sz w:val="16"/>
              </w:rPr>
              <w:t>Outdoor and</w:t>
            </w:r>
          </w:p>
        </w:tc>
        <w:tc>
          <w:tcPr>
            <w:tcW w:w="1071" w:type="dxa"/>
            <w:tcBorders>
              <w:top w:val="single" w:sz="8" w:space="0" w:color="000000"/>
            </w:tcBorders>
          </w:tcPr>
          <w:p w14:paraId="7326D20F" w14:textId="77777777" w:rsidR="00EF3DFB" w:rsidRDefault="00EF3DFB">
            <w:pPr>
              <w:pStyle w:val="TableParagraph"/>
              <w:rPr>
                <w:sz w:val="18"/>
              </w:rPr>
            </w:pPr>
          </w:p>
        </w:tc>
        <w:tc>
          <w:tcPr>
            <w:tcW w:w="1059" w:type="dxa"/>
            <w:tcBorders>
              <w:top w:val="single" w:sz="8" w:space="0" w:color="000000"/>
            </w:tcBorders>
          </w:tcPr>
          <w:p w14:paraId="7326D210" w14:textId="77777777" w:rsidR="00EF3DFB" w:rsidRDefault="00EF3DFB">
            <w:pPr>
              <w:pStyle w:val="TableParagraph"/>
              <w:rPr>
                <w:sz w:val="18"/>
              </w:rPr>
            </w:pPr>
          </w:p>
        </w:tc>
      </w:tr>
      <w:tr w:rsidR="00EF3DFB" w14:paraId="7326D21A" w14:textId="77777777">
        <w:trPr>
          <w:trHeight w:val="183"/>
        </w:trPr>
        <w:tc>
          <w:tcPr>
            <w:tcW w:w="3000" w:type="dxa"/>
          </w:tcPr>
          <w:p w14:paraId="7326D212" w14:textId="77777777" w:rsidR="00EF3DFB" w:rsidRDefault="00EF3DFB">
            <w:pPr>
              <w:pStyle w:val="TableParagraph"/>
              <w:rPr>
                <w:sz w:val="12"/>
              </w:rPr>
            </w:pPr>
          </w:p>
        </w:tc>
        <w:tc>
          <w:tcPr>
            <w:tcW w:w="1028" w:type="dxa"/>
            <w:tcBorders>
              <w:bottom w:val="single" w:sz="8" w:space="0" w:color="000000"/>
            </w:tcBorders>
          </w:tcPr>
          <w:p w14:paraId="7326D213" w14:textId="77777777" w:rsidR="00EF3DFB" w:rsidRDefault="00D27C17">
            <w:pPr>
              <w:pStyle w:val="TableParagraph"/>
              <w:spacing w:line="163" w:lineRule="exact"/>
              <w:ind w:left="151"/>
              <w:rPr>
                <w:b/>
                <w:sz w:val="16"/>
              </w:rPr>
            </w:pPr>
            <w:r>
              <w:rPr>
                <w:b/>
                <w:sz w:val="16"/>
              </w:rPr>
              <w:t>Cookware</w:t>
            </w:r>
          </w:p>
        </w:tc>
        <w:tc>
          <w:tcPr>
            <w:tcW w:w="1081" w:type="dxa"/>
            <w:tcBorders>
              <w:bottom w:val="single" w:sz="8" w:space="0" w:color="000000"/>
            </w:tcBorders>
          </w:tcPr>
          <w:p w14:paraId="7326D214" w14:textId="77777777" w:rsidR="00EF3DFB" w:rsidRDefault="00D27C17">
            <w:pPr>
              <w:pStyle w:val="TableParagraph"/>
              <w:spacing w:line="163" w:lineRule="exact"/>
              <w:ind w:left="239"/>
              <w:rPr>
                <w:b/>
                <w:sz w:val="16"/>
              </w:rPr>
            </w:pPr>
            <w:r>
              <w:rPr>
                <w:b/>
                <w:sz w:val="16"/>
              </w:rPr>
              <w:t>Solutions</w:t>
            </w:r>
          </w:p>
        </w:tc>
        <w:tc>
          <w:tcPr>
            <w:tcW w:w="1080" w:type="dxa"/>
            <w:tcBorders>
              <w:bottom w:val="single" w:sz="8" w:space="0" w:color="000000"/>
            </w:tcBorders>
          </w:tcPr>
          <w:p w14:paraId="7326D215" w14:textId="77777777" w:rsidR="00EF3DFB" w:rsidRDefault="00D27C17">
            <w:pPr>
              <w:pStyle w:val="TableParagraph"/>
              <w:spacing w:line="163" w:lineRule="exact"/>
              <w:ind w:left="238"/>
              <w:rPr>
                <w:b/>
                <w:sz w:val="16"/>
              </w:rPr>
            </w:pPr>
            <w:r>
              <w:rPr>
                <w:b/>
                <w:sz w:val="16"/>
              </w:rPr>
              <w:t>Solutions</w:t>
            </w:r>
          </w:p>
        </w:tc>
        <w:tc>
          <w:tcPr>
            <w:tcW w:w="1095" w:type="dxa"/>
            <w:tcBorders>
              <w:bottom w:val="single" w:sz="8" w:space="0" w:color="000000"/>
            </w:tcBorders>
          </w:tcPr>
          <w:p w14:paraId="7326D216" w14:textId="77777777" w:rsidR="00EF3DFB" w:rsidRDefault="00D27C17">
            <w:pPr>
              <w:pStyle w:val="TableParagraph"/>
              <w:spacing w:line="163" w:lineRule="exact"/>
              <w:ind w:right="90"/>
              <w:jc w:val="right"/>
              <w:rPr>
                <w:b/>
                <w:sz w:val="16"/>
              </w:rPr>
            </w:pPr>
            <w:r>
              <w:rPr>
                <w:b/>
                <w:sz w:val="16"/>
              </w:rPr>
              <w:t>Development</w:t>
            </w:r>
          </w:p>
        </w:tc>
        <w:tc>
          <w:tcPr>
            <w:tcW w:w="1078" w:type="dxa"/>
            <w:tcBorders>
              <w:bottom w:val="single" w:sz="8" w:space="0" w:color="000000"/>
            </w:tcBorders>
          </w:tcPr>
          <w:p w14:paraId="7326D217" w14:textId="77777777" w:rsidR="00EF3DFB" w:rsidRDefault="00D27C17">
            <w:pPr>
              <w:pStyle w:val="TableParagraph"/>
              <w:spacing w:line="163" w:lineRule="exact"/>
              <w:ind w:left="165"/>
              <w:rPr>
                <w:b/>
                <w:sz w:val="16"/>
              </w:rPr>
            </w:pPr>
            <w:r>
              <w:rPr>
                <w:b/>
                <w:sz w:val="16"/>
              </w:rPr>
              <w:t>Recreation</w:t>
            </w:r>
          </w:p>
        </w:tc>
        <w:tc>
          <w:tcPr>
            <w:tcW w:w="1071" w:type="dxa"/>
            <w:tcBorders>
              <w:bottom w:val="single" w:sz="8" w:space="0" w:color="000000"/>
            </w:tcBorders>
          </w:tcPr>
          <w:p w14:paraId="7326D218" w14:textId="77777777" w:rsidR="00EF3DFB" w:rsidRDefault="00D27C17">
            <w:pPr>
              <w:pStyle w:val="TableParagraph"/>
              <w:spacing w:line="163" w:lineRule="exact"/>
              <w:ind w:left="336"/>
              <w:rPr>
                <w:b/>
                <w:sz w:val="16"/>
              </w:rPr>
            </w:pPr>
            <w:r>
              <w:rPr>
                <w:b/>
                <w:sz w:val="16"/>
              </w:rPr>
              <w:t>Other</w:t>
            </w:r>
          </w:p>
        </w:tc>
        <w:tc>
          <w:tcPr>
            <w:tcW w:w="1059" w:type="dxa"/>
            <w:tcBorders>
              <w:bottom w:val="single" w:sz="8" w:space="0" w:color="000000"/>
            </w:tcBorders>
          </w:tcPr>
          <w:p w14:paraId="7326D219" w14:textId="77777777" w:rsidR="00EF3DFB" w:rsidRDefault="00D27C17">
            <w:pPr>
              <w:pStyle w:val="TableParagraph"/>
              <w:spacing w:line="163" w:lineRule="exact"/>
              <w:ind w:left="367"/>
              <w:rPr>
                <w:b/>
                <w:sz w:val="16"/>
              </w:rPr>
            </w:pPr>
            <w:r>
              <w:rPr>
                <w:b/>
                <w:sz w:val="16"/>
              </w:rPr>
              <w:t>Total</w:t>
            </w:r>
          </w:p>
        </w:tc>
      </w:tr>
      <w:tr w:rsidR="00EF3DFB" w14:paraId="7326D223" w14:textId="77777777">
        <w:trPr>
          <w:trHeight w:val="275"/>
        </w:trPr>
        <w:tc>
          <w:tcPr>
            <w:tcW w:w="3000" w:type="dxa"/>
            <w:shd w:val="clear" w:color="auto" w:fill="CCEDFF"/>
          </w:tcPr>
          <w:p w14:paraId="7326D21B" w14:textId="77777777" w:rsidR="00EF3DFB" w:rsidRDefault="00D27C17">
            <w:pPr>
              <w:pStyle w:val="TableParagraph"/>
              <w:spacing w:before="15"/>
              <w:ind w:left="52"/>
              <w:rPr>
                <w:sz w:val="20"/>
              </w:rPr>
            </w:pPr>
            <w:r>
              <w:rPr>
                <w:sz w:val="20"/>
              </w:rPr>
              <w:t>Appliances and Cookware</w:t>
            </w:r>
          </w:p>
        </w:tc>
        <w:tc>
          <w:tcPr>
            <w:tcW w:w="1028" w:type="dxa"/>
            <w:tcBorders>
              <w:top w:val="single" w:sz="8" w:space="0" w:color="000000"/>
            </w:tcBorders>
            <w:shd w:val="clear" w:color="auto" w:fill="CCEDFF"/>
          </w:tcPr>
          <w:p w14:paraId="7326D21C" w14:textId="77777777" w:rsidR="00EF3DFB" w:rsidRDefault="00D27C17">
            <w:pPr>
              <w:pStyle w:val="TableParagraph"/>
              <w:tabs>
                <w:tab w:val="left" w:pos="420"/>
              </w:tabs>
              <w:spacing w:before="15"/>
              <w:ind w:right="102"/>
              <w:jc w:val="right"/>
              <w:rPr>
                <w:sz w:val="20"/>
              </w:rPr>
            </w:pPr>
            <w:r>
              <w:rPr>
                <w:sz w:val="20"/>
              </w:rPr>
              <w:t>$</w:t>
            </w:r>
            <w:r>
              <w:rPr>
                <w:sz w:val="20"/>
              </w:rPr>
              <w:tab/>
              <w:t>1,819</w:t>
            </w:r>
          </w:p>
        </w:tc>
        <w:tc>
          <w:tcPr>
            <w:tcW w:w="1081" w:type="dxa"/>
            <w:tcBorders>
              <w:top w:val="single" w:sz="8" w:space="0" w:color="000000"/>
            </w:tcBorders>
            <w:shd w:val="clear" w:color="auto" w:fill="CCEDFF"/>
          </w:tcPr>
          <w:p w14:paraId="7326D21D" w14:textId="77777777" w:rsidR="00EF3DFB" w:rsidRDefault="00D27C17">
            <w:pPr>
              <w:pStyle w:val="TableParagraph"/>
              <w:tabs>
                <w:tab w:val="left" w:pos="670"/>
              </w:tabs>
              <w:spacing w:before="15"/>
              <w:ind w:right="103"/>
              <w:jc w:val="right"/>
              <w:rPr>
                <w:sz w:val="20"/>
              </w:rPr>
            </w:pPr>
            <w:r>
              <w:rPr>
                <w:sz w:val="20"/>
              </w:rPr>
              <w:t>$</w:t>
            </w:r>
            <w:r>
              <w:rPr>
                <w:sz w:val="20"/>
              </w:rPr>
              <w:tab/>
              <w:t>—</w:t>
            </w:r>
          </w:p>
        </w:tc>
        <w:tc>
          <w:tcPr>
            <w:tcW w:w="1080" w:type="dxa"/>
            <w:tcBorders>
              <w:top w:val="single" w:sz="8" w:space="0" w:color="000000"/>
            </w:tcBorders>
            <w:shd w:val="clear" w:color="auto" w:fill="CCEDFF"/>
          </w:tcPr>
          <w:p w14:paraId="7326D21E" w14:textId="77777777" w:rsidR="00EF3DFB" w:rsidRDefault="00D27C17">
            <w:pPr>
              <w:pStyle w:val="TableParagraph"/>
              <w:tabs>
                <w:tab w:val="left" w:pos="670"/>
              </w:tabs>
              <w:spacing w:before="15"/>
              <w:ind w:right="103"/>
              <w:jc w:val="right"/>
              <w:rPr>
                <w:sz w:val="20"/>
              </w:rPr>
            </w:pPr>
            <w:r>
              <w:rPr>
                <w:sz w:val="20"/>
              </w:rPr>
              <w:t>$</w:t>
            </w:r>
            <w:r>
              <w:rPr>
                <w:sz w:val="20"/>
              </w:rPr>
              <w:tab/>
              <w:t>—</w:t>
            </w:r>
          </w:p>
        </w:tc>
        <w:tc>
          <w:tcPr>
            <w:tcW w:w="1095" w:type="dxa"/>
            <w:tcBorders>
              <w:top w:val="single" w:sz="8" w:space="0" w:color="000000"/>
            </w:tcBorders>
            <w:shd w:val="clear" w:color="auto" w:fill="CCEDFF"/>
          </w:tcPr>
          <w:p w14:paraId="7326D21F" w14:textId="77777777" w:rsidR="00EF3DFB" w:rsidRDefault="00D27C17">
            <w:pPr>
              <w:pStyle w:val="TableParagraph"/>
              <w:tabs>
                <w:tab w:val="left" w:pos="670"/>
              </w:tabs>
              <w:spacing w:before="15"/>
              <w:ind w:right="118"/>
              <w:jc w:val="right"/>
              <w:rPr>
                <w:sz w:val="20"/>
              </w:rPr>
            </w:pPr>
            <w:r>
              <w:rPr>
                <w:sz w:val="20"/>
              </w:rPr>
              <w:t>$</w:t>
            </w:r>
            <w:r>
              <w:rPr>
                <w:sz w:val="20"/>
              </w:rPr>
              <w:tab/>
              <w:t>—</w:t>
            </w:r>
          </w:p>
        </w:tc>
        <w:tc>
          <w:tcPr>
            <w:tcW w:w="1078" w:type="dxa"/>
            <w:tcBorders>
              <w:top w:val="single" w:sz="8" w:space="0" w:color="000000"/>
            </w:tcBorders>
            <w:shd w:val="clear" w:color="auto" w:fill="CCEDFF"/>
          </w:tcPr>
          <w:p w14:paraId="7326D220" w14:textId="77777777" w:rsidR="00EF3DFB" w:rsidRDefault="00D27C17">
            <w:pPr>
              <w:pStyle w:val="TableParagraph"/>
              <w:tabs>
                <w:tab w:val="left" w:pos="670"/>
              </w:tabs>
              <w:spacing w:before="15"/>
              <w:ind w:right="116"/>
              <w:jc w:val="right"/>
              <w:rPr>
                <w:sz w:val="20"/>
              </w:rPr>
            </w:pPr>
            <w:r>
              <w:rPr>
                <w:sz w:val="20"/>
              </w:rPr>
              <w:t>$</w:t>
            </w:r>
            <w:r>
              <w:rPr>
                <w:sz w:val="20"/>
              </w:rPr>
              <w:tab/>
              <w:t>—</w:t>
            </w:r>
          </w:p>
        </w:tc>
        <w:tc>
          <w:tcPr>
            <w:tcW w:w="1071" w:type="dxa"/>
            <w:tcBorders>
              <w:top w:val="single" w:sz="8" w:space="0" w:color="000000"/>
            </w:tcBorders>
            <w:shd w:val="clear" w:color="auto" w:fill="CCEDFF"/>
          </w:tcPr>
          <w:p w14:paraId="7326D221" w14:textId="77777777" w:rsidR="00EF3DFB" w:rsidRDefault="00D27C17">
            <w:pPr>
              <w:pStyle w:val="TableParagraph"/>
              <w:tabs>
                <w:tab w:val="left" w:pos="670"/>
              </w:tabs>
              <w:spacing w:before="15"/>
              <w:ind w:right="107"/>
              <w:jc w:val="right"/>
              <w:rPr>
                <w:sz w:val="20"/>
              </w:rPr>
            </w:pPr>
            <w:r>
              <w:rPr>
                <w:sz w:val="20"/>
              </w:rPr>
              <w:t>$</w:t>
            </w:r>
            <w:r>
              <w:rPr>
                <w:sz w:val="20"/>
              </w:rPr>
              <w:tab/>
              <w:t>—</w:t>
            </w:r>
          </w:p>
        </w:tc>
        <w:tc>
          <w:tcPr>
            <w:tcW w:w="1059" w:type="dxa"/>
            <w:tcBorders>
              <w:top w:val="single" w:sz="8" w:space="0" w:color="000000"/>
            </w:tcBorders>
            <w:shd w:val="clear" w:color="auto" w:fill="CCEDFF"/>
          </w:tcPr>
          <w:p w14:paraId="7326D222" w14:textId="77777777" w:rsidR="00EF3DFB" w:rsidRDefault="00D27C17">
            <w:pPr>
              <w:pStyle w:val="TableParagraph"/>
              <w:tabs>
                <w:tab w:val="left" w:pos="420"/>
              </w:tabs>
              <w:spacing w:before="15"/>
              <w:ind w:right="86"/>
              <w:jc w:val="right"/>
              <w:rPr>
                <w:sz w:val="20"/>
              </w:rPr>
            </w:pPr>
            <w:r>
              <w:rPr>
                <w:sz w:val="20"/>
              </w:rPr>
              <w:t>$</w:t>
            </w:r>
            <w:r>
              <w:rPr>
                <w:sz w:val="20"/>
              </w:rPr>
              <w:tab/>
              <w:t>1,819</w:t>
            </w:r>
          </w:p>
        </w:tc>
      </w:tr>
      <w:tr w:rsidR="00EF3DFB" w14:paraId="7326D22C" w14:textId="77777777">
        <w:trPr>
          <w:trHeight w:val="285"/>
        </w:trPr>
        <w:tc>
          <w:tcPr>
            <w:tcW w:w="3000" w:type="dxa"/>
          </w:tcPr>
          <w:p w14:paraId="7326D224" w14:textId="77777777" w:rsidR="00EF3DFB" w:rsidRDefault="00D27C17">
            <w:pPr>
              <w:pStyle w:val="TableParagraph"/>
              <w:spacing w:before="25"/>
              <w:ind w:left="52"/>
              <w:rPr>
                <w:sz w:val="20"/>
              </w:rPr>
            </w:pPr>
            <w:r>
              <w:rPr>
                <w:sz w:val="20"/>
              </w:rPr>
              <w:t>Commercial</w:t>
            </w:r>
          </w:p>
        </w:tc>
        <w:tc>
          <w:tcPr>
            <w:tcW w:w="1028" w:type="dxa"/>
          </w:tcPr>
          <w:p w14:paraId="7326D225" w14:textId="77777777" w:rsidR="00EF3DFB" w:rsidRDefault="00D27C17">
            <w:pPr>
              <w:pStyle w:val="TableParagraph"/>
              <w:spacing w:before="25"/>
              <w:ind w:right="102"/>
              <w:jc w:val="right"/>
              <w:rPr>
                <w:sz w:val="20"/>
              </w:rPr>
            </w:pPr>
            <w:r>
              <w:rPr>
                <w:sz w:val="20"/>
              </w:rPr>
              <w:t>—</w:t>
            </w:r>
          </w:p>
        </w:tc>
        <w:tc>
          <w:tcPr>
            <w:tcW w:w="1081" w:type="dxa"/>
          </w:tcPr>
          <w:p w14:paraId="7326D226" w14:textId="77777777" w:rsidR="00EF3DFB" w:rsidRDefault="00D27C17">
            <w:pPr>
              <w:pStyle w:val="TableParagraph"/>
              <w:spacing w:before="25"/>
              <w:ind w:right="103"/>
              <w:jc w:val="right"/>
              <w:rPr>
                <w:sz w:val="20"/>
              </w:rPr>
            </w:pPr>
            <w:r>
              <w:rPr>
                <w:sz w:val="20"/>
              </w:rPr>
              <w:t>1,523</w:t>
            </w:r>
          </w:p>
        </w:tc>
        <w:tc>
          <w:tcPr>
            <w:tcW w:w="1080" w:type="dxa"/>
          </w:tcPr>
          <w:p w14:paraId="7326D227" w14:textId="77777777" w:rsidR="00EF3DFB" w:rsidRDefault="00D27C17">
            <w:pPr>
              <w:pStyle w:val="TableParagraph"/>
              <w:spacing w:before="25"/>
              <w:ind w:right="103"/>
              <w:jc w:val="right"/>
              <w:rPr>
                <w:sz w:val="20"/>
              </w:rPr>
            </w:pPr>
            <w:r>
              <w:rPr>
                <w:sz w:val="20"/>
              </w:rPr>
              <w:t>—</w:t>
            </w:r>
          </w:p>
        </w:tc>
        <w:tc>
          <w:tcPr>
            <w:tcW w:w="1095" w:type="dxa"/>
          </w:tcPr>
          <w:p w14:paraId="7326D228" w14:textId="77777777" w:rsidR="00EF3DFB" w:rsidRDefault="00D27C17">
            <w:pPr>
              <w:pStyle w:val="TableParagraph"/>
              <w:spacing w:before="25"/>
              <w:ind w:right="118"/>
              <w:jc w:val="right"/>
              <w:rPr>
                <w:sz w:val="20"/>
              </w:rPr>
            </w:pPr>
            <w:r>
              <w:rPr>
                <w:sz w:val="20"/>
              </w:rPr>
              <w:t>—</w:t>
            </w:r>
          </w:p>
        </w:tc>
        <w:tc>
          <w:tcPr>
            <w:tcW w:w="1078" w:type="dxa"/>
          </w:tcPr>
          <w:p w14:paraId="7326D229" w14:textId="77777777" w:rsidR="00EF3DFB" w:rsidRDefault="00D27C17">
            <w:pPr>
              <w:pStyle w:val="TableParagraph"/>
              <w:spacing w:before="25"/>
              <w:ind w:right="116"/>
              <w:jc w:val="right"/>
              <w:rPr>
                <w:sz w:val="20"/>
              </w:rPr>
            </w:pPr>
            <w:r>
              <w:rPr>
                <w:sz w:val="20"/>
              </w:rPr>
              <w:t>—</w:t>
            </w:r>
          </w:p>
        </w:tc>
        <w:tc>
          <w:tcPr>
            <w:tcW w:w="1071" w:type="dxa"/>
          </w:tcPr>
          <w:p w14:paraId="7326D22A" w14:textId="77777777" w:rsidR="00EF3DFB" w:rsidRDefault="00D27C17">
            <w:pPr>
              <w:pStyle w:val="TableParagraph"/>
              <w:spacing w:before="25"/>
              <w:ind w:right="107"/>
              <w:jc w:val="right"/>
              <w:rPr>
                <w:sz w:val="20"/>
              </w:rPr>
            </w:pPr>
            <w:r>
              <w:rPr>
                <w:sz w:val="20"/>
              </w:rPr>
              <w:t>—</w:t>
            </w:r>
          </w:p>
        </w:tc>
        <w:tc>
          <w:tcPr>
            <w:tcW w:w="1059" w:type="dxa"/>
          </w:tcPr>
          <w:p w14:paraId="7326D22B" w14:textId="77777777" w:rsidR="00EF3DFB" w:rsidRDefault="00D27C17">
            <w:pPr>
              <w:pStyle w:val="TableParagraph"/>
              <w:spacing w:before="25"/>
              <w:ind w:right="86"/>
              <w:jc w:val="right"/>
              <w:rPr>
                <w:sz w:val="20"/>
              </w:rPr>
            </w:pPr>
            <w:r>
              <w:rPr>
                <w:sz w:val="20"/>
              </w:rPr>
              <w:t>1,523</w:t>
            </w:r>
          </w:p>
        </w:tc>
      </w:tr>
      <w:tr w:rsidR="00EF3DFB" w14:paraId="7326D235" w14:textId="77777777">
        <w:trPr>
          <w:trHeight w:val="285"/>
        </w:trPr>
        <w:tc>
          <w:tcPr>
            <w:tcW w:w="3000" w:type="dxa"/>
            <w:shd w:val="clear" w:color="auto" w:fill="CCEDFF"/>
          </w:tcPr>
          <w:p w14:paraId="7326D22D" w14:textId="77777777" w:rsidR="00EF3DFB" w:rsidRDefault="00D27C17">
            <w:pPr>
              <w:pStyle w:val="TableParagraph"/>
              <w:spacing w:before="25"/>
              <w:ind w:left="52"/>
              <w:rPr>
                <w:sz w:val="20"/>
              </w:rPr>
            </w:pPr>
            <w:r>
              <w:rPr>
                <w:sz w:val="20"/>
              </w:rPr>
              <w:t>Connected Home Security</w:t>
            </w:r>
          </w:p>
        </w:tc>
        <w:tc>
          <w:tcPr>
            <w:tcW w:w="1028" w:type="dxa"/>
            <w:shd w:val="clear" w:color="auto" w:fill="CCEDFF"/>
          </w:tcPr>
          <w:p w14:paraId="7326D22E" w14:textId="77777777" w:rsidR="00EF3DFB" w:rsidRDefault="00D27C17">
            <w:pPr>
              <w:pStyle w:val="TableParagraph"/>
              <w:spacing w:before="25"/>
              <w:ind w:right="102"/>
              <w:jc w:val="right"/>
              <w:rPr>
                <w:sz w:val="20"/>
              </w:rPr>
            </w:pPr>
            <w:r>
              <w:rPr>
                <w:sz w:val="20"/>
              </w:rPr>
              <w:t>—</w:t>
            </w:r>
          </w:p>
        </w:tc>
        <w:tc>
          <w:tcPr>
            <w:tcW w:w="1081" w:type="dxa"/>
            <w:shd w:val="clear" w:color="auto" w:fill="CCEDFF"/>
          </w:tcPr>
          <w:p w14:paraId="7326D22F" w14:textId="77777777" w:rsidR="00EF3DFB" w:rsidRDefault="00D27C17">
            <w:pPr>
              <w:pStyle w:val="TableParagraph"/>
              <w:spacing w:before="25"/>
              <w:ind w:right="103"/>
              <w:jc w:val="right"/>
              <w:rPr>
                <w:sz w:val="20"/>
              </w:rPr>
            </w:pPr>
            <w:r>
              <w:rPr>
                <w:sz w:val="20"/>
              </w:rPr>
              <w:t>377</w:t>
            </w:r>
          </w:p>
        </w:tc>
        <w:tc>
          <w:tcPr>
            <w:tcW w:w="1080" w:type="dxa"/>
            <w:shd w:val="clear" w:color="auto" w:fill="CCEDFF"/>
          </w:tcPr>
          <w:p w14:paraId="7326D230" w14:textId="77777777" w:rsidR="00EF3DFB" w:rsidRDefault="00D27C17">
            <w:pPr>
              <w:pStyle w:val="TableParagraph"/>
              <w:spacing w:before="25"/>
              <w:ind w:right="103"/>
              <w:jc w:val="right"/>
              <w:rPr>
                <w:sz w:val="20"/>
              </w:rPr>
            </w:pPr>
            <w:r>
              <w:rPr>
                <w:sz w:val="20"/>
              </w:rPr>
              <w:t>—</w:t>
            </w:r>
          </w:p>
        </w:tc>
        <w:tc>
          <w:tcPr>
            <w:tcW w:w="1095" w:type="dxa"/>
            <w:shd w:val="clear" w:color="auto" w:fill="CCEDFF"/>
          </w:tcPr>
          <w:p w14:paraId="7326D231" w14:textId="77777777" w:rsidR="00EF3DFB" w:rsidRDefault="00D27C17">
            <w:pPr>
              <w:pStyle w:val="TableParagraph"/>
              <w:spacing w:before="25"/>
              <w:ind w:right="118"/>
              <w:jc w:val="right"/>
              <w:rPr>
                <w:sz w:val="20"/>
              </w:rPr>
            </w:pPr>
            <w:r>
              <w:rPr>
                <w:sz w:val="20"/>
              </w:rPr>
              <w:t>—</w:t>
            </w:r>
          </w:p>
        </w:tc>
        <w:tc>
          <w:tcPr>
            <w:tcW w:w="1078" w:type="dxa"/>
            <w:shd w:val="clear" w:color="auto" w:fill="CCEDFF"/>
          </w:tcPr>
          <w:p w14:paraId="7326D232" w14:textId="77777777" w:rsidR="00EF3DFB" w:rsidRDefault="00D27C17">
            <w:pPr>
              <w:pStyle w:val="TableParagraph"/>
              <w:spacing w:before="25"/>
              <w:ind w:right="116"/>
              <w:jc w:val="right"/>
              <w:rPr>
                <w:sz w:val="20"/>
              </w:rPr>
            </w:pPr>
            <w:r>
              <w:rPr>
                <w:sz w:val="20"/>
              </w:rPr>
              <w:t>—</w:t>
            </w:r>
          </w:p>
        </w:tc>
        <w:tc>
          <w:tcPr>
            <w:tcW w:w="1071" w:type="dxa"/>
            <w:shd w:val="clear" w:color="auto" w:fill="CCEDFF"/>
          </w:tcPr>
          <w:p w14:paraId="7326D233" w14:textId="77777777" w:rsidR="00EF3DFB" w:rsidRDefault="00D27C17">
            <w:pPr>
              <w:pStyle w:val="TableParagraph"/>
              <w:spacing w:before="25"/>
              <w:ind w:right="107"/>
              <w:jc w:val="right"/>
              <w:rPr>
                <w:sz w:val="20"/>
              </w:rPr>
            </w:pPr>
            <w:r>
              <w:rPr>
                <w:sz w:val="20"/>
              </w:rPr>
              <w:t>—</w:t>
            </w:r>
          </w:p>
        </w:tc>
        <w:tc>
          <w:tcPr>
            <w:tcW w:w="1059" w:type="dxa"/>
            <w:shd w:val="clear" w:color="auto" w:fill="CCEDFF"/>
          </w:tcPr>
          <w:p w14:paraId="7326D234" w14:textId="77777777" w:rsidR="00EF3DFB" w:rsidRDefault="00D27C17">
            <w:pPr>
              <w:pStyle w:val="TableParagraph"/>
              <w:spacing w:before="25"/>
              <w:ind w:right="86"/>
              <w:jc w:val="right"/>
              <w:rPr>
                <w:sz w:val="20"/>
              </w:rPr>
            </w:pPr>
            <w:r>
              <w:rPr>
                <w:sz w:val="20"/>
              </w:rPr>
              <w:t>377</w:t>
            </w:r>
          </w:p>
        </w:tc>
      </w:tr>
      <w:tr w:rsidR="00EF3DFB" w14:paraId="7326D23E" w14:textId="77777777">
        <w:trPr>
          <w:trHeight w:val="285"/>
        </w:trPr>
        <w:tc>
          <w:tcPr>
            <w:tcW w:w="3000" w:type="dxa"/>
          </w:tcPr>
          <w:p w14:paraId="7326D236" w14:textId="77777777" w:rsidR="00EF3DFB" w:rsidRDefault="00D27C17">
            <w:pPr>
              <w:pStyle w:val="TableParagraph"/>
              <w:spacing w:before="25"/>
              <w:ind w:left="52"/>
              <w:rPr>
                <w:sz w:val="20"/>
              </w:rPr>
            </w:pPr>
            <w:r>
              <w:rPr>
                <w:sz w:val="20"/>
              </w:rPr>
              <w:t>Food</w:t>
            </w:r>
          </w:p>
        </w:tc>
        <w:tc>
          <w:tcPr>
            <w:tcW w:w="1028" w:type="dxa"/>
          </w:tcPr>
          <w:p w14:paraId="7326D237" w14:textId="77777777" w:rsidR="00EF3DFB" w:rsidRDefault="00D27C17">
            <w:pPr>
              <w:pStyle w:val="TableParagraph"/>
              <w:spacing w:before="25"/>
              <w:ind w:right="102"/>
              <w:jc w:val="right"/>
              <w:rPr>
                <w:sz w:val="20"/>
              </w:rPr>
            </w:pPr>
            <w:r>
              <w:rPr>
                <w:sz w:val="20"/>
              </w:rPr>
              <w:t>—</w:t>
            </w:r>
          </w:p>
        </w:tc>
        <w:tc>
          <w:tcPr>
            <w:tcW w:w="1081" w:type="dxa"/>
          </w:tcPr>
          <w:p w14:paraId="7326D238" w14:textId="77777777" w:rsidR="00EF3DFB" w:rsidRDefault="00D27C17">
            <w:pPr>
              <w:pStyle w:val="TableParagraph"/>
              <w:spacing w:before="25"/>
              <w:ind w:right="103"/>
              <w:jc w:val="right"/>
              <w:rPr>
                <w:sz w:val="20"/>
              </w:rPr>
            </w:pPr>
            <w:r>
              <w:rPr>
                <w:sz w:val="20"/>
              </w:rPr>
              <w:t>—</w:t>
            </w:r>
          </w:p>
        </w:tc>
        <w:tc>
          <w:tcPr>
            <w:tcW w:w="1080" w:type="dxa"/>
          </w:tcPr>
          <w:p w14:paraId="7326D239" w14:textId="77777777" w:rsidR="00EF3DFB" w:rsidRDefault="00D27C17">
            <w:pPr>
              <w:pStyle w:val="TableParagraph"/>
              <w:spacing w:before="25"/>
              <w:ind w:right="103"/>
              <w:jc w:val="right"/>
              <w:rPr>
                <w:sz w:val="20"/>
              </w:rPr>
            </w:pPr>
            <w:r>
              <w:rPr>
                <w:sz w:val="20"/>
              </w:rPr>
              <w:t>881</w:t>
            </w:r>
          </w:p>
        </w:tc>
        <w:tc>
          <w:tcPr>
            <w:tcW w:w="1095" w:type="dxa"/>
          </w:tcPr>
          <w:p w14:paraId="7326D23A" w14:textId="77777777" w:rsidR="00EF3DFB" w:rsidRDefault="00D27C17">
            <w:pPr>
              <w:pStyle w:val="TableParagraph"/>
              <w:spacing w:before="25"/>
              <w:ind w:right="118"/>
              <w:jc w:val="right"/>
              <w:rPr>
                <w:sz w:val="20"/>
              </w:rPr>
            </w:pPr>
            <w:r>
              <w:rPr>
                <w:sz w:val="20"/>
              </w:rPr>
              <w:t>—</w:t>
            </w:r>
          </w:p>
        </w:tc>
        <w:tc>
          <w:tcPr>
            <w:tcW w:w="1078" w:type="dxa"/>
          </w:tcPr>
          <w:p w14:paraId="7326D23B" w14:textId="77777777" w:rsidR="00EF3DFB" w:rsidRDefault="00D27C17">
            <w:pPr>
              <w:pStyle w:val="TableParagraph"/>
              <w:spacing w:before="25"/>
              <w:ind w:right="116"/>
              <w:jc w:val="right"/>
              <w:rPr>
                <w:sz w:val="20"/>
              </w:rPr>
            </w:pPr>
            <w:r>
              <w:rPr>
                <w:sz w:val="20"/>
              </w:rPr>
              <w:t>—</w:t>
            </w:r>
          </w:p>
        </w:tc>
        <w:tc>
          <w:tcPr>
            <w:tcW w:w="1071" w:type="dxa"/>
          </w:tcPr>
          <w:p w14:paraId="7326D23C" w14:textId="77777777" w:rsidR="00EF3DFB" w:rsidRDefault="00D27C17">
            <w:pPr>
              <w:pStyle w:val="TableParagraph"/>
              <w:spacing w:before="25"/>
              <w:ind w:right="107"/>
              <w:jc w:val="right"/>
              <w:rPr>
                <w:sz w:val="20"/>
              </w:rPr>
            </w:pPr>
            <w:r>
              <w:rPr>
                <w:sz w:val="20"/>
              </w:rPr>
              <w:t>—</w:t>
            </w:r>
          </w:p>
        </w:tc>
        <w:tc>
          <w:tcPr>
            <w:tcW w:w="1059" w:type="dxa"/>
          </w:tcPr>
          <w:p w14:paraId="7326D23D" w14:textId="77777777" w:rsidR="00EF3DFB" w:rsidRDefault="00D27C17">
            <w:pPr>
              <w:pStyle w:val="TableParagraph"/>
              <w:spacing w:before="25"/>
              <w:ind w:right="86"/>
              <w:jc w:val="right"/>
              <w:rPr>
                <w:sz w:val="20"/>
              </w:rPr>
            </w:pPr>
            <w:r>
              <w:rPr>
                <w:sz w:val="20"/>
              </w:rPr>
              <w:t>881</w:t>
            </w:r>
          </w:p>
        </w:tc>
      </w:tr>
      <w:tr w:rsidR="00EF3DFB" w14:paraId="7326D247" w14:textId="77777777">
        <w:trPr>
          <w:trHeight w:val="285"/>
        </w:trPr>
        <w:tc>
          <w:tcPr>
            <w:tcW w:w="3000" w:type="dxa"/>
            <w:shd w:val="clear" w:color="auto" w:fill="CCEDFF"/>
          </w:tcPr>
          <w:p w14:paraId="7326D23F" w14:textId="77777777" w:rsidR="00EF3DFB" w:rsidRDefault="00D27C17">
            <w:pPr>
              <w:pStyle w:val="TableParagraph"/>
              <w:spacing w:before="25"/>
              <w:ind w:left="52"/>
              <w:rPr>
                <w:sz w:val="20"/>
              </w:rPr>
            </w:pPr>
            <w:r>
              <w:rPr>
                <w:sz w:val="20"/>
              </w:rPr>
              <w:t>Home Fragrance</w:t>
            </w:r>
          </w:p>
        </w:tc>
        <w:tc>
          <w:tcPr>
            <w:tcW w:w="1028" w:type="dxa"/>
            <w:shd w:val="clear" w:color="auto" w:fill="CCEDFF"/>
          </w:tcPr>
          <w:p w14:paraId="7326D240" w14:textId="77777777" w:rsidR="00EF3DFB" w:rsidRDefault="00D27C17">
            <w:pPr>
              <w:pStyle w:val="TableParagraph"/>
              <w:spacing w:before="25"/>
              <w:ind w:right="102"/>
              <w:jc w:val="right"/>
              <w:rPr>
                <w:sz w:val="20"/>
              </w:rPr>
            </w:pPr>
            <w:r>
              <w:rPr>
                <w:sz w:val="20"/>
              </w:rPr>
              <w:t>—</w:t>
            </w:r>
          </w:p>
        </w:tc>
        <w:tc>
          <w:tcPr>
            <w:tcW w:w="1081" w:type="dxa"/>
            <w:shd w:val="clear" w:color="auto" w:fill="CCEDFF"/>
          </w:tcPr>
          <w:p w14:paraId="7326D241" w14:textId="77777777" w:rsidR="00EF3DFB" w:rsidRDefault="00D27C17">
            <w:pPr>
              <w:pStyle w:val="TableParagraph"/>
              <w:spacing w:before="25"/>
              <w:ind w:right="103"/>
              <w:jc w:val="right"/>
              <w:rPr>
                <w:sz w:val="20"/>
              </w:rPr>
            </w:pPr>
            <w:r>
              <w:rPr>
                <w:sz w:val="20"/>
              </w:rPr>
              <w:t>—</w:t>
            </w:r>
          </w:p>
        </w:tc>
        <w:tc>
          <w:tcPr>
            <w:tcW w:w="1080" w:type="dxa"/>
            <w:shd w:val="clear" w:color="auto" w:fill="CCEDFF"/>
          </w:tcPr>
          <w:p w14:paraId="7326D242" w14:textId="77777777" w:rsidR="00EF3DFB" w:rsidRDefault="00D27C17">
            <w:pPr>
              <w:pStyle w:val="TableParagraph"/>
              <w:spacing w:before="25"/>
              <w:ind w:right="103"/>
              <w:jc w:val="right"/>
              <w:rPr>
                <w:sz w:val="20"/>
              </w:rPr>
            </w:pPr>
            <w:r>
              <w:rPr>
                <w:sz w:val="20"/>
              </w:rPr>
              <w:t>1,054</w:t>
            </w:r>
          </w:p>
        </w:tc>
        <w:tc>
          <w:tcPr>
            <w:tcW w:w="1095" w:type="dxa"/>
            <w:shd w:val="clear" w:color="auto" w:fill="CCEDFF"/>
          </w:tcPr>
          <w:p w14:paraId="7326D243" w14:textId="77777777" w:rsidR="00EF3DFB" w:rsidRDefault="00D27C17">
            <w:pPr>
              <w:pStyle w:val="TableParagraph"/>
              <w:spacing w:before="25"/>
              <w:ind w:right="118"/>
              <w:jc w:val="right"/>
              <w:rPr>
                <w:sz w:val="20"/>
              </w:rPr>
            </w:pPr>
            <w:r>
              <w:rPr>
                <w:sz w:val="20"/>
              </w:rPr>
              <w:t>—</w:t>
            </w:r>
          </w:p>
        </w:tc>
        <w:tc>
          <w:tcPr>
            <w:tcW w:w="1078" w:type="dxa"/>
            <w:shd w:val="clear" w:color="auto" w:fill="CCEDFF"/>
          </w:tcPr>
          <w:p w14:paraId="7326D244" w14:textId="77777777" w:rsidR="00EF3DFB" w:rsidRDefault="00D27C17">
            <w:pPr>
              <w:pStyle w:val="TableParagraph"/>
              <w:spacing w:before="25"/>
              <w:ind w:right="116"/>
              <w:jc w:val="right"/>
              <w:rPr>
                <w:sz w:val="20"/>
              </w:rPr>
            </w:pPr>
            <w:r>
              <w:rPr>
                <w:sz w:val="20"/>
              </w:rPr>
              <w:t>—</w:t>
            </w:r>
          </w:p>
        </w:tc>
        <w:tc>
          <w:tcPr>
            <w:tcW w:w="1071" w:type="dxa"/>
            <w:shd w:val="clear" w:color="auto" w:fill="CCEDFF"/>
          </w:tcPr>
          <w:p w14:paraId="7326D245" w14:textId="77777777" w:rsidR="00EF3DFB" w:rsidRDefault="00D27C17">
            <w:pPr>
              <w:pStyle w:val="TableParagraph"/>
              <w:spacing w:before="25"/>
              <w:ind w:right="107"/>
              <w:jc w:val="right"/>
              <w:rPr>
                <w:sz w:val="20"/>
              </w:rPr>
            </w:pPr>
            <w:r>
              <w:rPr>
                <w:sz w:val="20"/>
              </w:rPr>
              <w:t>—</w:t>
            </w:r>
          </w:p>
        </w:tc>
        <w:tc>
          <w:tcPr>
            <w:tcW w:w="1059" w:type="dxa"/>
            <w:shd w:val="clear" w:color="auto" w:fill="CCEDFF"/>
          </w:tcPr>
          <w:p w14:paraId="7326D246" w14:textId="77777777" w:rsidR="00EF3DFB" w:rsidRDefault="00D27C17">
            <w:pPr>
              <w:pStyle w:val="TableParagraph"/>
              <w:spacing w:before="25"/>
              <w:ind w:right="86"/>
              <w:jc w:val="right"/>
              <w:rPr>
                <w:sz w:val="20"/>
              </w:rPr>
            </w:pPr>
            <w:r>
              <w:rPr>
                <w:sz w:val="20"/>
              </w:rPr>
              <w:t>1,054</w:t>
            </w:r>
          </w:p>
        </w:tc>
      </w:tr>
      <w:tr w:rsidR="00EF3DFB" w14:paraId="7326D250" w14:textId="77777777">
        <w:trPr>
          <w:trHeight w:val="285"/>
        </w:trPr>
        <w:tc>
          <w:tcPr>
            <w:tcW w:w="3000" w:type="dxa"/>
          </w:tcPr>
          <w:p w14:paraId="7326D248" w14:textId="77777777" w:rsidR="00EF3DFB" w:rsidRDefault="00D27C17">
            <w:pPr>
              <w:pStyle w:val="TableParagraph"/>
              <w:spacing w:before="25"/>
              <w:ind w:left="52"/>
              <w:rPr>
                <w:sz w:val="20"/>
              </w:rPr>
            </w:pPr>
            <w:r>
              <w:rPr>
                <w:sz w:val="20"/>
              </w:rPr>
              <w:t>Baby and Parenting</w:t>
            </w:r>
          </w:p>
        </w:tc>
        <w:tc>
          <w:tcPr>
            <w:tcW w:w="1028" w:type="dxa"/>
          </w:tcPr>
          <w:p w14:paraId="7326D249" w14:textId="77777777" w:rsidR="00EF3DFB" w:rsidRDefault="00D27C17">
            <w:pPr>
              <w:pStyle w:val="TableParagraph"/>
              <w:spacing w:before="25"/>
              <w:ind w:right="102"/>
              <w:jc w:val="right"/>
              <w:rPr>
                <w:sz w:val="20"/>
              </w:rPr>
            </w:pPr>
            <w:r>
              <w:rPr>
                <w:sz w:val="20"/>
              </w:rPr>
              <w:t>—</w:t>
            </w:r>
          </w:p>
        </w:tc>
        <w:tc>
          <w:tcPr>
            <w:tcW w:w="1081" w:type="dxa"/>
          </w:tcPr>
          <w:p w14:paraId="7326D24A" w14:textId="77777777" w:rsidR="00EF3DFB" w:rsidRDefault="00D27C17">
            <w:pPr>
              <w:pStyle w:val="TableParagraph"/>
              <w:spacing w:before="25"/>
              <w:ind w:right="103"/>
              <w:jc w:val="right"/>
              <w:rPr>
                <w:sz w:val="20"/>
              </w:rPr>
            </w:pPr>
            <w:r>
              <w:rPr>
                <w:sz w:val="20"/>
              </w:rPr>
              <w:t>—</w:t>
            </w:r>
          </w:p>
        </w:tc>
        <w:tc>
          <w:tcPr>
            <w:tcW w:w="1080" w:type="dxa"/>
          </w:tcPr>
          <w:p w14:paraId="7326D24B" w14:textId="77777777" w:rsidR="00EF3DFB" w:rsidRDefault="00D27C17">
            <w:pPr>
              <w:pStyle w:val="TableParagraph"/>
              <w:spacing w:before="25"/>
              <w:ind w:right="103"/>
              <w:jc w:val="right"/>
              <w:rPr>
                <w:sz w:val="20"/>
              </w:rPr>
            </w:pPr>
            <w:r>
              <w:rPr>
                <w:sz w:val="20"/>
              </w:rPr>
              <w:t>—</w:t>
            </w:r>
          </w:p>
        </w:tc>
        <w:tc>
          <w:tcPr>
            <w:tcW w:w="1095" w:type="dxa"/>
          </w:tcPr>
          <w:p w14:paraId="7326D24C" w14:textId="77777777" w:rsidR="00EF3DFB" w:rsidRDefault="00D27C17">
            <w:pPr>
              <w:pStyle w:val="TableParagraph"/>
              <w:spacing w:before="25"/>
              <w:ind w:right="118"/>
              <w:jc w:val="right"/>
              <w:rPr>
                <w:sz w:val="20"/>
              </w:rPr>
            </w:pPr>
            <w:r>
              <w:rPr>
                <w:sz w:val="20"/>
              </w:rPr>
              <w:t>1,133</w:t>
            </w:r>
          </w:p>
        </w:tc>
        <w:tc>
          <w:tcPr>
            <w:tcW w:w="1078" w:type="dxa"/>
          </w:tcPr>
          <w:p w14:paraId="7326D24D" w14:textId="77777777" w:rsidR="00EF3DFB" w:rsidRDefault="00D27C17">
            <w:pPr>
              <w:pStyle w:val="TableParagraph"/>
              <w:spacing w:before="25"/>
              <w:ind w:right="116"/>
              <w:jc w:val="right"/>
              <w:rPr>
                <w:sz w:val="20"/>
              </w:rPr>
            </w:pPr>
            <w:r>
              <w:rPr>
                <w:sz w:val="20"/>
              </w:rPr>
              <w:t>—</w:t>
            </w:r>
          </w:p>
        </w:tc>
        <w:tc>
          <w:tcPr>
            <w:tcW w:w="1071" w:type="dxa"/>
          </w:tcPr>
          <w:p w14:paraId="7326D24E" w14:textId="77777777" w:rsidR="00EF3DFB" w:rsidRDefault="00D27C17">
            <w:pPr>
              <w:pStyle w:val="TableParagraph"/>
              <w:spacing w:before="25"/>
              <w:ind w:right="107"/>
              <w:jc w:val="right"/>
              <w:rPr>
                <w:sz w:val="20"/>
              </w:rPr>
            </w:pPr>
            <w:r>
              <w:rPr>
                <w:sz w:val="20"/>
              </w:rPr>
              <w:t>—</w:t>
            </w:r>
          </w:p>
        </w:tc>
        <w:tc>
          <w:tcPr>
            <w:tcW w:w="1059" w:type="dxa"/>
          </w:tcPr>
          <w:p w14:paraId="7326D24F" w14:textId="77777777" w:rsidR="00EF3DFB" w:rsidRDefault="00D27C17">
            <w:pPr>
              <w:pStyle w:val="TableParagraph"/>
              <w:spacing w:before="25"/>
              <w:ind w:right="86"/>
              <w:jc w:val="right"/>
              <w:rPr>
                <w:sz w:val="20"/>
              </w:rPr>
            </w:pPr>
            <w:r>
              <w:rPr>
                <w:sz w:val="20"/>
              </w:rPr>
              <w:t>1,133</w:t>
            </w:r>
          </w:p>
        </w:tc>
      </w:tr>
      <w:tr w:rsidR="00EF3DFB" w14:paraId="7326D259" w14:textId="77777777">
        <w:trPr>
          <w:trHeight w:val="285"/>
        </w:trPr>
        <w:tc>
          <w:tcPr>
            <w:tcW w:w="3000" w:type="dxa"/>
            <w:shd w:val="clear" w:color="auto" w:fill="CCEDFF"/>
          </w:tcPr>
          <w:p w14:paraId="7326D251" w14:textId="77777777" w:rsidR="00EF3DFB" w:rsidRDefault="00D27C17">
            <w:pPr>
              <w:pStyle w:val="TableParagraph"/>
              <w:spacing w:before="25"/>
              <w:ind w:left="52"/>
              <w:rPr>
                <w:sz w:val="20"/>
              </w:rPr>
            </w:pPr>
            <w:r>
              <w:rPr>
                <w:sz w:val="20"/>
              </w:rPr>
              <w:t>Writing</w:t>
            </w:r>
          </w:p>
        </w:tc>
        <w:tc>
          <w:tcPr>
            <w:tcW w:w="1028" w:type="dxa"/>
            <w:shd w:val="clear" w:color="auto" w:fill="CCEDFF"/>
          </w:tcPr>
          <w:p w14:paraId="7326D252" w14:textId="77777777" w:rsidR="00EF3DFB" w:rsidRDefault="00D27C17">
            <w:pPr>
              <w:pStyle w:val="TableParagraph"/>
              <w:spacing w:before="25"/>
              <w:ind w:right="102"/>
              <w:jc w:val="right"/>
              <w:rPr>
                <w:sz w:val="20"/>
              </w:rPr>
            </w:pPr>
            <w:r>
              <w:rPr>
                <w:sz w:val="20"/>
              </w:rPr>
              <w:t>—</w:t>
            </w:r>
          </w:p>
        </w:tc>
        <w:tc>
          <w:tcPr>
            <w:tcW w:w="1081" w:type="dxa"/>
            <w:shd w:val="clear" w:color="auto" w:fill="CCEDFF"/>
          </w:tcPr>
          <w:p w14:paraId="7326D253" w14:textId="77777777" w:rsidR="00EF3DFB" w:rsidRDefault="00D27C17">
            <w:pPr>
              <w:pStyle w:val="TableParagraph"/>
              <w:spacing w:before="25"/>
              <w:ind w:right="103"/>
              <w:jc w:val="right"/>
              <w:rPr>
                <w:sz w:val="20"/>
              </w:rPr>
            </w:pPr>
            <w:r>
              <w:rPr>
                <w:sz w:val="20"/>
              </w:rPr>
              <w:t>—</w:t>
            </w:r>
          </w:p>
        </w:tc>
        <w:tc>
          <w:tcPr>
            <w:tcW w:w="1080" w:type="dxa"/>
            <w:shd w:val="clear" w:color="auto" w:fill="CCEDFF"/>
          </w:tcPr>
          <w:p w14:paraId="7326D254" w14:textId="77777777" w:rsidR="00EF3DFB" w:rsidRDefault="00D27C17">
            <w:pPr>
              <w:pStyle w:val="TableParagraph"/>
              <w:spacing w:before="25"/>
              <w:ind w:right="103"/>
              <w:jc w:val="right"/>
              <w:rPr>
                <w:sz w:val="20"/>
              </w:rPr>
            </w:pPr>
            <w:r>
              <w:rPr>
                <w:sz w:val="20"/>
              </w:rPr>
              <w:t>—</w:t>
            </w:r>
          </w:p>
        </w:tc>
        <w:tc>
          <w:tcPr>
            <w:tcW w:w="1095" w:type="dxa"/>
            <w:shd w:val="clear" w:color="auto" w:fill="CCEDFF"/>
          </w:tcPr>
          <w:p w14:paraId="7326D255" w14:textId="77777777" w:rsidR="00EF3DFB" w:rsidRDefault="00D27C17">
            <w:pPr>
              <w:pStyle w:val="TableParagraph"/>
              <w:spacing w:before="25"/>
              <w:ind w:right="118"/>
              <w:jc w:val="right"/>
              <w:rPr>
                <w:sz w:val="20"/>
              </w:rPr>
            </w:pPr>
            <w:r>
              <w:rPr>
                <w:sz w:val="20"/>
              </w:rPr>
              <w:t>1,849</w:t>
            </w:r>
          </w:p>
        </w:tc>
        <w:tc>
          <w:tcPr>
            <w:tcW w:w="1078" w:type="dxa"/>
            <w:shd w:val="clear" w:color="auto" w:fill="CCEDFF"/>
          </w:tcPr>
          <w:p w14:paraId="7326D256" w14:textId="77777777" w:rsidR="00EF3DFB" w:rsidRDefault="00D27C17">
            <w:pPr>
              <w:pStyle w:val="TableParagraph"/>
              <w:spacing w:before="25"/>
              <w:ind w:right="116"/>
              <w:jc w:val="right"/>
              <w:rPr>
                <w:sz w:val="20"/>
              </w:rPr>
            </w:pPr>
            <w:r>
              <w:rPr>
                <w:sz w:val="20"/>
              </w:rPr>
              <w:t>—</w:t>
            </w:r>
          </w:p>
        </w:tc>
        <w:tc>
          <w:tcPr>
            <w:tcW w:w="1071" w:type="dxa"/>
            <w:shd w:val="clear" w:color="auto" w:fill="CCEDFF"/>
          </w:tcPr>
          <w:p w14:paraId="7326D257" w14:textId="77777777" w:rsidR="00EF3DFB" w:rsidRDefault="00D27C17">
            <w:pPr>
              <w:pStyle w:val="TableParagraph"/>
              <w:spacing w:before="25"/>
              <w:ind w:right="107"/>
              <w:jc w:val="right"/>
              <w:rPr>
                <w:sz w:val="20"/>
              </w:rPr>
            </w:pPr>
            <w:r>
              <w:rPr>
                <w:sz w:val="20"/>
              </w:rPr>
              <w:t>—</w:t>
            </w:r>
          </w:p>
        </w:tc>
        <w:tc>
          <w:tcPr>
            <w:tcW w:w="1059" w:type="dxa"/>
            <w:shd w:val="clear" w:color="auto" w:fill="CCEDFF"/>
          </w:tcPr>
          <w:p w14:paraId="7326D258" w14:textId="77777777" w:rsidR="00EF3DFB" w:rsidRDefault="00D27C17">
            <w:pPr>
              <w:pStyle w:val="TableParagraph"/>
              <w:spacing w:before="25"/>
              <w:ind w:right="86"/>
              <w:jc w:val="right"/>
              <w:rPr>
                <w:sz w:val="20"/>
              </w:rPr>
            </w:pPr>
            <w:r>
              <w:rPr>
                <w:sz w:val="20"/>
              </w:rPr>
              <w:t>1,849</w:t>
            </w:r>
          </w:p>
        </w:tc>
      </w:tr>
      <w:tr w:rsidR="00EF3DFB" w14:paraId="7326D262" w14:textId="77777777">
        <w:trPr>
          <w:trHeight w:val="285"/>
        </w:trPr>
        <w:tc>
          <w:tcPr>
            <w:tcW w:w="3000" w:type="dxa"/>
          </w:tcPr>
          <w:p w14:paraId="7326D25A" w14:textId="77777777" w:rsidR="00EF3DFB" w:rsidRDefault="00D27C17">
            <w:pPr>
              <w:pStyle w:val="TableParagraph"/>
              <w:spacing w:before="25"/>
              <w:ind w:left="52"/>
              <w:rPr>
                <w:sz w:val="20"/>
              </w:rPr>
            </w:pPr>
            <w:r>
              <w:rPr>
                <w:sz w:val="20"/>
              </w:rPr>
              <w:t>Outdoor and Recreation</w:t>
            </w:r>
          </w:p>
        </w:tc>
        <w:tc>
          <w:tcPr>
            <w:tcW w:w="1028" w:type="dxa"/>
          </w:tcPr>
          <w:p w14:paraId="7326D25B" w14:textId="77777777" w:rsidR="00EF3DFB" w:rsidRDefault="00D27C17">
            <w:pPr>
              <w:pStyle w:val="TableParagraph"/>
              <w:spacing w:before="25"/>
              <w:ind w:right="102"/>
              <w:jc w:val="right"/>
              <w:rPr>
                <w:sz w:val="20"/>
              </w:rPr>
            </w:pPr>
            <w:r>
              <w:rPr>
                <w:sz w:val="20"/>
              </w:rPr>
              <w:t>—</w:t>
            </w:r>
          </w:p>
        </w:tc>
        <w:tc>
          <w:tcPr>
            <w:tcW w:w="1081" w:type="dxa"/>
          </w:tcPr>
          <w:p w14:paraId="7326D25C" w14:textId="77777777" w:rsidR="00EF3DFB" w:rsidRDefault="00D27C17">
            <w:pPr>
              <w:pStyle w:val="TableParagraph"/>
              <w:spacing w:before="25"/>
              <w:ind w:right="103"/>
              <w:jc w:val="right"/>
              <w:rPr>
                <w:sz w:val="20"/>
              </w:rPr>
            </w:pPr>
            <w:r>
              <w:rPr>
                <w:sz w:val="20"/>
              </w:rPr>
              <w:t>—</w:t>
            </w:r>
          </w:p>
        </w:tc>
        <w:tc>
          <w:tcPr>
            <w:tcW w:w="1080" w:type="dxa"/>
          </w:tcPr>
          <w:p w14:paraId="7326D25D" w14:textId="77777777" w:rsidR="00EF3DFB" w:rsidRDefault="00D27C17">
            <w:pPr>
              <w:pStyle w:val="TableParagraph"/>
              <w:spacing w:before="25"/>
              <w:ind w:right="103"/>
              <w:jc w:val="right"/>
              <w:rPr>
                <w:sz w:val="20"/>
              </w:rPr>
            </w:pPr>
            <w:r>
              <w:rPr>
                <w:sz w:val="20"/>
              </w:rPr>
              <w:t>—</w:t>
            </w:r>
          </w:p>
        </w:tc>
        <w:tc>
          <w:tcPr>
            <w:tcW w:w="1095" w:type="dxa"/>
          </w:tcPr>
          <w:p w14:paraId="7326D25E" w14:textId="77777777" w:rsidR="00EF3DFB" w:rsidRDefault="00D27C17">
            <w:pPr>
              <w:pStyle w:val="TableParagraph"/>
              <w:spacing w:before="25"/>
              <w:ind w:right="118"/>
              <w:jc w:val="right"/>
              <w:rPr>
                <w:sz w:val="20"/>
              </w:rPr>
            </w:pPr>
            <w:r>
              <w:rPr>
                <w:sz w:val="20"/>
              </w:rPr>
              <w:t>—</w:t>
            </w:r>
          </w:p>
        </w:tc>
        <w:tc>
          <w:tcPr>
            <w:tcW w:w="1078" w:type="dxa"/>
          </w:tcPr>
          <w:p w14:paraId="7326D25F" w14:textId="77777777" w:rsidR="00EF3DFB" w:rsidRDefault="00D27C17">
            <w:pPr>
              <w:pStyle w:val="TableParagraph"/>
              <w:spacing w:before="25"/>
              <w:ind w:right="116"/>
              <w:jc w:val="right"/>
              <w:rPr>
                <w:sz w:val="20"/>
              </w:rPr>
            </w:pPr>
            <w:r>
              <w:rPr>
                <w:sz w:val="20"/>
              </w:rPr>
              <w:t>1,515</w:t>
            </w:r>
          </w:p>
        </w:tc>
        <w:tc>
          <w:tcPr>
            <w:tcW w:w="1071" w:type="dxa"/>
          </w:tcPr>
          <w:p w14:paraId="7326D260" w14:textId="77777777" w:rsidR="00EF3DFB" w:rsidRDefault="00D27C17">
            <w:pPr>
              <w:pStyle w:val="TableParagraph"/>
              <w:spacing w:before="25"/>
              <w:ind w:right="107"/>
              <w:jc w:val="right"/>
              <w:rPr>
                <w:sz w:val="20"/>
              </w:rPr>
            </w:pPr>
            <w:r>
              <w:rPr>
                <w:sz w:val="20"/>
              </w:rPr>
              <w:t>—</w:t>
            </w:r>
          </w:p>
        </w:tc>
        <w:tc>
          <w:tcPr>
            <w:tcW w:w="1059" w:type="dxa"/>
          </w:tcPr>
          <w:p w14:paraId="7326D261" w14:textId="77777777" w:rsidR="00EF3DFB" w:rsidRDefault="00D27C17">
            <w:pPr>
              <w:pStyle w:val="TableParagraph"/>
              <w:spacing w:before="25"/>
              <w:ind w:right="86"/>
              <w:jc w:val="right"/>
              <w:rPr>
                <w:sz w:val="20"/>
              </w:rPr>
            </w:pPr>
            <w:r>
              <w:rPr>
                <w:sz w:val="20"/>
              </w:rPr>
              <w:t>1,515</w:t>
            </w:r>
          </w:p>
        </w:tc>
      </w:tr>
      <w:tr w:rsidR="00EF3DFB" w14:paraId="7326D26B" w14:textId="77777777">
        <w:trPr>
          <w:trHeight w:val="275"/>
        </w:trPr>
        <w:tc>
          <w:tcPr>
            <w:tcW w:w="3000" w:type="dxa"/>
            <w:shd w:val="clear" w:color="auto" w:fill="CCEDFF"/>
          </w:tcPr>
          <w:p w14:paraId="7326D263" w14:textId="77777777" w:rsidR="00EF3DFB" w:rsidRDefault="00D27C17">
            <w:pPr>
              <w:pStyle w:val="TableParagraph"/>
              <w:spacing w:before="25" w:line="230" w:lineRule="exact"/>
              <w:ind w:left="52"/>
              <w:rPr>
                <w:sz w:val="20"/>
              </w:rPr>
            </w:pPr>
            <w:r>
              <w:rPr>
                <w:sz w:val="20"/>
              </w:rPr>
              <w:t>Other</w:t>
            </w:r>
          </w:p>
        </w:tc>
        <w:tc>
          <w:tcPr>
            <w:tcW w:w="1028" w:type="dxa"/>
            <w:tcBorders>
              <w:bottom w:val="single" w:sz="8" w:space="0" w:color="000000"/>
            </w:tcBorders>
            <w:shd w:val="clear" w:color="auto" w:fill="CCEDFF"/>
          </w:tcPr>
          <w:p w14:paraId="7326D264" w14:textId="77777777" w:rsidR="00EF3DFB" w:rsidRDefault="00D27C17">
            <w:pPr>
              <w:pStyle w:val="TableParagraph"/>
              <w:spacing w:before="25" w:line="230" w:lineRule="exact"/>
              <w:ind w:right="102"/>
              <w:jc w:val="right"/>
              <w:rPr>
                <w:sz w:val="20"/>
              </w:rPr>
            </w:pPr>
            <w:r>
              <w:rPr>
                <w:sz w:val="20"/>
              </w:rPr>
              <w:t>—</w:t>
            </w:r>
          </w:p>
        </w:tc>
        <w:tc>
          <w:tcPr>
            <w:tcW w:w="1081" w:type="dxa"/>
            <w:tcBorders>
              <w:bottom w:val="single" w:sz="8" w:space="0" w:color="000000"/>
            </w:tcBorders>
            <w:shd w:val="clear" w:color="auto" w:fill="CCEDFF"/>
          </w:tcPr>
          <w:p w14:paraId="7326D265" w14:textId="77777777" w:rsidR="00EF3DFB" w:rsidRDefault="00D27C17">
            <w:pPr>
              <w:pStyle w:val="TableParagraph"/>
              <w:spacing w:before="25" w:line="230" w:lineRule="exact"/>
              <w:ind w:right="103"/>
              <w:jc w:val="right"/>
              <w:rPr>
                <w:sz w:val="20"/>
              </w:rPr>
            </w:pPr>
            <w:r>
              <w:rPr>
                <w:sz w:val="20"/>
              </w:rPr>
              <w:t>—</w:t>
            </w:r>
          </w:p>
        </w:tc>
        <w:tc>
          <w:tcPr>
            <w:tcW w:w="1080" w:type="dxa"/>
            <w:tcBorders>
              <w:bottom w:val="single" w:sz="8" w:space="0" w:color="000000"/>
            </w:tcBorders>
            <w:shd w:val="clear" w:color="auto" w:fill="CCEDFF"/>
          </w:tcPr>
          <w:p w14:paraId="7326D266" w14:textId="77777777" w:rsidR="00EF3DFB" w:rsidRDefault="00D27C17">
            <w:pPr>
              <w:pStyle w:val="TableParagraph"/>
              <w:spacing w:before="25" w:line="230" w:lineRule="exact"/>
              <w:ind w:right="103"/>
              <w:jc w:val="right"/>
              <w:rPr>
                <w:sz w:val="20"/>
              </w:rPr>
            </w:pPr>
            <w:r>
              <w:rPr>
                <w:sz w:val="20"/>
              </w:rPr>
              <w:t>—</w:t>
            </w:r>
          </w:p>
        </w:tc>
        <w:tc>
          <w:tcPr>
            <w:tcW w:w="1095" w:type="dxa"/>
            <w:tcBorders>
              <w:bottom w:val="single" w:sz="8" w:space="0" w:color="000000"/>
            </w:tcBorders>
            <w:shd w:val="clear" w:color="auto" w:fill="CCEDFF"/>
          </w:tcPr>
          <w:p w14:paraId="7326D267" w14:textId="77777777" w:rsidR="00EF3DFB" w:rsidRDefault="00D27C17">
            <w:pPr>
              <w:pStyle w:val="TableParagraph"/>
              <w:spacing w:before="25" w:line="230" w:lineRule="exact"/>
              <w:ind w:right="118"/>
              <w:jc w:val="right"/>
              <w:rPr>
                <w:sz w:val="20"/>
              </w:rPr>
            </w:pPr>
            <w:r>
              <w:rPr>
                <w:sz w:val="20"/>
              </w:rPr>
              <w:t>—</w:t>
            </w:r>
          </w:p>
        </w:tc>
        <w:tc>
          <w:tcPr>
            <w:tcW w:w="1078" w:type="dxa"/>
            <w:tcBorders>
              <w:bottom w:val="single" w:sz="8" w:space="0" w:color="000000"/>
            </w:tcBorders>
            <w:shd w:val="clear" w:color="auto" w:fill="CCEDFF"/>
          </w:tcPr>
          <w:p w14:paraId="7326D268" w14:textId="77777777" w:rsidR="00EF3DFB" w:rsidRDefault="00D27C17">
            <w:pPr>
              <w:pStyle w:val="TableParagraph"/>
              <w:spacing w:before="25" w:line="230" w:lineRule="exact"/>
              <w:ind w:right="116"/>
              <w:jc w:val="right"/>
              <w:rPr>
                <w:sz w:val="20"/>
              </w:rPr>
            </w:pPr>
            <w:r>
              <w:rPr>
                <w:sz w:val="20"/>
              </w:rPr>
              <w:t>—</w:t>
            </w:r>
          </w:p>
        </w:tc>
        <w:tc>
          <w:tcPr>
            <w:tcW w:w="1071" w:type="dxa"/>
            <w:tcBorders>
              <w:bottom w:val="single" w:sz="8" w:space="0" w:color="000000"/>
            </w:tcBorders>
            <w:shd w:val="clear" w:color="auto" w:fill="CCEDFF"/>
          </w:tcPr>
          <w:p w14:paraId="7326D269" w14:textId="77777777" w:rsidR="00EF3DFB" w:rsidRDefault="00D27C17">
            <w:pPr>
              <w:pStyle w:val="TableParagraph"/>
              <w:spacing w:before="25" w:line="230" w:lineRule="exact"/>
              <w:ind w:right="107"/>
              <w:jc w:val="right"/>
              <w:rPr>
                <w:sz w:val="20"/>
              </w:rPr>
            </w:pPr>
            <w:r>
              <w:rPr>
                <w:sz w:val="20"/>
              </w:rPr>
              <w:t>3</w:t>
            </w:r>
          </w:p>
        </w:tc>
        <w:tc>
          <w:tcPr>
            <w:tcW w:w="1059" w:type="dxa"/>
            <w:tcBorders>
              <w:bottom w:val="single" w:sz="8" w:space="0" w:color="000000"/>
            </w:tcBorders>
            <w:shd w:val="clear" w:color="auto" w:fill="CCEDFF"/>
          </w:tcPr>
          <w:p w14:paraId="7326D26A" w14:textId="77777777" w:rsidR="00EF3DFB" w:rsidRDefault="00D27C17">
            <w:pPr>
              <w:pStyle w:val="TableParagraph"/>
              <w:spacing w:before="25" w:line="230" w:lineRule="exact"/>
              <w:ind w:right="86"/>
              <w:jc w:val="right"/>
              <w:rPr>
                <w:sz w:val="20"/>
              </w:rPr>
            </w:pPr>
            <w:r>
              <w:rPr>
                <w:sz w:val="20"/>
              </w:rPr>
              <w:t>3</w:t>
            </w:r>
          </w:p>
        </w:tc>
      </w:tr>
      <w:tr w:rsidR="00EF3DFB" w14:paraId="7326D274" w14:textId="77777777">
        <w:trPr>
          <w:trHeight w:val="285"/>
        </w:trPr>
        <w:tc>
          <w:tcPr>
            <w:tcW w:w="3000" w:type="dxa"/>
          </w:tcPr>
          <w:p w14:paraId="7326D26C" w14:textId="77777777" w:rsidR="00EF3DFB" w:rsidRDefault="00D27C17">
            <w:pPr>
              <w:pStyle w:val="TableParagraph"/>
              <w:spacing w:before="15"/>
              <w:ind w:left="412"/>
              <w:rPr>
                <w:sz w:val="20"/>
              </w:rPr>
            </w:pPr>
            <w:r>
              <w:rPr>
                <w:sz w:val="20"/>
              </w:rPr>
              <w:t>Total</w:t>
            </w:r>
          </w:p>
        </w:tc>
        <w:tc>
          <w:tcPr>
            <w:tcW w:w="1028" w:type="dxa"/>
            <w:tcBorders>
              <w:top w:val="single" w:sz="8" w:space="0" w:color="000000"/>
              <w:bottom w:val="single" w:sz="8" w:space="0" w:color="000000"/>
            </w:tcBorders>
          </w:tcPr>
          <w:p w14:paraId="7326D26D" w14:textId="77777777" w:rsidR="00EF3DFB" w:rsidRDefault="00D27C17">
            <w:pPr>
              <w:pStyle w:val="TableParagraph"/>
              <w:tabs>
                <w:tab w:val="left" w:pos="420"/>
              </w:tabs>
              <w:spacing w:before="15"/>
              <w:ind w:right="102"/>
              <w:jc w:val="right"/>
              <w:rPr>
                <w:sz w:val="20"/>
              </w:rPr>
            </w:pPr>
            <w:r>
              <w:rPr>
                <w:sz w:val="20"/>
                <w:u w:val="single"/>
              </w:rPr>
              <w:t>$</w:t>
            </w:r>
            <w:r>
              <w:rPr>
                <w:sz w:val="20"/>
                <w:u w:val="single"/>
              </w:rPr>
              <w:tab/>
              <w:t>1,819</w:t>
            </w:r>
          </w:p>
        </w:tc>
        <w:tc>
          <w:tcPr>
            <w:tcW w:w="1081" w:type="dxa"/>
            <w:tcBorders>
              <w:top w:val="single" w:sz="8" w:space="0" w:color="000000"/>
              <w:bottom w:val="single" w:sz="8" w:space="0" w:color="000000"/>
            </w:tcBorders>
          </w:tcPr>
          <w:p w14:paraId="7326D26E" w14:textId="77777777" w:rsidR="00EF3DFB" w:rsidRDefault="00D27C17">
            <w:pPr>
              <w:pStyle w:val="TableParagraph"/>
              <w:tabs>
                <w:tab w:val="left" w:pos="420"/>
              </w:tabs>
              <w:spacing w:before="15"/>
              <w:ind w:right="103"/>
              <w:jc w:val="right"/>
              <w:rPr>
                <w:sz w:val="20"/>
              </w:rPr>
            </w:pPr>
            <w:r>
              <w:rPr>
                <w:sz w:val="20"/>
                <w:u w:val="single"/>
              </w:rPr>
              <w:t>$</w:t>
            </w:r>
            <w:r>
              <w:rPr>
                <w:sz w:val="20"/>
                <w:u w:val="single"/>
              </w:rPr>
              <w:tab/>
              <w:t>1,900</w:t>
            </w:r>
          </w:p>
        </w:tc>
        <w:tc>
          <w:tcPr>
            <w:tcW w:w="1080" w:type="dxa"/>
            <w:tcBorders>
              <w:top w:val="single" w:sz="8" w:space="0" w:color="000000"/>
              <w:bottom w:val="single" w:sz="8" w:space="0" w:color="000000"/>
            </w:tcBorders>
          </w:tcPr>
          <w:p w14:paraId="7326D26F" w14:textId="77777777" w:rsidR="00EF3DFB" w:rsidRDefault="00D27C17">
            <w:pPr>
              <w:pStyle w:val="TableParagraph"/>
              <w:tabs>
                <w:tab w:val="left" w:pos="420"/>
              </w:tabs>
              <w:spacing w:before="15"/>
              <w:ind w:right="103"/>
              <w:jc w:val="right"/>
              <w:rPr>
                <w:sz w:val="20"/>
              </w:rPr>
            </w:pPr>
            <w:r>
              <w:rPr>
                <w:sz w:val="20"/>
                <w:u w:val="single"/>
              </w:rPr>
              <w:t>$</w:t>
            </w:r>
            <w:r>
              <w:rPr>
                <w:sz w:val="20"/>
                <w:u w:val="single"/>
              </w:rPr>
              <w:tab/>
              <w:t>1,935</w:t>
            </w:r>
          </w:p>
        </w:tc>
        <w:tc>
          <w:tcPr>
            <w:tcW w:w="1095" w:type="dxa"/>
            <w:tcBorders>
              <w:top w:val="single" w:sz="8" w:space="0" w:color="000000"/>
              <w:bottom w:val="single" w:sz="8" w:space="0" w:color="000000"/>
            </w:tcBorders>
          </w:tcPr>
          <w:p w14:paraId="7326D270" w14:textId="77777777" w:rsidR="00EF3DFB" w:rsidRDefault="00D27C17">
            <w:pPr>
              <w:pStyle w:val="TableParagraph"/>
              <w:tabs>
                <w:tab w:val="left" w:pos="420"/>
              </w:tabs>
              <w:spacing w:before="15"/>
              <w:ind w:right="118"/>
              <w:jc w:val="right"/>
              <w:rPr>
                <w:sz w:val="20"/>
              </w:rPr>
            </w:pPr>
            <w:r>
              <w:rPr>
                <w:sz w:val="20"/>
                <w:u w:val="single"/>
              </w:rPr>
              <w:t>$</w:t>
            </w:r>
            <w:r>
              <w:rPr>
                <w:sz w:val="20"/>
                <w:u w:val="single"/>
              </w:rPr>
              <w:tab/>
              <w:t>2,982</w:t>
            </w:r>
          </w:p>
        </w:tc>
        <w:tc>
          <w:tcPr>
            <w:tcW w:w="1078" w:type="dxa"/>
            <w:tcBorders>
              <w:top w:val="single" w:sz="8" w:space="0" w:color="000000"/>
              <w:bottom w:val="single" w:sz="8" w:space="0" w:color="000000"/>
            </w:tcBorders>
          </w:tcPr>
          <w:p w14:paraId="7326D271" w14:textId="77777777" w:rsidR="00EF3DFB" w:rsidRDefault="00D27C17">
            <w:pPr>
              <w:pStyle w:val="TableParagraph"/>
              <w:tabs>
                <w:tab w:val="left" w:pos="420"/>
              </w:tabs>
              <w:spacing w:before="15"/>
              <w:ind w:right="116"/>
              <w:jc w:val="right"/>
              <w:rPr>
                <w:sz w:val="20"/>
              </w:rPr>
            </w:pPr>
            <w:r>
              <w:rPr>
                <w:sz w:val="20"/>
                <w:u w:val="single"/>
              </w:rPr>
              <w:t>$</w:t>
            </w:r>
            <w:r>
              <w:rPr>
                <w:sz w:val="20"/>
                <w:u w:val="single"/>
              </w:rPr>
              <w:tab/>
              <w:t>1,515</w:t>
            </w:r>
          </w:p>
        </w:tc>
        <w:tc>
          <w:tcPr>
            <w:tcW w:w="1071" w:type="dxa"/>
            <w:tcBorders>
              <w:top w:val="single" w:sz="8" w:space="0" w:color="000000"/>
              <w:bottom w:val="single" w:sz="8" w:space="0" w:color="000000"/>
            </w:tcBorders>
          </w:tcPr>
          <w:p w14:paraId="7326D272" w14:textId="77777777" w:rsidR="00EF3DFB" w:rsidRDefault="00D27C17">
            <w:pPr>
              <w:pStyle w:val="TableParagraph"/>
              <w:tabs>
                <w:tab w:val="left" w:pos="770"/>
              </w:tabs>
              <w:spacing w:before="15"/>
              <w:ind w:right="107"/>
              <w:jc w:val="right"/>
              <w:rPr>
                <w:sz w:val="20"/>
              </w:rPr>
            </w:pPr>
            <w:r>
              <w:rPr>
                <w:sz w:val="20"/>
                <w:u w:val="single"/>
              </w:rPr>
              <w:t>$</w:t>
            </w:r>
            <w:r>
              <w:rPr>
                <w:sz w:val="20"/>
                <w:u w:val="single"/>
              </w:rPr>
              <w:tab/>
              <w:t>3</w:t>
            </w:r>
          </w:p>
        </w:tc>
        <w:tc>
          <w:tcPr>
            <w:tcW w:w="1059" w:type="dxa"/>
            <w:tcBorders>
              <w:top w:val="single" w:sz="8" w:space="0" w:color="000000"/>
              <w:bottom w:val="single" w:sz="8" w:space="0" w:color="000000"/>
            </w:tcBorders>
          </w:tcPr>
          <w:p w14:paraId="7326D273" w14:textId="77777777" w:rsidR="00EF3DFB" w:rsidRDefault="00D27C17">
            <w:pPr>
              <w:pStyle w:val="TableParagraph"/>
              <w:tabs>
                <w:tab w:val="left" w:pos="320"/>
              </w:tabs>
              <w:spacing w:before="15"/>
              <w:ind w:right="86"/>
              <w:jc w:val="right"/>
              <w:rPr>
                <w:sz w:val="20"/>
              </w:rPr>
            </w:pPr>
            <w:r>
              <w:rPr>
                <w:sz w:val="20"/>
                <w:u w:val="single"/>
              </w:rPr>
              <w:t>$</w:t>
            </w:r>
            <w:r>
              <w:rPr>
                <w:sz w:val="20"/>
                <w:u w:val="single"/>
              </w:rPr>
              <w:tab/>
              <w:t>10,154</w:t>
            </w:r>
          </w:p>
        </w:tc>
      </w:tr>
      <w:tr w:rsidR="00EF3DFB" w14:paraId="7326D27D" w14:textId="77777777">
        <w:trPr>
          <w:trHeight w:val="255"/>
        </w:trPr>
        <w:tc>
          <w:tcPr>
            <w:tcW w:w="3000" w:type="dxa"/>
            <w:shd w:val="clear" w:color="auto" w:fill="CCEDFF"/>
          </w:tcPr>
          <w:p w14:paraId="7326D275" w14:textId="77777777" w:rsidR="00EF3DFB" w:rsidRDefault="00D27C17">
            <w:pPr>
              <w:pStyle w:val="TableParagraph"/>
              <w:spacing w:line="225" w:lineRule="exact"/>
              <w:ind w:left="52"/>
              <w:rPr>
                <w:sz w:val="20"/>
              </w:rPr>
            </w:pPr>
            <w:r>
              <w:rPr>
                <w:sz w:val="20"/>
              </w:rPr>
              <w:t>North America</w:t>
            </w:r>
          </w:p>
        </w:tc>
        <w:tc>
          <w:tcPr>
            <w:tcW w:w="1028" w:type="dxa"/>
            <w:tcBorders>
              <w:top w:val="single" w:sz="8" w:space="0" w:color="000000"/>
            </w:tcBorders>
            <w:shd w:val="clear" w:color="auto" w:fill="CCEDFF"/>
          </w:tcPr>
          <w:p w14:paraId="7326D276" w14:textId="77777777" w:rsidR="00EF3DFB" w:rsidRDefault="00D27C17">
            <w:pPr>
              <w:pStyle w:val="TableParagraph"/>
              <w:tabs>
                <w:tab w:val="left" w:pos="420"/>
              </w:tabs>
              <w:spacing w:line="225" w:lineRule="exact"/>
              <w:ind w:right="102"/>
              <w:jc w:val="right"/>
              <w:rPr>
                <w:sz w:val="20"/>
              </w:rPr>
            </w:pPr>
            <w:r>
              <w:rPr>
                <w:sz w:val="20"/>
              </w:rPr>
              <w:t>$</w:t>
            </w:r>
            <w:r>
              <w:rPr>
                <w:sz w:val="20"/>
              </w:rPr>
              <w:tab/>
              <w:t>1,215</w:t>
            </w:r>
          </w:p>
        </w:tc>
        <w:tc>
          <w:tcPr>
            <w:tcW w:w="1081" w:type="dxa"/>
            <w:tcBorders>
              <w:top w:val="single" w:sz="8" w:space="0" w:color="000000"/>
            </w:tcBorders>
            <w:shd w:val="clear" w:color="auto" w:fill="CCEDFF"/>
          </w:tcPr>
          <w:p w14:paraId="7326D277" w14:textId="77777777" w:rsidR="00EF3DFB" w:rsidRDefault="00D27C17">
            <w:pPr>
              <w:pStyle w:val="TableParagraph"/>
              <w:tabs>
                <w:tab w:val="left" w:pos="420"/>
              </w:tabs>
              <w:spacing w:line="225" w:lineRule="exact"/>
              <w:ind w:right="103"/>
              <w:jc w:val="right"/>
              <w:rPr>
                <w:sz w:val="20"/>
              </w:rPr>
            </w:pPr>
            <w:r>
              <w:rPr>
                <w:sz w:val="20"/>
              </w:rPr>
              <w:t>$</w:t>
            </w:r>
            <w:r>
              <w:rPr>
                <w:sz w:val="20"/>
              </w:rPr>
              <w:tab/>
              <w:t>1,429</w:t>
            </w:r>
          </w:p>
        </w:tc>
        <w:tc>
          <w:tcPr>
            <w:tcW w:w="1080" w:type="dxa"/>
            <w:tcBorders>
              <w:top w:val="single" w:sz="8" w:space="0" w:color="000000"/>
            </w:tcBorders>
            <w:shd w:val="clear" w:color="auto" w:fill="CCEDFF"/>
          </w:tcPr>
          <w:p w14:paraId="7326D278" w14:textId="77777777" w:rsidR="00EF3DFB" w:rsidRDefault="00D27C17">
            <w:pPr>
              <w:pStyle w:val="TableParagraph"/>
              <w:tabs>
                <w:tab w:val="left" w:pos="420"/>
              </w:tabs>
              <w:spacing w:line="225" w:lineRule="exact"/>
              <w:ind w:right="103"/>
              <w:jc w:val="right"/>
              <w:rPr>
                <w:sz w:val="20"/>
              </w:rPr>
            </w:pPr>
            <w:r>
              <w:rPr>
                <w:sz w:val="20"/>
              </w:rPr>
              <w:t>$</w:t>
            </w:r>
            <w:r>
              <w:rPr>
                <w:sz w:val="20"/>
              </w:rPr>
              <w:tab/>
              <w:t>1,546</w:t>
            </w:r>
          </w:p>
        </w:tc>
        <w:tc>
          <w:tcPr>
            <w:tcW w:w="1095" w:type="dxa"/>
            <w:tcBorders>
              <w:top w:val="single" w:sz="8" w:space="0" w:color="000000"/>
            </w:tcBorders>
            <w:shd w:val="clear" w:color="auto" w:fill="CCEDFF"/>
          </w:tcPr>
          <w:p w14:paraId="7326D279" w14:textId="77777777" w:rsidR="00EF3DFB" w:rsidRDefault="00D27C17">
            <w:pPr>
              <w:pStyle w:val="TableParagraph"/>
              <w:tabs>
                <w:tab w:val="left" w:pos="420"/>
              </w:tabs>
              <w:spacing w:line="225" w:lineRule="exact"/>
              <w:ind w:right="118"/>
              <w:jc w:val="right"/>
              <w:rPr>
                <w:sz w:val="20"/>
              </w:rPr>
            </w:pPr>
            <w:r>
              <w:rPr>
                <w:sz w:val="20"/>
              </w:rPr>
              <w:t>$</w:t>
            </w:r>
            <w:r>
              <w:rPr>
                <w:sz w:val="20"/>
              </w:rPr>
              <w:tab/>
              <w:t>2,082</w:t>
            </w:r>
          </w:p>
        </w:tc>
        <w:tc>
          <w:tcPr>
            <w:tcW w:w="1078" w:type="dxa"/>
            <w:tcBorders>
              <w:top w:val="single" w:sz="8" w:space="0" w:color="000000"/>
            </w:tcBorders>
            <w:shd w:val="clear" w:color="auto" w:fill="CCEDFF"/>
          </w:tcPr>
          <w:p w14:paraId="7326D27A" w14:textId="77777777" w:rsidR="00EF3DFB" w:rsidRDefault="00D27C17">
            <w:pPr>
              <w:pStyle w:val="TableParagraph"/>
              <w:tabs>
                <w:tab w:val="left" w:pos="570"/>
              </w:tabs>
              <w:spacing w:line="225" w:lineRule="exact"/>
              <w:ind w:right="116"/>
              <w:jc w:val="right"/>
              <w:rPr>
                <w:sz w:val="20"/>
              </w:rPr>
            </w:pPr>
            <w:r>
              <w:rPr>
                <w:sz w:val="20"/>
              </w:rPr>
              <w:t>$</w:t>
            </w:r>
            <w:r>
              <w:rPr>
                <w:sz w:val="20"/>
              </w:rPr>
              <w:tab/>
              <w:t>989</w:t>
            </w:r>
          </w:p>
        </w:tc>
        <w:tc>
          <w:tcPr>
            <w:tcW w:w="1071" w:type="dxa"/>
            <w:tcBorders>
              <w:top w:val="single" w:sz="8" w:space="0" w:color="000000"/>
            </w:tcBorders>
            <w:shd w:val="clear" w:color="auto" w:fill="CCEDFF"/>
          </w:tcPr>
          <w:p w14:paraId="7326D27B" w14:textId="77777777" w:rsidR="00EF3DFB" w:rsidRDefault="00D27C17">
            <w:pPr>
              <w:pStyle w:val="TableParagraph"/>
              <w:tabs>
                <w:tab w:val="left" w:pos="770"/>
              </w:tabs>
              <w:spacing w:line="225" w:lineRule="exact"/>
              <w:ind w:right="107"/>
              <w:jc w:val="right"/>
              <w:rPr>
                <w:sz w:val="20"/>
              </w:rPr>
            </w:pPr>
            <w:r>
              <w:rPr>
                <w:sz w:val="20"/>
              </w:rPr>
              <w:t>$</w:t>
            </w:r>
            <w:r>
              <w:rPr>
                <w:sz w:val="20"/>
              </w:rPr>
              <w:tab/>
              <w:t>3</w:t>
            </w:r>
          </w:p>
        </w:tc>
        <w:tc>
          <w:tcPr>
            <w:tcW w:w="1059" w:type="dxa"/>
            <w:tcBorders>
              <w:top w:val="single" w:sz="8" w:space="0" w:color="000000"/>
            </w:tcBorders>
            <w:shd w:val="clear" w:color="auto" w:fill="CCEDFF"/>
          </w:tcPr>
          <w:p w14:paraId="7326D27C" w14:textId="77777777" w:rsidR="00EF3DFB" w:rsidRDefault="00D27C17">
            <w:pPr>
              <w:pStyle w:val="TableParagraph"/>
              <w:tabs>
                <w:tab w:val="left" w:pos="420"/>
              </w:tabs>
              <w:spacing w:line="225" w:lineRule="exact"/>
              <w:ind w:right="86"/>
              <w:jc w:val="right"/>
              <w:rPr>
                <w:sz w:val="20"/>
              </w:rPr>
            </w:pPr>
            <w:r>
              <w:rPr>
                <w:sz w:val="20"/>
              </w:rPr>
              <w:t>$</w:t>
            </w:r>
            <w:r>
              <w:rPr>
                <w:sz w:val="20"/>
              </w:rPr>
              <w:tab/>
              <w:t>7,264</w:t>
            </w:r>
          </w:p>
        </w:tc>
      </w:tr>
      <w:tr w:rsidR="00EF3DFB" w14:paraId="7326D286" w14:textId="77777777">
        <w:trPr>
          <w:trHeight w:val="275"/>
        </w:trPr>
        <w:tc>
          <w:tcPr>
            <w:tcW w:w="3000" w:type="dxa"/>
          </w:tcPr>
          <w:p w14:paraId="7326D27E" w14:textId="77777777" w:rsidR="00EF3DFB" w:rsidRDefault="00D27C17">
            <w:pPr>
              <w:pStyle w:val="TableParagraph"/>
              <w:spacing w:before="25" w:line="230" w:lineRule="exact"/>
              <w:ind w:left="52"/>
              <w:rPr>
                <w:sz w:val="20"/>
              </w:rPr>
            </w:pPr>
            <w:r>
              <w:rPr>
                <w:sz w:val="20"/>
              </w:rPr>
              <w:t>International</w:t>
            </w:r>
          </w:p>
        </w:tc>
        <w:tc>
          <w:tcPr>
            <w:tcW w:w="1028" w:type="dxa"/>
            <w:tcBorders>
              <w:bottom w:val="single" w:sz="8" w:space="0" w:color="000000"/>
            </w:tcBorders>
          </w:tcPr>
          <w:p w14:paraId="7326D27F" w14:textId="77777777" w:rsidR="00EF3DFB" w:rsidRDefault="00D27C17">
            <w:pPr>
              <w:pStyle w:val="TableParagraph"/>
              <w:spacing w:before="25" w:line="230" w:lineRule="exact"/>
              <w:ind w:right="102"/>
              <w:jc w:val="right"/>
              <w:rPr>
                <w:sz w:val="20"/>
              </w:rPr>
            </w:pPr>
            <w:r>
              <w:rPr>
                <w:sz w:val="20"/>
              </w:rPr>
              <w:t>604</w:t>
            </w:r>
          </w:p>
        </w:tc>
        <w:tc>
          <w:tcPr>
            <w:tcW w:w="1081" w:type="dxa"/>
            <w:tcBorders>
              <w:bottom w:val="single" w:sz="8" w:space="0" w:color="000000"/>
            </w:tcBorders>
          </w:tcPr>
          <w:p w14:paraId="7326D280" w14:textId="77777777" w:rsidR="00EF3DFB" w:rsidRDefault="00D27C17">
            <w:pPr>
              <w:pStyle w:val="TableParagraph"/>
              <w:spacing w:before="25" w:line="230" w:lineRule="exact"/>
              <w:ind w:right="103"/>
              <w:jc w:val="right"/>
              <w:rPr>
                <w:sz w:val="20"/>
              </w:rPr>
            </w:pPr>
            <w:r>
              <w:rPr>
                <w:sz w:val="20"/>
              </w:rPr>
              <w:t>471</w:t>
            </w:r>
          </w:p>
        </w:tc>
        <w:tc>
          <w:tcPr>
            <w:tcW w:w="1080" w:type="dxa"/>
            <w:tcBorders>
              <w:bottom w:val="single" w:sz="8" w:space="0" w:color="000000"/>
            </w:tcBorders>
          </w:tcPr>
          <w:p w14:paraId="7326D281" w14:textId="77777777" w:rsidR="00EF3DFB" w:rsidRDefault="00D27C17">
            <w:pPr>
              <w:pStyle w:val="TableParagraph"/>
              <w:spacing w:before="25" w:line="230" w:lineRule="exact"/>
              <w:ind w:right="103"/>
              <w:jc w:val="right"/>
              <w:rPr>
                <w:sz w:val="20"/>
              </w:rPr>
            </w:pPr>
            <w:r>
              <w:rPr>
                <w:sz w:val="20"/>
              </w:rPr>
              <w:t>389</w:t>
            </w:r>
          </w:p>
        </w:tc>
        <w:tc>
          <w:tcPr>
            <w:tcW w:w="1095" w:type="dxa"/>
            <w:tcBorders>
              <w:bottom w:val="single" w:sz="8" w:space="0" w:color="000000"/>
            </w:tcBorders>
          </w:tcPr>
          <w:p w14:paraId="7326D282" w14:textId="77777777" w:rsidR="00EF3DFB" w:rsidRDefault="00D27C17">
            <w:pPr>
              <w:pStyle w:val="TableParagraph"/>
              <w:spacing w:before="25" w:line="230" w:lineRule="exact"/>
              <w:ind w:right="118"/>
              <w:jc w:val="right"/>
              <w:rPr>
                <w:sz w:val="20"/>
              </w:rPr>
            </w:pPr>
            <w:r>
              <w:rPr>
                <w:sz w:val="20"/>
              </w:rPr>
              <w:t>900</w:t>
            </w:r>
          </w:p>
        </w:tc>
        <w:tc>
          <w:tcPr>
            <w:tcW w:w="1078" w:type="dxa"/>
            <w:tcBorders>
              <w:bottom w:val="single" w:sz="8" w:space="0" w:color="000000"/>
            </w:tcBorders>
          </w:tcPr>
          <w:p w14:paraId="7326D283" w14:textId="77777777" w:rsidR="00EF3DFB" w:rsidRDefault="00D27C17">
            <w:pPr>
              <w:pStyle w:val="TableParagraph"/>
              <w:spacing w:before="25" w:line="230" w:lineRule="exact"/>
              <w:ind w:right="116"/>
              <w:jc w:val="right"/>
              <w:rPr>
                <w:sz w:val="20"/>
              </w:rPr>
            </w:pPr>
            <w:r>
              <w:rPr>
                <w:sz w:val="20"/>
              </w:rPr>
              <w:t>526</w:t>
            </w:r>
          </w:p>
        </w:tc>
        <w:tc>
          <w:tcPr>
            <w:tcW w:w="1071" w:type="dxa"/>
            <w:tcBorders>
              <w:bottom w:val="single" w:sz="8" w:space="0" w:color="000000"/>
            </w:tcBorders>
          </w:tcPr>
          <w:p w14:paraId="7326D284" w14:textId="77777777" w:rsidR="00EF3DFB" w:rsidRDefault="00D27C17">
            <w:pPr>
              <w:pStyle w:val="TableParagraph"/>
              <w:spacing w:before="25" w:line="230" w:lineRule="exact"/>
              <w:ind w:right="107"/>
              <w:jc w:val="right"/>
              <w:rPr>
                <w:sz w:val="20"/>
              </w:rPr>
            </w:pPr>
            <w:r>
              <w:rPr>
                <w:sz w:val="20"/>
              </w:rPr>
              <w:t>—</w:t>
            </w:r>
          </w:p>
        </w:tc>
        <w:tc>
          <w:tcPr>
            <w:tcW w:w="1059" w:type="dxa"/>
            <w:tcBorders>
              <w:bottom w:val="single" w:sz="8" w:space="0" w:color="000000"/>
            </w:tcBorders>
          </w:tcPr>
          <w:p w14:paraId="7326D285" w14:textId="77777777" w:rsidR="00EF3DFB" w:rsidRDefault="00D27C17">
            <w:pPr>
              <w:pStyle w:val="TableParagraph"/>
              <w:spacing w:before="25" w:line="230" w:lineRule="exact"/>
              <w:ind w:right="86"/>
              <w:jc w:val="right"/>
              <w:rPr>
                <w:sz w:val="20"/>
              </w:rPr>
            </w:pPr>
            <w:r>
              <w:rPr>
                <w:sz w:val="20"/>
              </w:rPr>
              <w:t>2,890</w:t>
            </w:r>
          </w:p>
        </w:tc>
      </w:tr>
      <w:tr w:rsidR="00EF3DFB" w14:paraId="7326D28F" w14:textId="77777777">
        <w:trPr>
          <w:trHeight w:val="275"/>
        </w:trPr>
        <w:tc>
          <w:tcPr>
            <w:tcW w:w="3000" w:type="dxa"/>
            <w:shd w:val="clear" w:color="auto" w:fill="CCEDFF"/>
          </w:tcPr>
          <w:p w14:paraId="7326D287" w14:textId="77777777" w:rsidR="00EF3DFB" w:rsidRDefault="00D27C17">
            <w:pPr>
              <w:pStyle w:val="TableParagraph"/>
              <w:spacing w:before="15"/>
              <w:ind w:left="412"/>
              <w:rPr>
                <w:sz w:val="20"/>
              </w:rPr>
            </w:pPr>
            <w:r>
              <w:rPr>
                <w:sz w:val="20"/>
              </w:rPr>
              <w:t>Total</w:t>
            </w:r>
          </w:p>
        </w:tc>
        <w:tc>
          <w:tcPr>
            <w:tcW w:w="1028" w:type="dxa"/>
            <w:tcBorders>
              <w:top w:val="single" w:sz="8" w:space="0" w:color="000000"/>
            </w:tcBorders>
            <w:shd w:val="clear" w:color="auto" w:fill="CCEDFF"/>
          </w:tcPr>
          <w:p w14:paraId="7326D288" w14:textId="77777777" w:rsidR="00EF3DFB" w:rsidRDefault="00D27C17">
            <w:pPr>
              <w:pStyle w:val="TableParagraph"/>
              <w:tabs>
                <w:tab w:val="left" w:pos="420"/>
              </w:tabs>
              <w:spacing w:before="15"/>
              <w:ind w:right="102"/>
              <w:jc w:val="right"/>
              <w:rPr>
                <w:sz w:val="20"/>
              </w:rPr>
            </w:pPr>
            <w:r>
              <w:rPr>
                <w:sz w:val="20"/>
                <w:u w:val="single"/>
              </w:rPr>
              <w:t>$</w:t>
            </w:r>
            <w:r>
              <w:rPr>
                <w:sz w:val="20"/>
                <w:u w:val="single"/>
              </w:rPr>
              <w:tab/>
              <w:t>1,819</w:t>
            </w:r>
          </w:p>
        </w:tc>
        <w:tc>
          <w:tcPr>
            <w:tcW w:w="1081" w:type="dxa"/>
            <w:tcBorders>
              <w:top w:val="single" w:sz="8" w:space="0" w:color="000000"/>
            </w:tcBorders>
            <w:shd w:val="clear" w:color="auto" w:fill="CCEDFF"/>
          </w:tcPr>
          <w:p w14:paraId="7326D289" w14:textId="77777777" w:rsidR="00EF3DFB" w:rsidRDefault="00D27C17">
            <w:pPr>
              <w:pStyle w:val="TableParagraph"/>
              <w:tabs>
                <w:tab w:val="left" w:pos="420"/>
              </w:tabs>
              <w:spacing w:before="15"/>
              <w:ind w:right="103"/>
              <w:jc w:val="right"/>
              <w:rPr>
                <w:sz w:val="20"/>
              </w:rPr>
            </w:pPr>
            <w:r>
              <w:rPr>
                <w:sz w:val="20"/>
                <w:u w:val="single"/>
              </w:rPr>
              <w:t>$</w:t>
            </w:r>
            <w:r>
              <w:rPr>
                <w:sz w:val="20"/>
                <w:u w:val="single"/>
              </w:rPr>
              <w:tab/>
              <w:t>1,900</w:t>
            </w:r>
          </w:p>
        </w:tc>
        <w:tc>
          <w:tcPr>
            <w:tcW w:w="1080" w:type="dxa"/>
            <w:tcBorders>
              <w:top w:val="single" w:sz="8" w:space="0" w:color="000000"/>
            </w:tcBorders>
            <w:shd w:val="clear" w:color="auto" w:fill="CCEDFF"/>
          </w:tcPr>
          <w:p w14:paraId="7326D28A" w14:textId="77777777" w:rsidR="00EF3DFB" w:rsidRDefault="00D27C17">
            <w:pPr>
              <w:pStyle w:val="TableParagraph"/>
              <w:tabs>
                <w:tab w:val="left" w:pos="420"/>
              </w:tabs>
              <w:spacing w:before="15"/>
              <w:ind w:right="103"/>
              <w:jc w:val="right"/>
              <w:rPr>
                <w:sz w:val="20"/>
              </w:rPr>
            </w:pPr>
            <w:r>
              <w:rPr>
                <w:sz w:val="20"/>
                <w:u w:val="single"/>
              </w:rPr>
              <w:t>$</w:t>
            </w:r>
            <w:r>
              <w:rPr>
                <w:sz w:val="20"/>
                <w:u w:val="single"/>
              </w:rPr>
              <w:tab/>
              <w:t>1,935</w:t>
            </w:r>
          </w:p>
        </w:tc>
        <w:tc>
          <w:tcPr>
            <w:tcW w:w="1095" w:type="dxa"/>
            <w:tcBorders>
              <w:top w:val="single" w:sz="8" w:space="0" w:color="000000"/>
            </w:tcBorders>
            <w:shd w:val="clear" w:color="auto" w:fill="CCEDFF"/>
          </w:tcPr>
          <w:p w14:paraId="7326D28B" w14:textId="77777777" w:rsidR="00EF3DFB" w:rsidRDefault="00D27C17">
            <w:pPr>
              <w:pStyle w:val="TableParagraph"/>
              <w:tabs>
                <w:tab w:val="left" w:pos="420"/>
              </w:tabs>
              <w:spacing w:before="15"/>
              <w:ind w:right="118"/>
              <w:jc w:val="right"/>
              <w:rPr>
                <w:sz w:val="20"/>
              </w:rPr>
            </w:pPr>
            <w:r>
              <w:rPr>
                <w:sz w:val="20"/>
                <w:u w:val="single"/>
              </w:rPr>
              <w:t>$</w:t>
            </w:r>
            <w:r>
              <w:rPr>
                <w:sz w:val="20"/>
                <w:u w:val="single"/>
              </w:rPr>
              <w:tab/>
              <w:t>2,982</w:t>
            </w:r>
          </w:p>
        </w:tc>
        <w:tc>
          <w:tcPr>
            <w:tcW w:w="1078" w:type="dxa"/>
            <w:tcBorders>
              <w:top w:val="single" w:sz="8" w:space="0" w:color="000000"/>
            </w:tcBorders>
            <w:shd w:val="clear" w:color="auto" w:fill="CCEDFF"/>
          </w:tcPr>
          <w:p w14:paraId="7326D28C" w14:textId="77777777" w:rsidR="00EF3DFB" w:rsidRDefault="00D27C17">
            <w:pPr>
              <w:pStyle w:val="TableParagraph"/>
              <w:tabs>
                <w:tab w:val="left" w:pos="420"/>
              </w:tabs>
              <w:spacing w:before="15"/>
              <w:ind w:right="116"/>
              <w:jc w:val="right"/>
              <w:rPr>
                <w:sz w:val="20"/>
              </w:rPr>
            </w:pPr>
            <w:r>
              <w:rPr>
                <w:sz w:val="20"/>
                <w:u w:val="single"/>
              </w:rPr>
              <w:t>$</w:t>
            </w:r>
            <w:r>
              <w:rPr>
                <w:sz w:val="20"/>
                <w:u w:val="single"/>
              </w:rPr>
              <w:tab/>
              <w:t>1,515</w:t>
            </w:r>
          </w:p>
        </w:tc>
        <w:tc>
          <w:tcPr>
            <w:tcW w:w="1071" w:type="dxa"/>
            <w:tcBorders>
              <w:top w:val="single" w:sz="8" w:space="0" w:color="000000"/>
            </w:tcBorders>
            <w:shd w:val="clear" w:color="auto" w:fill="CCEDFF"/>
          </w:tcPr>
          <w:p w14:paraId="7326D28D" w14:textId="77777777" w:rsidR="00EF3DFB" w:rsidRDefault="00D27C17">
            <w:pPr>
              <w:pStyle w:val="TableParagraph"/>
              <w:tabs>
                <w:tab w:val="left" w:pos="770"/>
              </w:tabs>
              <w:spacing w:before="15"/>
              <w:ind w:right="107"/>
              <w:jc w:val="right"/>
              <w:rPr>
                <w:sz w:val="20"/>
              </w:rPr>
            </w:pPr>
            <w:r>
              <w:rPr>
                <w:sz w:val="20"/>
                <w:u w:val="single"/>
              </w:rPr>
              <w:t>$</w:t>
            </w:r>
            <w:r>
              <w:rPr>
                <w:sz w:val="20"/>
                <w:u w:val="single"/>
              </w:rPr>
              <w:tab/>
              <w:t>3</w:t>
            </w:r>
          </w:p>
        </w:tc>
        <w:tc>
          <w:tcPr>
            <w:tcW w:w="1059" w:type="dxa"/>
            <w:tcBorders>
              <w:top w:val="single" w:sz="8" w:space="0" w:color="000000"/>
            </w:tcBorders>
            <w:shd w:val="clear" w:color="auto" w:fill="CCEDFF"/>
          </w:tcPr>
          <w:p w14:paraId="7326D28E" w14:textId="77777777" w:rsidR="00EF3DFB" w:rsidRDefault="00D27C17">
            <w:pPr>
              <w:pStyle w:val="TableParagraph"/>
              <w:tabs>
                <w:tab w:val="left" w:pos="320"/>
              </w:tabs>
              <w:spacing w:before="15"/>
              <w:ind w:right="86"/>
              <w:jc w:val="right"/>
              <w:rPr>
                <w:sz w:val="20"/>
              </w:rPr>
            </w:pPr>
            <w:r>
              <w:rPr>
                <w:sz w:val="20"/>
                <w:u w:val="single"/>
              </w:rPr>
              <w:t>$</w:t>
            </w:r>
            <w:r>
              <w:rPr>
                <w:sz w:val="20"/>
                <w:u w:val="single"/>
              </w:rPr>
              <w:tab/>
              <w:t>10,154</w:t>
            </w:r>
          </w:p>
        </w:tc>
      </w:tr>
    </w:tbl>
    <w:p w14:paraId="7326D290" w14:textId="41FBB01C" w:rsidR="00EF3DFB" w:rsidRDefault="00D27C17">
      <w:pPr>
        <w:spacing w:line="20" w:lineRule="exact"/>
        <w:ind w:left="3247"/>
        <w:rPr>
          <w:sz w:val="2"/>
        </w:rPr>
      </w:pPr>
      <w:r>
        <w:rPr>
          <w:noProof/>
          <w:sz w:val="2"/>
        </w:rPr>
        <mc:AlternateContent>
          <mc:Choice Requires="wpg">
            <w:drawing>
              <wp:inline distT="0" distB="0" distL="0" distR="0" wp14:anchorId="7326D79D" wp14:editId="0007B01B">
                <wp:extent cx="638175" cy="12700"/>
                <wp:effectExtent l="7620" t="6985" r="11430" b="8890"/>
                <wp:docPr id="13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40" name="Line 123"/>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40CB72" id="Group 122"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">
                <v:line id="Line 123"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nxgAAANwAAAAPAAAAZHJzL2Rvd25yZXYueG1sRI/NagMx&#10;DITvhbyDUaC3xptQ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dqofp8YAAADcAAAA&#10;DwAAAAAAAAAAAAAAAAAHAgAAZHJzL2Rvd25yZXYueG1sUEsFBgAAAAADAAMAtwAAAPoCA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9F" wp14:editId="6B3A335D">
                <wp:extent cx="638175" cy="12700"/>
                <wp:effectExtent l="7620" t="6985" r="11430" b="8890"/>
                <wp:docPr id="13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38" name="Line 121"/>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0204D" id="Group 120"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">
                <v:line id="Line 121"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A1" wp14:editId="57B80B7D">
                <wp:extent cx="638175" cy="12700"/>
                <wp:effectExtent l="7620" t="6985" r="11430" b="8890"/>
                <wp:docPr id="13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36" name="Line 119"/>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C371C7" id="Group 118"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">
                <v:line id="Line 119"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A3" wp14:editId="54A5CAC8">
                <wp:extent cx="638175" cy="12700"/>
                <wp:effectExtent l="7620" t="6985" r="11430" b="8890"/>
                <wp:docPr id="13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34" name="Line 117"/>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41174" id="Group 116"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">
                <v:line id="Line 117"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A5" wp14:editId="4D0D2906">
                <wp:extent cx="638175" cy="12700"/>
                <wp:effectExtent l="7620" t="6985" r="11430" b="8890"/>
                <wp:docPr id="13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32" name="Line 115"/>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038EB" id="Group 114"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">
                <v:line id="Line 115"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A7" wp14:editId="2A82F03B">
                <wp:extent cx="638175" cy="12700"/>
                <wp:effectExtent l="7620" t="6985" r="11430" b="8890"/>
                <wp:docPr id="12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30" name="Line 113"/>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1CC327" id="Group 112"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">
                <v:line id="Line 113"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A9" wp14:editId="7ABCFF34">
                <wp:extent cx="638175" cy="12700"/>
                <wp:effectExtent l="7620" t="6985" r="11430" b="8890"/>
                <wp:docPr id="12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2700"/>
                          <a:chOff x="0" y="0"/>
                          <a:chExt cx="1005" cy="20"/>
                        </a:xfrm>
                      </wpg:grpSpPr>
                      <wps:wsp>
                        <wps:cNvPr id="128" name="Line 111"/>
                        <wps:cNvCnPr>
                          <a:cxnSpLocks noChangeShapeType="1"/>
                        </wps:cNvCnPr>
                        <wps:spPr bwMode="auto">
                          <a:xfrm>
                            <a:off x="0" y="10"/>
                            <a:ext cx="1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D15FA8" id="Group 110" o:spid="_x0000_s1026" style="width:50.25pt;height:1pt;mso-position-horizontal-relative:char;mso-position-vertical-relative:line" coordsize="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">
                <v:line id="Line 111" o:spid="_x0000_s1027" style="position:absolute;visibility:visible;mso-wrap-style:square" from="0,10" to="10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w10:anchorlock/>
              </v:group>
            </w:pict>
          </mc:Fallback>
        </mc:AlternateContent>
      </w:r>
    </w:p>
    <w:p w14:paraId="7326D291" w14:textId="77777777" w:rsidR="00EF3DFB" w:rsidRDefault="00EF3DFB">
      <w:pPr>
        <w:pStyle w:val="BodyText"/>
        <w:spacing w:before="7"/>
        <w:rPr>
          <w:sz w:val="15"/>
        </w:rPr>
      </w:pPr>
    </w:p>
    <w:p w14:paraId="7326D292" w14:textId="77777777" w:rsidR="00EF3DFB" w:rsidRDefault="00D27C17">
      <w:pPr>
        <w:pStyle w:val="BodyText"/>
        <w:spacing w:before="92" w:line="249" w:lineRule="auto"/>
        <w:ind w:left="190" w:right="168"/>
        <w:jc w:val="both"/>
      </w:pPr>
      <w:r>
        <w:t>Beginning January 1, 2021, the Company will report the oper</w:t>
      </w:r>
      <w:r>
        <w:t>ating results of its cookware product lines as part of the Food reporting unit within the Home Solutions segment, and no longer as part of the Appliances and Cookware segment. This change was the result of an assessment by the CODM to better align the cook</w:t>
      </w:r>
      <w:r>
        <w:t>ware product lines with other similar product lines in various food categories. In connection with this change, the CEO for the Foods business will assume full responsibility for the overall brand strategy, business modeling, marketing and innovation of th</w:t>
      </w:r>
      <w:r>
        <w:t>ese product lines. The Company has determined this product line change did not result in a change to either of its Home Solutions or Appliances and Cookware reportable segments. Subsequent to this change, the Appliances and Cookware segment will be referre</w:t>
      </w:r>
      <w:r>
        <w:t>d to as Home Appliances. The Company will recast prior period comparable results for both of these segments in its first quarter 2021 reporting to conform to this product line</w:t>
      </w:r>
      <w:r>
        <w:rPr>
          <w:spacing w:val="-28"/>
        </w:rPr>
        <w:t xml:space="preserve"> </w:t>
      </w:r>
      <w:r>
        <w:t>change.</w:t>
      </w:r>
    </w:p>
    <w:p w14:paraId="7326D293" w14:textId="77777777" w:rsidR="00EF3DFB" w:rsidRDefault="00EF3DFB">
      <w:pPr>
        <w:spacing w:line="249" w:lineRule="auto"/>
        <w:jc w:val="both"/>
        <w:sectPr w:rsidR="00EF3DFB">
          <w:pgSz w:w="12240" w:h="15840"/>
          <w:pgMar w:top="620" w:right="640" w:bottom="480" w:left="620" w:header="0" w:footer="291" w:gutter="0"/>
          <w:cols w:space="720"/>
        </w:sectPr>
      </w:pPr>
    </w:p>
    <w:p w14:paraId="7326D294" w14:textId="77777777" w:rsidR="00EF3DFB" w:rsidRDefault="00D27C17">
      <w:pPr>
        <w:pStyle w:val="Heading2"/>
        <w:spacing w:before="68"/>
      </w:pPr>
      <w:bookmarkStart w:id="66" w:name="Footnote_18_—_Litigation_and_Contingenci"/>
      <w:bookmarkEnd w:id="66"/>
      <w:r>
        <w:lastRenderedPageBreak/>
        <w:t>Footnote 18 — Litigation and Contingencies</w:t>
      </w:r>
    </w:p>
    <w:p w14:paraId="7326D295" w14:textId="77777777" w:rsidR="00EF3DFB" w:rsidRDefault="00EF3DFB">
      <w:pPr>
        <w:pStyle w:val="BodyText"/>
        <w:rPr>
          <w:b/>
          <w:sz w:val="22"/>
        </w:rPr>
      </w:pPr>
    </w:p>
    <w:p w14:paraId="7326D296" w14:textId="77777777" w:rsidR="00EF3DFB" w:rsidRDefault="00D27C17">
      <w:pPr>
        <w:pStyle w:val="BodyText"/>
        <w:spacing w:before="1"/>
        <w:ind w:left="190" w:right="168"/>
        <w:jc w:val="both"/>
      </w:pPr>
      <w:r>
        <w:t>The Company is subject to various claims and lawsuits in the ordinary course of business, including from time to time, contractual disputes, employment and environmental matters, product and general liability claims, claims that the Company has infringed o</w:t>
      </w:r>
      <w:r>
        <w:t>n the intellectual property rights of others, and consumer and employment class actions. Some of the legal proceedings include claims for punitive as well as compensatory damages. In the ordinary course of business, the Company is also subject to legislati</w:t>
      </w:r>
      <w:r>
        <w:t>ve requests, regulatory and governmental examinations, information requests and subpoenas, inquiries, investigations, and threatened legal actions and proceedings. In connection with such formal and informal inquiries, the Company receives numerous request</w:t>
      </w:r>
      <w:r>
        <w:t>s, subpoenas, and orders for documents, testimony, and information in connection with various aspects of its activities. The Company previously disclosed that it had received a subpoena and related informal document requests from the U.S. Securities and Ex</w:t>
      </w:r>
      <w:r>
        <w:t>change Commission (the “SEC”) primarily relating to its sales practices and certain accounting matters for the time period beginning from January 1, 2016. The Company has cooperated in providing documents and information to the SEC in connection with its i</w:t>
      </w:r>
      <w:r>
        <w:t>nvestigation and intends to continue to do so. The Company cannot predict the timing or outcome of this investigation.</w:t>
      </w:r>
    </w:p>
    <w:p w14:paraId="7326D297" w14:textId="77777777" w:rsidR="00EF3DFB" w:rsidRDefault="00EF3DFB">
      <w:pPr>
        <w:pStyle w:val="BodyText"/>
        <w:spacing w:before="10"/>
      </w:pPr>
    </w:p>
    <w:p w14:paraId="7326D298" w14:textId="77777777" w:rsidR="00EF3DFB" w:rsidRDefault="00D27C17">
      <w:pPr>
        <w:ind w:left="190"/>
        <w:jc w:val="both"/>
        <w:rPr>
          <w:i/>
          <w:sz w:val="20"/>
        </w:rPr>
      </w:pPr>
      <w:r>
        <w:rPr>
          <w:i/>
          <w:sz w:val="20"/>
        </w:rPr>
        <w:t>Securities Litigation</w:t>
      </w:r>
    </w:p>
    <w:p w14:paraId="7326D299" w14:textId="77777777" w:rsidR="00EF3DFB" w:rsidRDefault="00EF3DFB">
      <w:pPr>
        <w:pStyle w:val="BodyText"/>
        <w:spacing w:before="8"/>
        <w:rPr>
          <w:i/>
          <w:sz w:val="21"/>
        </w:rPr>
      </w:pPr>
    </w:p>
    <w:p w14:paraId="7326D29A" w14:textId="77777777" w:rsidR="00EF3DFB" w:rsidRDefault="00D27C17">
      <w:pPr>
        <w:pStyle w:val="BodyText"/>
        <w:spacing w:line="249" w:lineRule="auto"/>
        <w:ind w:left="190" w:right="168"/>
        <w:jc w:val="both"/>
      </w:pPr>
      <w:r>
        <w:t>Certain of the Company’s current and former officers and directors have been named in shareholder derivative laws</w:t>
      </w:r>
      <w:r>
        <w:t>uits. On October 29, 2018, a shareholder filed a putative derivative complaint, Streicher v. Polk, et al., in the United States District Court for the District of Delaware (the “Streicher Derivative Action”), purportedly on behalf of the Company against ce</w:t>
      </w:r>
      <w:r>
        <w:t xml:space="preserve">rtain of the Company's current and former officers and directors. On October 30, 2018, another shareholder filed a putative derivative complaint, Martindale v. Polk, et al., in the United States District Court for the District of Delaware (the “Martindale </w:t>
      </w:r>
      <w:r>
        <w:t>Derivative Action”), asserting substantially similar claims purportedly on behalf of the Company against the same defendants. The complaints allege, among other things, violations of the federal securities laws, breaches of fiduciary duties, unjust enrichm</w:t>
      </w:r>
      <w:r>
        <w:t>ent, and waste of corporate assets. The factual allegations underlying these claims are similar to the factual allegations made in the In re Newell Brands, Inc. Securities Litigation filed in the United States District Court for the District of New Jersey,</w:t>
      </w:r>
      <w:r>
        <w:t xml:space="preserve"> further described below. The complaints seek unspecified damages and restitution for the Company from the individual defendants, the payment of costs and attorneys’ fees, and that the Company be directed to reform certain governance and internal procedure</w:t>
      </w:r>
      <w:r>
        <w:t>s. The Streicher Derivative Action and the Martindale Derivative Action have been consolidated and the case is now known as In re Newell Brands Inc. Derivative Litigation (the "Newell Brands Derivative Action”), which is pending in the United States Distri</w:t>
      </w:r>
      <w:r>
        <w:t>ct Court for the District of Delaware. On January 31, 2019, the United States District Court for the District of Delaware stayed the Newell Brands Derivative Action pending the final resolution of the motions to dismiss filed in In re Newell Brands Inc. Se</w:t>
      </w:r>
      <w:r>
        <w:t>curities Litigation and Oklahoma Firefighters Pension and Retirement System v. Newell Brands Inc., et al. (described below). On December 30, 2020, two shareholders filed another putative derivative complaint, Weber, et al. v. Polk, et al., in the United St</w:t>
      </w:r>
      <w:r>
        <w:t>ates District Court for the District of Delaware (the “Weber Derivative Action”), purportedly on behalf of the Company against certain of the Company’s current and former officers and directors. The complaint in the Weber Derivative Action alleges, among o</w:t>
      </w:r>
      <w:r>
        <w:t>ther things, breaches of fiduciary duty and waste of corporate assets. The factual allegations underlying these claims are similar to the factual allegations made in the Newell Brands Derivative Action, as well as those made in the In re Newell Brands Inc.</w:t>
      </w:r>
      <w:r>
        <w:t xml:space="preserve"> Securities Litigation filed in the United States District Court for the District of New Jersey (described below), and those made in the securities class action lawsuit filed in the Superior Court of New Jersey, Hudson County, also described below. As in t</w:t>
      </w:r>
      <w:r>
        <w:t>he Newell Brands Derivative Action, the Weber Derivative Action seeks unspecified damages and restitution for the Company from the individual defendants, the payment of costs and attorneys' fees, and that the Company be directed to reform certain governanc</w:t>
      </w:r>
      <w:r>
        <w:t>e and internal</w:t>
      </w:r>
      <w:r>
        <w:rPr>
          <w:spacing w:val="-18"/>
        </w:rPr>
        <w:t xml:space="preserve"> </w:t>
      </w:r>
      <w:r>
        <w:t>procedures.</w:t>
      </w:r>
    </w:p>
    <w:p w14:paraId="7326D29B" w14:textId="77777777" w:rsidR="00EF3DFB" w:rsidRDefault="00EF3DFB">
      <w:pPr>
        <w:pStyle w:val="BodyText"/>
        <w:spacing w:before="8"/>
        <w:rPr>
          <w:sz w:val="22"/>
        </w:rPr>
      </w:pPr>
    </w:p>
    <w:p w14:paraId="7326D29C" w14:textId="77777777" w:rsidR="00EF3DFB" w:rsidRDefault="00D27C17">
      <w:pPr>
        <w:pStyle w:val="BodyText"/>
        <w:spacing w:line="249" w:lineRule="auto"/>
        <w:ind w:left="190" w:right="168"/>
        <w:jc w:val="both"/>
      </w:pPr>
      <w:r>
        <w:t>The Company and certain of its current and former officers and directors have been named as defendants in a putative securities class action lawsuit filed in the Superior Court of New Jersey, Hudson County, on behalf of all pers</w:t>
      </w:r>
      <w:r>
        <w:t>ons who acquired Company common stock pursuant or traceable to the S-4 registration statement and prospectus issued in connection with the April 2016 acquisition of Jarden (the “Registration Statement”). The action was filed on September 6, 2018, and is ca</w:t>
      </w:r>
      <w:r>
        <w:t xml:space="preserve">ptioned Oklahoma Firefighters Pension and Retirement System v. Newell Brands Inc., et al., Civil Action No. HUD-L-003492-18. The operative complaint alleges certain violations of the securities laws, including, among other things, that the defendants made </w:t>
      </w:r>
      <w:r>
        <w:t>certain materially false and misleading statements and omissions in the Registration Statement regarding the Company’s financial results, trends, and metrics. The plaintiff seeks compensatory damages and attorneys’ fees and costs, among other relief, but h</w:t>
      </w:r>
      <w:r>
        <w:t>as not specified the amount of damages being sought. The Company intends to defend the litigation vigorously.</w:t>
      </w:r>
    </w:p>
    <w:p w14:paraId="7326D29D" w14:textId="77777777" w:rsidR="00EF3DFB" w:rsidRDefault="00EF3DFB">
      <w:pPr>
        <w:pStyle w:val="BodyText"/>
        <w:spacing w:before="6"/>
        <w:rPr>
          <w:sz w:val="21"/>
        </w:rPr>
      </w:pPr>
    </w:p>
    <w:p w14:paraId="7326D29E" w14:textId="77777777" w:rsidR="00EF3DFB" w:rsidRDefault="00D27C17">
      <w:pPr>
        <w:spacing w:line="249" w:lineRule="auto"/>
        <w:ind w:left="190" w:right="168"/>
        <w:jc w:val="both"/>
        <w:rPr>
          <w:sz w:val="20"/>
        </w:rPr>
      </w:pPr>
      <w:r>
        <w:rPr>
          <w:sz w:val="20"/>
        </w:rPr>
        <w:t xml:space="preserve">The Company and certain of its officers have been named as defendants in two putative securities class action lawsuits, each filed in the United </w:t>
      </w:r>
      <w:r>
        <w:rPr>
          <w:sz w:val="20"/>
        </w:rPr>
        <w:t xml:space="preserve">States District Court for the District of New Jersey, on behalf of all persons who purchased or otherwise acquired the Company's common stock between February 6, 2017 and January 24, 2018. The first lawsuit was filed on June 21, 2018 and is captioned </w:t>
      </w:r>
      <w:r>
        <w:rPr>
          <w:i/>
          <w:sz w:val="20"/>
        </w:rPr>
        <w:t>Bucks</w:t>
      </w:r>
      <w:r>
        <w:rPr>
          <w:i/>
          <w:sz w:val="20"/>
        </w:rPr>
        <w:t xml:space="preserve"> County Employees Retirement Fund, Individually and on behalf of All Others Similarly Situated v. Newell Brands Inc., Michael B. Polk, Ralph J. Nicoletti, and James L. Cunningham, III</w:t>
      </w:r>
      <w:r>
        <w:rPr>
          <w:sz w:val="20"/>
        </w:rPr>
        <w:t>, Civil Action No. 2:18-cv-10878 (United States District Court for the Di</w:t>
      </w:r>
      <w:r>
        <w:rPr>
          <w:sz w:val="20"/>
        </w:rPr>
        <w:t xml:space="preserve">strict of New Jersey). The second lawsuit was filed on June 27, 2018 and is captioned </w:t>
      </w:r>
      <w:r>
        <w:rPr>
          <w:i/>
          <w:sz w:val="20"/>
        </w:rPr>
        <w:t xml:space="preserve">Matthew Barnett, Individually </w:t>
      </w:r>
      <w:r>
        <w:rPr>
          <w:i/>
          <w:sz w:val="20"/>
        </w:rPr>
        <w:t>and on Behalf of All Others Similarly Situated v. Newell Brands Inc., Michael B. Polk, Ralph J. Nicoletti, and James L. Cunningham,</w:t>
      </w:r>
      <w:r>
        <w:rPr>
          <w:i/>
          <w:spacing w:val="10"/>
          <w:sz w:val="20"/>
        </w:rPr>
        <w:t xml:space="preserve"> </w:t>
      </w:r>
      <w:r>
        <w:rPr>
          <w:i/>
          <w:sz w:val="20"/>
        </w:rPr>
        <w:t>III</w:t>
      </w:r>
      <w:r>
        <w:rPr>
          <w:sz w:val="20"/>
        </w:rPr>
        <w:t>,</w:t>
      </w:r>
      <w:r>
        <w:rPr>
          <w:spacing w:val="10"/>
          <w:sz w:val="20"/>
        </w:rPr>
        <w:t xml:space="preserve"> </w:t>
      </w:r>
      <w:r>
        <w:rPr>
          <w:sz w:val="20"/>
        </w:rPr>
        <w:t>Civil</w:t>
      </w:r>
      <w:r>
        <w:rPr>
          <w:spacing w:val="10"/>
          <w:sz w:val="20"/>
        </w:rPr>
        <w:t xml:space="preserve"> </w:t>
      </w:r>
      <w:r>
        <w:rPr>
          <w:sz w:val="20"/>
        </w:rPr>
        <w:t>Action</w:t>
      </w:r>
      <w:r>
        <w:rPr>
          <w:spacing w:val="10"/>
          <w:sz w:val="20"/>
        </w:rPr>
        <w:t xml:space="preserve"> </w:t>
      </w:r>
      <w:r>
        <w:rPr>
          <w:sz w:val="20"/>
        </w:rPr>
        <w:t>No.</w:t>
      </w:r>
      <w:r>
        <w:rPr>
          <w:spacing w:val="10"/>
          <w:sz w:val="20"/>
        </w:rPr>
        <w:t xml:space="preserve"> </w:t>
      </w:r>
      <w:r>
        <w:rPr>
          <w:sz w:val="20"/>
        </w:rPr>
        <w:t>2:18-cv-11132</w:t>
      </w:r>
      <w:r>
        <w:rPr>
          <w:spacing w:val="10"/>
          <w:sz w:val="20"/>
        </w:rPr>
        <w:t xml:space="preserve"> </w:t>
      </w:r>
      <w:r>
        <w:rPr>
          <w:sz w:val="20"/>
        </w:rPr>
        <w:t>(United</w:t>
      </w:r>
      <w:r>
        <w:rPr>
          <w:spacing w:val="10"/>
          <w:sz w:val="20"/>
        </w:rPr>
        <w:t xml:space="preserve"> </w:t>
      </w:r>
      <w:r>
        <w:rPr>
          <w:sz w:val="20"/>
        </w:rPr>
        <w:t>States</w:t>
      </w:r>
      <w:r>
        <w:rPr>
          <w:spacing w:val="10"/>
          <w:sz w:val="20"/>
        </w:rPr>
        <w:t xml:space="preserve"> </w:t>
      </w:r>
      <w:r>
        <w:rPr>
          <w:sz w:val="20"/>
        </w:rPr>
        <w:t>District</w:t>
      </w:r>
      <w:r>
        <w:rPr>
          <w:spacing w:val="10"/>
          <w:sz w:val="20"/>
        </w:rPr>
        <w:t xml:space="preserve"> </w:t>
      </w:r>
      <w:r>
        <w:rPr>
          <w:sz w:val="20"/>
        </w:rPr>
        <w:t>Court</w:t>
      </w:r>
      <w:r>
        <w:rPr>
          <w:spacing w:val="10"/>
          <w:sz w:val="20"/>
        </w:rPr>
        <w:t xml:space="preserve"> </w:t>
      </w:r>
      <w:r>
        <w:rPr>
          <w:sz w:val="20"/>
        </w:rPr>
        <w:t>for</w:t>
      </w:r>
      <w:r>
        <w:rPr>
          <w:spacing w:val="10"/>
          <w:sz w:val="20"/>
        </w:rPr>
        <w:t xml:space="preserve"> </w:t>
      </w:r>
      <w:r>
        <w:rPr>
          <w:sz w:val="20"/>
        </w:rPr>
        <w:t>the</w:t>
      </w:r>
      <w:r>
        <w:rPr>
          <w:spacing w:val="10"/>
          <w:sz w:val="20"/>
        </w:rPr>
        <w:t xml:space="preserve"> </w:t>
      </w:r>
      <w:r>
        <w:rPr>
          <w:sz w:val="20"/>
        </w:rPr>
        <w:t>District</w:t>
      </w:r>
      <w:r>
        <w:rPr>
          <w:spacing w:val="10"/>
          <w:sz w:val="20"/>
        </w:rPr>
        <w:t xml:space="preserve"> </w:t>
      </w:r>
      <w:r>
        <w:rPr>
          <w:sz w:val="20"/>
        </w:rPr>
        <w:t>of</w:t>
      </w:r>
      <w:r>
        <w:rPr>
          <w:spacing w:val="10"/>
          <w:sz w:val="20"/>
        </w:rPr>
        <w:t xml:space="preserve"> </w:t>
      </w:r>
      <w:r>
        <w:rPr>
          <w:sz w:val="20"/>
        </w:rPr>
        <w:t>New</w:t>
      </w:r>
      <w:r>
        <w:rPr>
          <w:spacing w:val="10"/>
          <w:sz w:val="20"/>
        </w:rPr>
        <w:t xml:space="preserve"> </w:t>
      </w:r>
      <w:r>
        <w:rPr>
          <w:sz w:val="20"/>
        </w:rPr>
        <w:t>Jersey).</w:t>
      </w:r>
      <w:r>
        <w:rPr>
          <w:spacing w:val="10"/>
          <w:sz w:val="20"/>
        </w:rPr>
        <w:t xml:space="preserve"> </w:t>
      </w:r>
      <w:r>
        <w:rPr>
          <w:sz w:val="20"/>
        </w:rPr>
        <w:t>On</w:t>
      </w:r>
      <w:r>
        <w:rPr>
          <w:spacing w:val="10"/>
          <w:sz w:val="20"/>
        </w:rPr>
        <w:t xml:space="preserve"> </w:t>
      </w:r>
      <w:r>
        <w:rPr>
          <w:sz w:val="20"/>
        </w:rPr>
        <w:t>September</w:t>
      </w:r>
      <w:r>
        <w:rPr>
          <w:spacing w:val="10"/>
          <w:sz w:val="20"/>
        </w:rPr>
        <w:t xml:space="preserve"> </w:t>
      </w:r>
      <w:r>
        <w:rPr>
          <w:sz w:val="20"/>
        </w:rPr>
        <w:t>27,</w:t>
      </w:r>
    </w:p>
    <w:p w14:paraId="7326D29F" w14:textId="77777777" w:rsidR="00EF3DFB" w:rsidRDefault="00EF3DFB">
      <w:pPr>
        <w:spacing w:line="249" w:lineRule="auto"/>
        <w:jc w:val="both"/>
        <w:rPr>
          <w:sz w:val="20"/>
        </w:rPr>
        <w:sectPr w:rsidR="00EF3DFB">
          <w:pgSz w:w="12240" w:h="15840"/>
          <w:pgMar w:top="600" w:right="640" w:bottom="480" w:left="620" w:header="0" w:footer="291" w:gutter="0"/>
          <w:cols w:space="720"/>
        </w:sectPr>
      </w:pPr>
    </w:p>
    <w:p w14:paraId="7326D2A0" w14:textId="77777777" w:rsidR="00EF3DFB" w:rsidRDefault="00D27C17">
      <w:pPr>
        <w:pStyle w:val="BodyText"/>
        <w:spacing w:before="72" w:line="249" w:lineRule="auto"/>
        <w:ind w:left="190" w:right="168"/>
        <w:jc w:val="both"/>
      </w:pPr>
      <w:r>
        <w:lastRenderedPageBreak/>
        <w:t xml:space="preserve">2018, the court consolidated these two cases under Civil Action No. 18-cv-10878 (JMV)(JBC) bearing the caption </w:t>
      </w:r>
      <w:r>
        <w:rPr>
          <w:i/>
        </w:rPr>
        <w:t>In re Newell Brands, Inc. Securities Litigation</w:t>
      </w:r>
      <w:r>
        <w:t xml:space="preserve">. The court also named Hampshire County Council Pension Fund as the lead plaintiff </w:t>
      </w:r>
      <w:r>
        <w:t xml:space="preserve">in the consolidated case. The operative complaint alleges certain violations of the securities laws, including, among other things, that the defendants made certain materially false and misleading statements and omissions regarding the Company’s business, </w:t>
      </w:r>
      <w:r>
        <w:t>operations, and prospects between February 6, 2017 and January 24, 2018. The plaintiffs seek compensatory damages and attorneys’ fees and costs, among other relief, but have not specified the amount of damages being sought. The Company intends to defend th</w:t>
      </w:r>
      <w:r>
        <w:t xml:space="preserve">e litigation vigorously. On January 10, 2020, the court in </w:t>
      </w:r>
      <w:r>
        <w:rPr>
          <w:i/>
        </w:rPr>
        <w:t xml:space="preserve">In re Newell Brands Inc. Securities Litigation </w:t>
      </w:r>
      <w:r>
        <w:t>entered a dismissal with prejudice after granting the Company’s motion to dismiss. On February 7, 2020, the plaintiffs filed an appeal to the United S</w:t>
      </w:r>
      <w:r>
        <w:t>tates Court of Appeals for the Third Circuit. On December 1, 2020, the Court of Appeals affirmed the dismissal.</w:t>
      </w:r>
    </w:p>
    <w:p w14:paraId="7326D2A1" w14:textId="77777777" w:rsidR="00EF3DFB" w:rsidRDefault="00EF3DFB">
      <w:pPr>
        <w:pStyle w:val="BodyText"/>
        <w:spacing w:before="2"/>
        <w:rPr>
          <w:sz w:val="21"/>
        </w:rPr>
      </w:pPr>
    </w:p>
    <w:p w14:paraId="7326D2A2" w14:textId="77777777" w:rsidR="00EF3DFB" w:rsidRDefault="00D27C17">
      <w:pPr>
        <w:pStyle w:val="Heading3"/>
      </w:pPr>
      <w:r>
        <w:t>Jarden Acquisition</w:t>
      </w:r>
    </w:p>
    <w:p w14:paraId="7326D2A3" w14:textId="77777777" w:rsidR="00EF3DFB" w:rsidRDefault="00EF3DFB">
      <w:pPr>
        <w:pStyle w:val="BodyText"/>
        <w:rPr>
          <w:b/>
          <w:i/>
          <w:sz w:val="22"/>
        </w:rPr>
      </w:pPr>
    </w:p>
    <w:p w14:paraId="7326D2A4" w14:textId="77777777" w:rsidR="00EF3DFB" w:rsidRDefault="00D27C17">
      <w:pPr>
        <w:pStyle w:val="BodyText"/>
        <w:spacing w:before="1" w:line="249" w:lineRule="auto"/>
        <w:ind w:left="190" w:right="167"/>
        <w:jc w:val="both"/>
      </w:pPr>
      <w:r>
        <w:t>Under the Delaware General Corporation Law (“DGCL”), any Jarden stockholder who did not vote in favor of adoption of the Ag</w:t>
      </w:r>
      <w:r>
        <w:t>reement and Plan of Merger for the Jarden acquisition, and who otherwise complies with the provisions of Section 262 of the DGCL, was entitled to seek an appraisal of his or her shares of Jarden common stock by the Court of Chancery of the State of Delawar</w:t>
      </w:r>
      <w:r>
        <w:t xml:space="preserve">e as provided under Section 262 of the DGCL. Two separate appraisal petitions, styled as </w:t>
      </w:r>
      <w:r>
        <w:rPr>
          <w:i/>
        </w:rPr>
        <w:t>Dunham Monthly Distribution Fund v. Jarden Corporation</w:t>
      </w:r>
      <w:r>
        <w:t xml:space="preserve">, Case No. 12454-VCS (Court of Chancery of the State of Delaware), and </w:t>
      </w:r>
      <w:r>
        <w:rPr>
          <w:i/>
        </w:rPr>
        <w:t>Merion Capital LP v. Jarden Corporation</w:t>
      </w:r>
      <w:r>
        <w:t>, C</w:t>
      </w:r>
      <w:r>
        <w:t xml:space="preserve">ase No. 12456-VCS (Court of Chancery of the State of Delaware), respectively, were filed on June 14, 2016 by a total of ten purported Jarden stockholders seeking an appraisal of the fair value of their shares of Jarden common stock pursuant to Section 262 </w:t>
      </w:r>
      <w:r>
        <w:t xml:space="preserve">of the DGCL. A third appraisal petition, </w:t>
      </w:r>
      <w:r>
        <w:rPr>
          <w:i/>
        </w:rPr>
        <w:t>Fir Tree Value Master Fund, LP v. Jarden Corporation</w:t>
      </w:r>
      <w:r>
        <w:t xml:space="preserve">, Case No. 12546-VCS (Court of Chancery of the State of Delaware), was filed on July 8, 2016 by two purported Jarden stockholders seeking an appraisal of the fair </w:t>
      </w:r>
      <w:r>
        <w:t xml:space="preserve">value of their shares of Jarden common stock pursuant to Section 262 of the DGCL. A fourth appraisal petition, </w:t>
      </w:r>
      <w:r>
        <w:rPr>
          <w:i/>
        </w:rPr>
        <w:t>Veritian Partners Master Fund LTP v. Jarden Corporation</w:t>
      </w:r>
      <w:r>
        <w:t>, Case No. 12650-VCS (Court of Chancery of the State of Delaware), was filed on August 12,</w:t>
      </w:r>
      <w:r>
        <w:t xml:space="preserve"> 2016 by two purported Jarden stockholders seeking an appraisal of the fair value of their shares of Jarden common stock pursuant to Section 262 of the DGCL. On or about October 3, 2016, the foregoing petitions were consolidated for joint prosecution under</w:t>
      </w:r>
      <w:r>
        <w:t xml:space="preserve"> Case No. 12456-VCS. The holders of a total of approximately 10.6 million former Jarden shares were represented in these actions initially.</w:t>
      </w:r>
    </w:p>
    <w:p w14:paraId="7326D2A5" w14:textId="77777777" w:rsidR="00EF3DFB" w:rsidRDefault="00EF3DFB">
      <w:pPr>
        <w:pStyle w:val="BodyText"/>
        <w:spacing w:before="10"/>
        <w:rPr>
          <w:sz w:val="21"/>
        </w:rPr>
      </w:pPr>
    </w:p>
    <w:p w14:paraId="7326D2A6" w14:textId="77777777" w:rsidR="00EF3DFB" w:rsidRDefault="00D27C17">
      <w:pPr>
        <w:pStyle w:val="BodyText"/>
        <w:spacing w:line="249" w:lineRule="auto"/>
        <w:ind w:left="190" w:right="169"/>
        <w:jc w:val="both"/>
      </w:pPr>
      <w:r>
        <w:t>On July 5, 2017 and July 6, 2017, Jarden and 11 of the dissenting stockholders (collectively, the “Settling Petitioners”), entered into settlement agreements with respect to approximately 7.7 million former Jarden shares (collectively, the “Settlement Agre</w:t>
      </w:r>
      <w:r>
        <w:t>ements”). Pursuant to the Settlement Agreements, in exchange for withdrawing their respective demands for appraisal of their shares of Jarden common stock and a full and final release of all claims, among other things, the Settling Petitioners received the</w:t>
      </w:r>
      <w:r>
        <w:t xml:space="preserve"> original merger consideration provided for under the Merger Agreement, specifically (1) 0.862 of a share of Newell common stock, and (2) $21.00 in cash, per share of Jarden common stock (collectively, the “Merger Consideration”), excluding any and all oth</w:t>
      </w:r>
      <w:r>
        <w:t>er benefits, including, without limitation, the right to accrued interest, dividends, and/or distributions. Accordingly, pursuant to the terms of the Settlement Agreements, Newell issued 6.6 million shares of Newell common stock to the Settling Petitioners</w:t>
      </w:r>
      <w:r>
        <w:t xml:space="preserve"> (representing the stock component of the Merger Consideration), and authorized payment to the Settling Petitioners of approximately $162 million (representing the cash component of the Merger Consideration).</w:t>
      </w:r>
    </w:p>
    <w:p w14:paraId="7326D2A7" w14:textId="77777777" w:rsidR="00EF3DFB" w:rsidRDefault="00EF3DFB">
      <w:pPr>
        <w:pStyle w:val="BodyText"/>
        <w:spacing w:before="7"/>
        <w:rPr>
          <w:sz w:val="21"/>
        </w:rPr>
      </w:pPr>
    </w:p>
    <w:p w14:paraId="7326D2A8" w14:textId="77777777" w:rsidR="00EF3DFB" w:rsidRDefault="00D27C17">
      <w:pPr>
        <w:pStyle w:val="BodyText"/>
        <w:spacing w:line="249" w:lineRule="auto"/>
        <w:ind w:left="190" w:right="168"/>
        <w:jc w:val="both"/>
      </w:pPr>
      <w:r>
        <w:t>On July 19, 2019, the Court issued an order in</w:t>
      </w:r>
      <w:r>
        <w:t xml:space="preserve"> which it determined that the fair value of the remaining Jarden shares at the date of the Merger was $48.31 per share, reflecting approximately $140 million in value to be paid in cash to the remaining dissenting shareholders. The Court also ordered the p</w:t>
      </w:r>
      <w:r>
        <w:t>ayment of accrued interest, compounded quarterly, and accruing from the date of closing to the date of payment. Following an unsuccessful motion for re-argument by the remaining dissenting shareholders, the Court entered judgment on its valuation on Octobe</w:t>
      </w:r>
      <w:r>
        <w:t>r 2, 2019. On October 4, 2019, the Company paid the judgment in the amount of approximately $177 million, which terminated the accumulation of interest on the judgment amount. On July 9, 2020, following an appeal by the dissenting shareholders, the Supreme</w:t>
      </w:r>
      <w:r>
        <w:t xml:space="preserve"> Court of Delaware affirmed the judgment. The Company reflected the amounts of $171 million and $6 million, respectively, as a financing cash outflow and operating cash outflow in the Company’s Consolidated Statement of Cash Flows for the year ended Decemb</w:t>
      </w:r>
      <w:r>
        <w:t>er 31, 2019.</w:t>
      </w:r>
    </w:p>
    <w:p w14:paraId="7326D2A9" w14:textId="77777777" w:rsidR="00EF3DFB" w:rsidRDefault="00EF3DFB">
      <w:pPr>
        <w:spacing w:line="249" w:lineRule="auto"/>
        <w:jc w:val="both"/>
        <w:sectPr w:rsidR="00EF3DFB">
          <w:pgSz w:w="12240" w:h="15840"/>
          <w:pgMar w:top="600" w:right="640" w:bottom="480" w:left="620" w:header="0" w:footer="291" w:gutter="0"/>
          <w:cols w:space="720"/>
        </w:sectPr>
      </w:pPr>
    </w:p>
    <w:p w14:paraId="7326D2AA" w14:textId="77777777" w:rsidR="00EF3DFB" w:rsidRDefault="00D27C17">
      <w:pPr>
        <w:spacing w:before="72"/>
        <w:ind w:left="190"/>
        <w:jc w:val="both"/>
        <w:rPr>
          <w:i/>
          <w:sz w:val="20"/>
        </w:rPr>
      </w:pPr>
      <w:r>
        <w:rPr>
          <w:i/>
          <w:sz w:val="20"/>
        </w:rPr>
        <w:lastRenderedPageBreak/>
        <w:t>Gizmo Children’s Cup Recall</w:t>
      </w:r>
    </w:p>
    <w:p w14:paraId="7326D2AB" w14:textId="77777777" w:rsidR="00EF3DFB" w:rsidRDefault="00EF3DFB">
      <w:pPr>
        <w:pStyle w:val="BodyText"/>
        <w:spacing w:before="8"/>
        <w:rPr>
          <w:i/>
          <w:sz w:val="21"/>
        </w:rPr>
      </w:pPr>
    </w:p>
    <w:p w14:paraId="7326D2AC" w14:textId="77777777" w:rsidR="00EF3DFB" w:rsidRDefault="00D27C17">
      <w:pPr>
        <w:pStyle w:val="BodyText"/>
        <w:spacing w:line="249" w:lineRule="auto"/>
        <w:ind w:left="190" w:right="167"/>
        <w:jc w:val="both"/>
      </w:pPr>
      <w:r>
        <w:t xml:space="preserve">In June 2019, a subsidiary of the Company conducted an internal investigation to determine the root cause of an issue related to a product line in the Outdoor and Recreation segment that was reported </w:t>
      </w:r>
      <w:r>
        <w:t xml:space="preserve">to the Company by one of its retailers. The Company determined that because of an issue occurring infrequently, but on a random basis, during the manufacturing process, the Gizmo Children’s cup may present users with a potential safety concern because the </w:t>
      </w:r>
      <w:r>
        <w:t>silicone spout may detach from the nylon base. The Company reported the issue to the Consumer Product Safety Commission and Health Canada, and issued a return authorization notice to retail customers. The Company announced a recall of the product on August</w:t>
      </w:r>
      <w:r>
        <w:t xml:space="preserve"> 27, 2019 offering consumers a replacement lid if they had an affected product. In late 2019, the Company discovered that some product that had been inspected and subsequently resold or used as replacement lids for the recall was exhibiting the same type o</w:t>
      </w:r>
      <w:r>
        <w:t>f separation of the spout from the lid base. The Company investigated the issue and ultimately determined to extend the recall to include the inspected product. The Company reported this conclusion to the relevant authorities and on February 19, 2020 annou</w:t>
      </w:r>
      <w:r>
        <w:t>nced an expansion of the recall. The Company has incurred inception to date charges associated with this matter of $22 million, including $2 million during 2020, net of recoveries from a third-party</w:t>
      </w:r>
      <w:r>
        <w:rPr>
          <w:spacing w:val="-4"/>
        </w:rPr>
        <w:t xml:space="preserve"> </w:t>
      </w:r>
      <w:r>
        <w:t>manufacturer.</w:t>
      </w:r>
    </w:p>
    <w:p w14:paraId="7326D2AD" w14:textId="77777777" w:rsidR="00EF3DFB" w:rsidRDefault="00EF3DFB">
      <w:pPr>
        <w:pStyle w:val="BodyText"/>
        <w:spacing w:before="8"/>
        <w:rPr>
          <w:sz w:val="21"/>
        </w:rPr>
      </w:pPr>
    </w:p>
    <w:p w14:paraId="7326D2AE" w14:textId="77777777" w:rsidR="00EF3DFB" w:rsidRDefault="00D27C17">
      <w:pPr>
        <w:spacing w:before="1"/>
        <w:ind w:left="190"/>
        <w:jc w:val="both"/>
        <w:rPr>
          <w:i/>
          <w:sz w:val="20"/>
        </w:rPr>
      </w:pPr>
      <w:r>
        <w:rPr>
          <w:i/>
          <w:sz w:val="20"/>
        </w:rPr>
        <w:t>Environmental Matters</w:t>
      </w:r>
    </w:p>
    <w:p w14:paraId="7326D2AF" w14:textId="77777777" w:rsidR="00EF3DFB" w:rsidRDefault="00EF3DFB">
      <w:pPr>
        <w:pStyle w:val="BodyText"/>
        <w:spacing w:before="8"/>
        <w:rPr>
          <w:i/>
          <w:sz w:val="21"/>
        </w:rPr>
      </w:pPr>
    </w:p>
    <w:p w14:paraId="7326D2B0" w14:textId="77777777" w:rsidR="00EF3DFB" w:rsidRDefault="00D27C17">
      <w:pPr>
        <w:pStyle w:val="BodyText"/>
        <w:spacing w:line="249" w:lineRule="auto"/>
        <w:ind w:left="190" w:right="167"/>
        <w:jc w:val="both"/>
      </w:pPr>
      <w:r>
        <w:t xml:space="preserve">The Company is involved in various matters concerning federal and state environmental laws and regulations, including matters in which the Company has been identified by the U.S. Environmental Protection Agency (“U.S. EPA”) and certain state environmental </w:t>
      </w:r>
      <w:r>
        <w:t>agencies as a potentially responsible party (“PRP”) at contaminated sites under the Comprehensive Environmental Response Compensation and Liability Act (“CERCLA”) and equivalent state laws. In assessing its environmental response costs, the Company has con</w:t>
      </w:r>
      <w:r>
        <w:t>sidered several factors, including the extent of the Company’s volumetric contribution at each site relative to that of other PRPs; the kind of waste; the terms of existing cost sharing and other applicable agreements; the financial ability of other PRPs t</w:t>
      </w:r>
      <w:r>
        <w:t>o share in the payment of requisite costs; the Company’s prior experience with similar sites; environmental studies and cost estimates available to the Company; the effects of inflation on cost estimates; and the extent to which the Company’s, and other pa</w:t>
      </w:r>
      <w:r>
        <w:t>rties’, status as PRPs is</w:t>
      </w:r>
      <w:r>
        <w:rPr>
          <w:spacing w:val="-5"/>
        </w:rPr>
        <w:t xml:space="preserve"> </w:t>
      </w:r>
      <w:r>
        <w:t>disputed.</w:t>
      </w:r>
    </w:p>
    <w:p w14:paraId="7326D2B1" w14:textId="77777777" w:rsidR="00EF3DFB" w:rsidRDefault="00EF3DFB">
      <w:pPr>
        <w:pStyle w:val="BodyText"/>
        <w:spacing w:before="6"/>
        <w:rPr>
          <w:sz w:val="21"/>
        </w:rPr>
      </w:pPr>
    </w:p>
    <w:p w14:paraId="7326D2B2" w14:textId="77777777" w:rsidR="00EF3DFB" w:rsidRDefault="00D27C17">
      <w:pPr>
        <w:pStyle w:val="BodyText"/>
        <w:spacing w:line="249" w:lineRule="auto"/>
        <w:ind w:left="190" w:right="167"/>
        <w:jc w:val="both"/>
      </w:pPr>
      <w:r>
        <w:t>The Company’s estimate of environmental remediation costs associated with these matters at December 31, 2020 was $42 million which is included in other accrued liabilities and other noncurrent liabilities in the Condens</w:t>
      </w:r>
      <w:r>
        <w:t>ed Consolidated Balance Sheets. No insurance recovery was taken into account in determining the Company’s cost estimates or reserves, nor do the Company’s cost estimates or reserves reflect any discounting for present value purposes, except with respect to</w:t>
      </w:r>
      <w:r>
        <w:t xml:space="preserve"> certain long-term operations and maintenance CERCLA matters. Because of the uncertainties associated with environmental investigations and response activities, the possibility that the Company could be identified as a PRP at sites identified in the future</w:t>
      </w:r>
      <w:r>
        <w:t xml:space="preserve"> that require the incurrence of environmental response costs and the possibility that sites acquired in business combinations may require environmental response costs, actual costs to be incurred by the Company may vary from the Company’s estimates.</w:t>
      </w:r>
    </w:p>
    <w:p w14:paraId="7326D2B3" w14:textId="77777777" w:rsidR="00EF3DFB" w:rsidRDefault="00EF3DFB">
      <w:pPr>
        <w:pStyle w:val="BodyText"/>
        <w:spacing w:before="5"/>
        <w:rPr>
          <w:sz w:val="21"/>
        </w:rPr>
      </w:pPr>
    </w:p>
    <w:p w14:paraId="7326D2B4" w14:textId="77777777" w:rsidR="00EF3DFB" w:rsidRDefault="00D27C17">
      <w:pPr>
        <w:ind w:left="190"/>
        <w:jc w:val="both"/>
        <w:rPr>
          <w:i/>
          <w:sz w:val="20"/>
        </w:rPr>
      </w:pPr>
      <w:r>
        <w:rPr>
          <w:i/>
          <w:sz w:val="20"/>
        </w:rPr>
        <w:t>Lower</w:t>
      </w:r>
      <w:r>
        <w:rPr>
          <w:i/>
          <w:sz w:val="20"/>
        </w:rPr>
        <w:t xml:space="preserve"> Passaic River Matter</w:t>
      </w:r>
    </w:p>
    <w:p w14:paraId="7326D2B5" w14:textId="77777777" w:rsidR="00EF3DFB" w:rsidRDefault="00EF3DFB">
      <w:pPr>
        <w:pStyle w:val="BodyText"/>
        <w:spacing w:before="8"/>
        <w:rPr>
          <w:i/>
          <w:sz w:val="21"/>
        </w:rPr>
      </w:pPr>
    </w:p>
    <w:p w14:paraId="7326D2B6" w14:textId="77777777" w:rsidR="00EF3DFB" w:rsidRDefault="00D27C17">
      <w:pPr>
        <w:pStyle w:val="BodyText"/>
        <w:spacing w:before="1" w:line="249" w:lineRule="auto"/>
        <w:ind w:left="190" w:right="169"/>
        <w:jc w:val="both"/>
      </w:pPr>
      <w:r>
        <w:t>U.S. EPA has issued General Notice Letters (“GNLs”) to over 100 entities, including the Company and Berol Corporation, a subsidiary of the Company (“Berol”), alleging that they are PRPs at the Diamond Alkali Superfund Site, which includes a 17 mile stretch</w:t>
      </w:r>
      <w:r>
        <w:t xml:space="preserve"> of the Lower Passaic River and its tributaries. Seventy-two of the GNL recipients, including the Company on behalf of itself and Berol (the “Company Parties”), have taken over the performance of the remedial investigation (“RI”) and feasibility study (“FS</w:t>
      </w:r>
      <w:r>
        <w:t>”) for the Lower Passaic River. On April 11, 2014, while work on the RI/FS remained underway, U.S. EPA issued a Source Control Early Action Focused Feasibility Study (“FFS”), which proposed four alternatives for remediation of the lower 8.3 miles of the Lo</w:t>
      </w:r>
      <w:r>
        <w:t xml:space="preserve">wer Passaic River. U.S. EPA’s cost estimates for its cleanup alternatives ranged from approximately $315 million to approximately $3.2 billion in capital costs plus from approximately $1 million to $2 million in annual maintenance costs for 30 years, with </w:t>
      </w:r>
      <w:r>
        <w:t>its preferred alternative carrying an estimated cost of approximately $1.7 billion plus an additional approximately $2 million in annual maintenance costs for 30 years. In February 2015, the participating parties submitted to the U.S. EPA a draft RI, follo</w:t>
      </w:r>
      <w:r>
        <w:t>wed by submission of a draft FS in April 2015. The draft FS sets forth various alternatives for remediating the lower 17 miles of the Passaic River, ranging from a “no action” alternative, to targeted remediation of locations along the entire lower 17 mile</w:t>
      </w:r>
      <w:r>
        <w:t xml:space="preserve"> stretch of the river, to remedial actions consistent with U.S. EPA’s preferred alternative as set forth in the FFS for the lower 8.3 miles coupled with monitored natural recovery and targeted remediation in the upper nine miles. The cost estimates for the</w:t>
      </w:r>
      <w:r>
        <w:t>se alternatives</w:t>
      </w:r>
      <w:r>
        <w:rPr>
          <w:spacing w:val="6"/>
        </w:rPr>
        <w:t xml:space="preserve"> </w:t>
      </w:r>
      <w:r>
        <w:t>ranged</w:t>
      </w:r>
      <w:r>
        <w:rPr>
          <w:spacing w:val="6"/>
        </w:rPr>
        <w:t xml:space="preserve"> </w:t>
      </w:r>
      <w:r>
        <w:t>from</w:t>
      </w:r>
      <w:r>
        <w:rPr>
          <w:spacing w:val="6"/>
        </w:rPr>
        <w:t xml:space="preserve"> </w:t>
      </w:r>
      <w:r>
        <w:t>approximately</w:t>
      </w:r>
      <w:r>
        <w:rPr>
          <w:spacing w:val="6"/>
        </w:rPr>
        <w:t xml:space="preserve"> </w:t>
      </w:r>
      <w:r>
        <w:t>$28</w:t>
      </w:r>
      <w:r>
        <w:rPr>
          <w:spacing w:val="6"/>
        </w:rPr>
        <w:t xml:space="preserve"> </w:t>
      </w:r>
      <w:r>
        <w:t>million</w:t>
      </w:r>
      <w:r>
        <w:rPr>
          <w:spacing w:val="6"/>
        </w:rPr>
        <w:t xml:space="preserve"> </w:t>
      </w:r>
      <w:r>
        <w:t>to</w:t>
      </w:r>
      <w:r>
        <w:rPr>
          <w:spacing w:val="6"/>
        </w:rPr>
        <w:t xml:space="preserve"> </w:t>
      </w:r>
      <w:r>
        <w:t>$2.7</w:t>
      </w:r>
      <w:r>
        <w:rPr>
          <w:spacing w:val="6"/>
        </w:rPr>
        <w:t xml:space="preserve"> </w:t>
      </w:r>
      <w:r>
        <w:t>billion,</w:t>
      </w:r>
      <w:r>
        <w:rPr>
          <w:spacing w:val="6"/>
        </w:rPr>
        <w:t xml:space="preserve"> </w:t>
      </w:r>
      <w:r>
        <w:t>including</w:t>
      </w:r>
      <w:r>
        <w:rPr>
          <w:spacing w:val="6"/>
        </w:rPr>
        <w:t xml:space="preserve"> </w:t>
      </w:r>
      <w:r>
        <w:t>related</w:t>
      </w:r>
      <w:r>
        <w:rPr>
          <w:spacing w:val="6"/>
        </w:rPr>
        <w:t xml:space="preserve"> </w:t>
      </w:r>
      <w:r>
        <w:t>operation,</w:t>
      </w:r>
      <w:r>
        <w:rPr>
          <w:spacing w:val="6"/>
        </w:rPr>
        <w:t xml:space="preserve"> </w:t>
      </w:r>
      <w:r>
        <w:t>maintenance</w:t>
      </w:r>
      <w:r>
        <w:rPr>
          <w:spacing w:val="6"/>
        </w:rPr>
        <w:t xml:space="preserve"> </w:t>
      </w:r>
      <w:r>
        <w:t>and</w:t>
      </w:r>
      <w:r>
        <w:rPr>
          <w:spacing w:val="6"/>
        </w:rPr>
        <w:t xml:space="preserve"> </w:t>
      </w:r>
      <w:r>
        <w:t>monitoring</w:t>
      </w:r>
      <w:r>
        <w:rPr>
          <w:spacing w:val="6"/>
        </w:rPr>
        <w:t xml:space="preserve"> </w:t>
      </w:r>
      <w:r>
        <w:t>costs.</w:t>
      </w:r>
    </w:p>
    <w:p w14:paraId="7326D2B7" w14:textId="77777777" w:rsidR="00EF3DFB" w:rsidRDefault="00D27C17">
      <w:pPr>
        <w:pStyle w:val="BodyText"/>
        <w:spacing w:before="12"/>
        <w:ind w:left="190"/>
        <w:jc w:val="both"/>
      </w:pPr>
      <w:r>
        <w:t>U.S. EPA issued a conditional approval of the RI report in June 2019.</w:t>
      </w:r>
    </w:p>
    <w:p w14:paraId="7326D2B8" w14:textId="77777777" w:rsidR="00EF3DFB" w:rsidRDefault="00EF3DFB">
      <w:pPr>
        <w:pStyle w:val="BodyText"/>
        <w:spacing w:before="8"/>
        <w:rPr>
          <w:sz w:val="21"/>
        </w:rPr>
      </w:pPr>
    </w:p>
    <w:p w14:paraId="7326D2B9" w14:textId="77777777" w:rsidR="00EF3DFB" w:rsidRDefault="00D27C17">
      <w:pPr>
        <w:pStyle w:val="ListParagraph"/>
        <w:numPr>
          <w:ilvl w:val="1"/>
          <w:numId w:val="16"/>
        </w:numPr>
        <w:tabs>
          <w:tab w:val="left" w:pos="609"/>
        </w:tabs>
        <w:spacing w:line="249" w:lineRule="auto"/>
        <w:ind w:right="168" w:firstLine="0"/>
        <w:jc w:val="both"/>
        <w:rPr>
          <w:sz w:val="20"/>
        </w:rPr>
      </w:pPr>
      <w:r>
        <w:rPr>
          <w:sz w:val="20"/>
        </w:rPr>
        <w:t>EPA issued a Record of Decision for the lower 8.3 m</w:t>
      </w:r>
      <w:r>
        <w:rPr>
          <w:sz w:val="20"/>
        </w:rPr>
        <w:t>iles of the Lower Passaic River in March 2016 (the “2016 ROD”). The 2016 ROD finalizes as the selected remedy the preferred alternative set forth in the FFS, which U.S. EPA estimates will cost $1.4 billion. Subsequent to the release of the 2016 ROD, U.S. E</w:t>
      </w:r>
      <w:r>
        <w:rPr>
          <w:sz w:val="20"/>
        </w:rPr>
        <w:t>PA issued GNLs for the lower 8.3 miles of the Lower Passaic River (the “2016 GNL”) to numerous entities, apparently including all previous recipients of the initial GNL, including Company Parties, as well</w:t>
      </w:r>
      <w:r>
        <w:rPr>
          <w:spacing w:val="22"/>
          <w:sz w:val="20"/>
        </w:rPr>
        <w:t xml:space="preserve"> </w:t>
      </w:r>
      <w:r>
        <w:rPr>
          <w:sz w:val="20"/>
        </w:rPr>
        <w:t>as</w:t>
      </w:r>
      <w:r>
        <w:rPr>
          <w:spacing w:val="22"/>
          <w:sz w:val="20"/>
        </w:rPr>
        <w:t xml:space="preserve"> </w:t>
      </w:r>
      <w:r>
        <w:rPr>
          <w:sz w:val="20"/>
        </w:rPr>
        <w:t>several</w:t>
      </w:r>
      <w:r>
        <w:rPr>
          <w:spacing w:val="22"/>
          <w:sz w:val="20"/>
        </w:rPr>
        <w:t xml:space="preserve"> </w:t>
      </w:r>
      <w:r>
        <w:rPr>
          <w:sz w:val="20"/>
        </w:rPr>
        <w:t>additional</w:t>
      </w:r>
      <w:r>
        <w:rPr>
          <w:spacing w:val="22"/>
          <w:sz w:val="20"/>
        </w:rPr>
        <w:t xml:space="preserve"> </w:t>
      </w:r>
      <w:r>
        <w:rPr>
          <w:sz w:val="20"/>
        </w:rPr>
        <w:t>entities.</w:t>
      </w:r>
      <w:r>
        <w:rPr>
          <w:spacing w:val="23"/>
          <w:sz w:val="20"/>
        </w:rPr>
        <w:t xml:space="preserve"> </w:t>
      </w:r>
      <w:r>
        <w:rPr>
          <w:sz w:val="20"/>
        </w:rPr>
        <w:t>The</w:t>
      </w:r>
      <w:r>
        <w:rPr>
          <w:spacing w:val="22"/>
          <w:sz w:val="20"/>
        </w:rPr>
        <w:t xml:space="preserve"> </w:t>
      </w:r>
      <w:r>
        <w:rPr>
          <w:sz w:val="20"/>
        </w:rPr>
        <w:t>2016</w:t>
      </w:r>
      <w:r>
        <w:rPr>
          <w:spacing w:val="23"/>
          <w:sz w:val="20"/>
        </w:rPr>
        <w:t xml:space="preserve"> </w:t>
      </w:r>
      <w:r>
        <w:rPr>
          <w:sz w:val="20"/>
        </w:rPr>
        <w:t>GNL</w:t>
      </w:r>
      <w:r>
        <w:rPr>
          <w:spacing w:val="22"/>
          <w:sz w:val="20"/>
        </w:rPr>
        <w:t xml:space="preserve"> </w:t>
      </w:r>
      <w:r>
        <w:rPr>
          <w:sz w:val="20"/>
        </w:rPr>
        <w:t>states</w:t>
      </w:r>
      <w:r>
        <w:rPr>
          <w:spacing w:val="22"/>
          <w:sz w:val="20"/>
        </w:rPr>
        <w:t xml:space="preserve"> </w:t>
      </w:r>
      <w:r>
        <w:rPr>
          <w:sz w:val="20"/>
        </w:rPr>
        <w:t>that</w:t>
      </w:r>
      <w:r>
        <w:rPr>
          <w:spacing w:val="22"/>
          <w:sz w:val="20"/>
        </w:rPr>
        <w:t xml:space="preserve"> </w:t>
      </w:r>
      <w:r>
        <w:rPr>
          <w:sz w:val="20"/>
        </w:rPr>
        <w:t>U.S.</w:t>
      </w:r>
      <w:r>
        <w:rPr>
          <w:spacing w:val="23"/>
          <w:sz w:val="20"/>
        </w:rPr>
        <w:t xml:space="preserve"> </w:t>
      </w:r>
      <w:r>
        <w:rPr>
          <w:sz w:val="20"/>
        </w:rPr>
        <w:t>EPA</w:t>
      </w:r>
      <w:r>
        <w:rPr>
          <w:spacing w:val="22"/>
          <w:sz w:val="20"/>
        </w:rPr>
        <w:t xml:space="preserve"> </w:t>
      </w:r>
      <w:r>
        <w:rPr>
          <w:sz w:val="20"/>
        </w:rPr>
        <w:t>would</w:t>
      </w:r>
      <w:r>
        <w:rPr>
          <w:spacing w:val="23"/>
          <w:sz w:val="20"/>
        </w:rPr>
        <w:t xml:space="preserve"> </w:t>
      </w:r>
      <w:r>
        <w:rPr>
          <w:sz w:val="20"/>
        </w:rPr>
        <w:t>like</w:t>
      </w:r>
      <w:r>
        <w:rPr>
          <w:spacing w:val="22"/>
          <w:sz w:val="20"/>
        </w:rPr>
        <w:t xml:space="preserve"> </w:t>
      </w:r>
      <w:r>
        <w:rPr>
          <w:sz w:val="20"/>
        </w:rPr>
        <w:t>to</w:t>
      </w:r>
      <w:r>
        <w:rPr>
          <w:spacing w:val="23"/>
          <w:sz w:val="20"/>
        </w:rPr>
        <w:t xml:space="preserve"> </w:t>
      </w:r>
      <w:r>
        <w:rPr>
          <w:sz w:val="20"/>
        </w:rPr>
        <w:t>determine</w:t>
      </w:r>
      <w:r>
        <w:rPr>
          <w:spacing w:val="22"/>
          <w:sz w:val="20"/>
        </w:rPr>
        <w:t xml:space="preserve"> </w:t>
      </w:r>
      <w:r>
        <w:rPr>
          <w:sz w:val="20"/>
        </w:rPr>
        <w:t>whether</w:t>
      </w:r>
      <w:r>
        <w:rPr>
          <w:spacing w:val="23"/>
          <w:sz w:val="20"/>
        </w:rPr>
        <w:t xml:space="preserve"> </w:t>
      </w:r>
      <w:r>
        <w:rPr>
          <w:sz w:val="20"/>
        </w:rPr>
        <w:t>one</w:t>
      </w:r>
      <w:r>
        <w:rPr>
          <w:spacing w:val="22"/>
          <w:sz w:val="20"/>
        </w:rPr>
        <w:t xml:space="preserve"> </w:t>
      </w:r>
      <w:r>
        <w:rPr>
          <w:sz w:val="20"/>
        </w:rPr>
        <w:t>entity,</w:t>
      </w:r>
      <w:r>
        <w:rPr>
          <w:spacing w:val="23"/>
          <w:sz w:val="20"/>
        </w:rPr>
        <w:t xml:space="preserve"> </w:t>
      </w:r>
      <w:r>
        <w:rPr>
          <w:sz w:val="20"/>
        </w:rPr>
        <w:t>Occidental</w:t>
      </w:r>
    </w:p>
    <w:p w14:paraId="7326D2BA" w14:textId="77777777" w:rsidR="00EF3DFB" w:rsidRDefault="00EF3DFB">
      <w:pPr>
        <w:spacing w:line="249" w:lineRule="auto"/>
        <w:jc w:val="both"/>
        <w:rPr>
          <w:sz w:val="20"/>
        </w:rPr>
        <w:sectPr w:rsidR="00EF3DFB">
          <w:pgSz w:w="12240" w:h="15840"/>
          <w:pgMar w:top="600" w:right="640" w:bottom="480" w:left="620" w:header="0" w:footer="291" w:gutter="0"/>
          <w:cols w:space="720"/>
        </w:sectPr>
      </w:pPr>
    </w:p>
    <w:p w14:paraId="7326D2BB" w14:textId="77777777" w:rsidR="00EF3DFB" w:rsidRDefault="00D27C17">
      <w:pPr>
        <w:pStyle w:val="BodyText"/>
        <w:spacing w:before="72" w:line="249" w:lineRule="auto"/>
        <w:ind w:left="190" w:right="170"/>
        <w:jc w:val="both"/>
      </w:pPr>
      <w:r>
        <w:lastRenderedPageBreak/>
        <w:t>Chemical Corporation (“OCC”), will voluntarily perform the remedial design for the selected remedy for the lower 8.3 miles, and that following execution of an agreement for the remedial design, U.S. EPA plans to begin negotiation of a remedial action conse</w:t>
      </w:r>
      <w:r>
        <w:t>nt decree “under which OCC and the other major PRPs will implement and/or pay for U.S. EPA’s selected remedy for the lower 8.3 miles of the Lower Passaic River and reimburse U.S. EPA’s costs incurred for the Lower Passaic River.”</w:t>
      </w:r>
    </w:p>
    <w:p w14:paraId="7326D2BC" w14:textId="77777777" w:rsidR="00EF3DFB" w:rsidRDefault="00EF3DFB">
      <w:pPr>
        <w:pStyle w:val="BodyText"/>
        <w:spacing w:before="1"/>
        <w:rPr>
          <w:sz w:val="21"/>
        </w:rPr>
      </w:pPr>
    </w:p>
    <w:p w14:paraId="7326D2BD" w14:textId="77777777" w:rsidR="00EF3DFB" w:rsidRDefault="00D27C17">
      <w:pPr>
        <w:pStyle w:val="BodyText"/>
        <w:spacing w:line="249" w:lineRule="auto"/>
        <w:ind w:left="190" w:right="167"/>
        <w:jc w:val="both"/>
      </w:pPr>
      <w:r>
        <w:t>In September 2016, OCC an</w:t>
      </w:r>
      <w:r>
        <w:t>d EPA entered into an Administrative Order on Consent for performance of the remedial design. On March 30, 2017, U.S. EPA sent a letter offering a cash settlement in the amount of $0.3 million to 20 PRPs, not including the Company Parties, for CERCLA Liabi</w:t>
      </w:r>
      <w:r>
        <w:t>lity (with reservations, such as for Natural Resource Damages) in the lower 8.3 miles of the Lower Passaic River. U.S. EPA further indicated in related correspondence that a cash-out settlement might be appropriate for additional parties that are “not asso</w:t>
      </w:r>
      <w:r>
        <w:t>ciated with the release of dioxins, furans, or PCBs to the Lower Passaic River.” Then, by letter dated September 18, 2017, U.S. EPA announced an allocation process involving all GNL recipients except those participating in the first-round cash-out settleme</w:t>
      </w:r>
      <w:r>
        <w:t>nt, and five public entities. The letter affirms that U.S. EPA anticipates eventually offering cash-out settlements to a number of parties, and that it expects “that the private PRPs responsible for release of dioxin, furans, and/or PCBs will perform the O</w:t>
      </w:r>
      <w:r>
        <w:t>U2 lower 8.3 mile remedial action.” At this time, it is unclear how the cost of any cleanup would be allocated among any of the parties, including the Company Parties or any other entities. The site is also subject to a Natural Resource Damage Assessment.</w:t>
      </w:r>
    </w:p>
    <w:p w14:paraId="7326D2BE" w14:textId="77777777" w:rsidR="00EF3DFB" w:rsidRDefault="00EF3DFB">
      <w:pPr>
        <w:pStyle w:val="BodyText"/>
        <w:spacing w:before="8"/>
        <w:rPr>
          <w:sz w:val="21"/>
        </w:rPr>
      </w:pPr>
    </w:p>
    <w:p w14:paraId="7326D2BF" w14:textId="77777777" w:rsidR="00EF3DFB" w:rsidRDefault="00D27C17">
      <w:pPr>
        <w:pStyle w:val="BodyText"/>
        <w:spacing w:line="249" w:lineRule="auto"/>
        <w:ind w:left="190" w:right="168"/>
        <w:jc w:val="both"/>
      </w:pPr>
      <w:r>
        <w:t>Following discussion with U.S. EPA regarding the 2015 draft FS, and U.S. EPA’s issuance of the 2016 ROD, the participating parties refocused the FS on the upper 9 miles of the Lower Passaic River. The parties submitted most portions of a final Interim Rem</w:t>
      </w:r>
      <w:r>
        <w:t>edy FS (the “Draft IR FS”) on August 7, 2020, setting forth remedial alternatives ranging from “no further action” to targeted dredging and capping with different targets for post-remedy surface weighted average concentration of contamination. The cost est</w:t>
      </w:r>
      <w:r>
        <w:t>imates for these active alternatives range from approximately $321 million to $468 million. EPA has indicated it aims to have the IR FS finalized and to issue a Record of Decision for the upper 9 miles in 2021.</w:t>
      </w:r>
    </w:p>
    <w:p w14:paraId="7326D2C0" w14:textId="77777777" w:rsidR="00EF3DFB" w:rsidRDefault="00EF3DFB">
      <w:pPr>
        <w:pStyle w:val="BodyText"/>
        <w:spacing w:before="3"/>
        <w:rPr>
          <w:sz w:val="21"/>
        </w:rPr>
      </w:pPr>
    </w:p>
    <w:p w14:paraId="7326D2C1" w14:textId="77777777" w:rsidR="00EF3DFB" w:rsidRDefault="00D27C17">
      <w:pPr>
        <w:pStyle w:val="BodyText"/>
        <w:spacing w:line="249" w:lineRule="auto"/>
        <w:ind w:left="190" w:right="168"/>
        <w:jc w:val="both"/>
      </w:pPr>
      <w:r>
        <w:t>OCC has asserted that it is entitled to inde</w:t>
      </w:r>
      <w:r>
        <w:t>mnification by Maxus Energy Corporation (“Maxus”) for its liability in connection with the</w:t>
      </w:r>
      <w:r>
        <w:rPr>
          <w:spacing w:val="-4"/>
        </w:rPr>
        <w:t xml:space="preserve"> </w:t>
      </w:r>
      <w:r>
        <w:t>Diamond</w:t>
      </w:r>
      <w:r>
        <w:rPr>
          <w:spacing w:val="-3"/>
        </w:rPr>
        <w:t xml:space="preserve"> </w:t>
      </w:r>
      <w:r>
        <w:t>Alkali</w:t>
      </w:r>
      <w:r>
        <w:rPr>
          <w:spacing w:val="-4"/>
        </w:rPr>
        <w:t xml:space="preserve"> </w:t>
      </w:r>
      <w:r>
        <w:t>Superfund</w:t>
      </w:r>
      <w:r>
        <w:rPr>
          <w:spacing w:val="-3"/>
        </w:rPr>
        <w:t xml:space="preserve"> </w:t>
      </w:r>
      <w:r>
        <w:t>Site.</w:t>
      </w:r>
      <w:r>
        <w:rPr>
          <w:spacing w:val="-3"/>
        </w:rPr>
        <w:t xml:space="preserve"> </w:t>
      </w:r>
      <w:r>
        <w:t>OCC</w:t>
      </w:r>
      <w:r>
        <w:rPr>
          <w:spacing w:val="-4"/>
        </w:rPr>
        <w:t xml:space="preserve"> </w:t>
      </w:r>
      <w:r>
        <w:t>has</w:t>
      </w:r>
      <w:r>
        <w:rPr>
          <w:spacing w:val="-4"/>
        </w:rPr>
        <w:t xml:space="preserve"> </w:t>
      </w:r>
      <w:r>
        <w:t>also</w:t>
      </w:r>
      <w:r>
        <w:rPr>
          <w:spacing w:val="-3"/>
        </w:rPr>
        <w:t xml:space="preserve"> </w:t>
      </w:r>
      <w:r>
        <w:t>asserted</w:t>
      </w:r>
      <w:r>
        <w:rPr>
          <w:spacing w:val="-3"/>
        </w:rPr>
        <w:t xml:space="preserve"> </w:t>
      </w:r>
      <w:r>
        <w:t>that</w:t>
      </w:r>
      <w:r>
        <w:rPr>
          <w:spacing w:val="-4"/>
        </w:rPr>
        <w:t xml:space="preserve"> </w:t>
      </w:r>
      <w:r>
        <w:t>Maxus’s</w:t>
      </w:r>
      <w:r>
        <w:rPr>
          <w:spacing w:val="-4"/>
        </w:rPr>
        <w:t xml:space="preserve"> </w:t>
      </w:r>
      <w:r>
        <w:t>parent</w:t>
      </w:r>
      <w:r>
        <w:rPr>
          <w:spacing w:val="-4"/>
        </w:rPr>
        <w:t xml:space="preserve"> </w:t>
      </w:r>
      <w:r>
        <w:t>company,</w:t>
      </w:r>
      <w:r>
        <w:rPr>
          <w:spacing w:val="-3"/>
        </w:rPr>
        <w:t xml:space="preserve"> </w:t>
      </w:r>
      <w:r>
        <w:t>YPF,</w:t>
      </w:r>
      <w:r>
        <w:rPr>
          <w:spacing w:val="-3"/>
        </w:rPr>
        <w:t xml:space="preserve"> </w:t>
      </w:r>
      <w:r>
        <w:t>S.A.,</w:t>
      </w:r>
      <w:r>
        <w:rPr>
          <w:spacing w:val="-3"/>
        </w:rPr>
        <w:t xml:space="preserve"> </w:t>
      </w:r>
      <w:r>
        <w:t>and</w:t>
      </w:r>
      <w:r>
        <w:rPr>
          <w:spacing w:val="-3"/>
        </w:rPr>
        <w:t xml:space="preserve"> </w:t>
      </w:r>
      <w:r>
        <w:t>certain</w:t>
      </w:r>
      <w:r>
        <w:rPr>
          <w:spacing w:val="-3"/>
        </w:rPr>
        <w:t xml:space="preserve"> </w:t>
      </w:r>
      <w:r>
        <w:t>other</w:t>
      </w:r>
      <w:r>
        <w:rPr>
          <w:spacing w:val="-3"/>
        </w:rPr>
        <w:t xml:space="preserve"> </w:t>
      </w:r>
      <w:r>
        <w:t>affiliates</w:t>
      </w:r>
      <w:r>
        <w:rPr>
          <w:spacing w:val="-4"/>
        </w:rPr>
        <w:t xml:space="preserve"> </w:t>
      </w:r>
      <w:r>
        <w:t>(the “YPF Entities”) similarly must indemni</w:t>
      </w:r>
      <w:r>
        <w:t>fy OCC, including on an “alter ego” theory. On June 17, 2016, Maxus and certain of its affiliates commenced a chapter 11 bankruptcy case in the U.S. Bankruptcy Court for the District of Delaware. In connection with that proceeding, the YPF Entities are att</w:t>
      </w:r>
      <w:r>
        <w:t>empting to resolve any liability they may have to Maxus and the other Maxus entities undergoing the chapter 11 bankruptcy. An amended Chapter 11 plan of liquidation became effective in July 2017. In conjunction with that plan, Maxus and certain other parti</w:t>
      </w:r>
      <w:r>
        <w:t>es, including the Company, entered into a mutual contribution release agreement (“Passaic Release”) pertaining to certain costs, but not costs associated with ultimate</w:t>
      </w:r>
      <w:r>
        <w:rPr>
          <w:spacing w:val="-14"/>
        </w:rPr>
        <w:t xml:space="preserve"> </w:t>
      </w:r>
      <w:r>
        <w:t>remedy.</w:t>
      </w:r>
    </w:p>
    <w:p w14:paraId="7326D2C2" w14:textId="77777777" w:rsidR="00EF3DFB" w:rsidRDefault="00EF3DFB">
      <w:pPr>
        <w:pStyle w:val="BodyText"/>
        <w:spacing w:before="5"/>
        <w:rPr>
          <w:sz w:val="21"/>
        </w:rPr>
      </w:pPr>
    </w:p>
    <w:p w14:paraId="7326D2C3" w14:textId="77777777" w:rsidR="00EF3DFB" w:rsidRDefault="00D27C17">
      <w:pPr>
        <w:pStyle w:val="BodyText"/>
        <w:spacing w:line="249" w:lineRule="auto"/>
        <w:ind w:left="190" w:right="168"/>
        <w:jc w:val="both"/>
      </w:pPr>
      <w:r>
        <w:t>On June 30, 2018, OCC sued 120 parties, including the Company and Berol, in the</w:t>
      </w:r>
      <w:r>
        <w:t xml:space="preserve"> U.S. District Court in New Jersey (“OCC Lawsuit”). OCC subsequently filed a separate, related complaint against five additional defendants. The OCC Lawsuit includes claims, counterclaims and cross-claims for cost recovery, contribution, and declaratory ju</w:t>
      </w:r>
      <w:r>
        <w:t>dgement under CERCLA. The current, primary focus of the claims, counterclaims and cross-claims against the defendants is on certain past and future costs for investigation, design and remediation of the 17- mile stretch of the Lower Passaic River and its t</w:t>
      </w:r>
      <w:r>
        <w:t>ributaries, other than those subject to the Passaic Release. The complaint notes, however, that OCC may broaden its claims in the future if and when EPA selects remedial actions for other portions of the Site or completes a Natural Resource Damage Assessme</w:t>
      </w:r>
      <w:r>
        <w:t>nt. Given the uncertainties pertaining to this matter, including that U.S. EPA is still reviewing the FS, that no framework for or agreement on allocation for the investigation and ultimate remediation has been developed, and that there exists the potentia</w:t>
      </w:r>
      <w:r>
        <w:t>l for further litigation regarding costs and cost sharing, the extent to which the Company Parties may be held liable or responsible is not yet known. OCC stated in a subsequent filing that it “anticipates” asserting additional claims against the defendant</w:t>
      </w:r>
      <w:r>
        <w:t>s “regarding Newark Bay,” which is also part of the Diamond Alkali Superfund Site, after U.S. EPA has decided the Newark Bay</w:t>
      </w:r>
      <w:r>
        <w:rPr>
          <w:spacing w:val="-12"/>
        </w:rPr>
        <w:t xml:space="preserve"> </w:t>
      </w:r>
      <w:r>
        <w:t>remedy.</w:t>
      </w:r>
    </w:p>
    <w:p w14:paraId="7326D2C4" w14:textId="77777777" w:rsidR="00EF3DFB" w:rsidRDefault="00EF3DFB">
      <w:pPr>
        <w:pStyle w:val="BodyText"/>
        <w:spacing w:before="9"/>
        <w:rPr>
          <w:sz w:val="21"/>
        </w:rPr>
      </w:pPr>
    </w:p>
    <w:p w14:paraId="7326D2C5" w14:textId="77777777" w:rsidR="00EF3DFB" w:rsidRDefault="00D27C17">
      <w:pPr>
        <w:pStyle w:val="BodyText"/>
        <w:spacing w:line="249" w:lineRule="auto"/>
        <w:ind w:left="190" w:right="168"/>
        <w:jc w:val="both"/>
      </w:pPr>
      <w:r>
        <w:t xml:space="preserve">Based on currently known facts and circumstances, the Company does not believe that this matter is reasonably likely to have a material impact on the Company’s results of operations, including, among other factors, because there are numerous other parties </w:t>
      </w:r>
      <w:r>
        <w:t>who will likely share in any costs of remediation and/or damages. However, in the event of one or more adverse determinations related to this matter, it is possible that the ultimate liability resulting from this matter and the impact on the Company’s resu</w:t>
      </w:r>
      <w:r>
        <w:t>lts of operations could be material.</w:t>
      </w:r>
    </w:p>
    <w:p w14:paraId="7326D2C6" w14:textId="77777777" w:rsidR="00EF3DFB" w:rsidRDefault="00EF3DFB">
      <w:pPr>
        <w:pStyle w:val="BodyText"/>
        <w:spacing w:before="2"/>
        <w:rPr>
          <w:sz w:val="21"/>
        </w:rPr>
      </w:pPr>
    </w:p>
    <w:p w14:paraId="7326D2C7" w14:textId="77777777" w:rsidR="00EF3DFB" w:rsidRDefault="00D27C17">
      <w:pPr>
        <w:pStyle w:val="BodyText"/>
        <w:spacing w:line="249" w:lineRule="auto"/>
        <w:ind w:left="190" w:right="170"/>
        <w:jc w:val="both"/>
      </w:pPr>
      <w:r>
        <w:t>Because of the uncertainties associated with environmental investigations and response activities, the possibility that the Company could be identified as a PRP at sites identified in the future that require the incurr</w:t>
      </w:r>
      <w:r>
        <w:t>ence of environmental response costs and the possibility that sites acquired in business combinations may require environmental response costs, actual costs to be incurred by the Company may vary from the Company’s estimates.</w:t>
      </w:r>
    </w:p>
    <w:p w14:paraId="7326D2C8" w14:textId="77777777" w:rsidR="00EF3DFB" w:rsidRDefault="00EF3DFB">
      <w:pPr>
        <w:spacing w:line="249" w:lineRule="auto"/>
        <w:jc w:val="both"/>
        <w:sectPr w:rsidR="00EF3DFB">
          <w:pgSz w:w="12240" w:h="15840"/>
          <w:pgMar w:top="600" w:right="640" w:bottom="480" w:left="620" w:header="0" w:footer="291" w:gutter="0"/>
          <w:cols w:space="720"/>
        </w:sectPr>
      </w:pPr>
    </w:p>
    <w:p w14:paraId="7326D2C9" w14:textId="77777777" w:rsidR="00EF3DFB" w:rsidRDefault="00D27C17">
      <w:pPr>
        <w:spacing w:before="72"/>
        <w:ind w:left="190"/>
        <w:jc w:val="both"/>
        <w:rPr>
          <w:i/>
          <w:sz w:val="20"/>
        </w:rPr>
      </w:pPr>
      <w:r>
        <w:rPr>
          <w:i/>
          <w:sz w:val="20"/>
        </w:rPr>
        <w:lastRenderedPageBreak/>
        <w:t>Other Matters</w:t>
      </w:r>
    </w:p>
    <w:p w14:paraId="7326D2CA" w14:textId="77777777" w:rsidR="00EF3DFB" w:rsidRDefault="00EF3DFB">
      <w:pPr>
        <w:pStyle w:val="BodyText"/>
        <w:spacing w:before="8"/>
        <w:rPr>
          <w:i/>
          <w:sz w:val="21"/>
        </w:rPr>
      </w:pPr>
    </w:p>
    <w:p w14:paraId="7326D2CB" w14:textId="77777777" w:rsidR="00EF3DFB" w:rsidRDefault="00D27C17">
      <w:pPr>
        <w:pStyle w:val="BodyText"/>
        <w:spacing w:line="249" w:lineRule="auto"/>
        <w:ind w:left="190" w:right="169"/>
        <w:jc w:val="both"/>
      </w:pPr>
      <w:r>
        <w:t>A</w:t>
      </w:r>
      <w:r>
        <w:t>lthough management of the Company cannot predict the ultimate outcome of these proceedings with certainty, it believes that the ultimate resolution of the Company’s proceedings, including any amounts it may be required to pay in excess of amounts reserved,</w:t>
      </w:r>
      <w:r>
        <w:t xml:space="preserve"> will not have a material effect on the Company’s Consolidated Financial Statements, except as otherwise described above.</w:t>
      </w:r>
    </w:p>
    <w:p w14:paraId="7326D2CC" w14:textId="77777777" w:rsidR="00EF3DFB" w:rsidRDefault="00EF3DFB">
      <w:pPr>
        <w:pStyle w:val="BodyText"/>
        <w:spacing w:before="1"/>
        <w:rPr>
          <w:sz w:val="21"/>
        </w:rPr>
      </w:pPr>
    </w:p>
    <w:p w14:paraId="7326D2CD" w14:textId="77777777" w:rsidR="00EF3DFB" w:rsidRDefault="00D27C17">
      <w:pPr>
        <w:pStyle w:val="BodyText"/>
        <w:spacing w:line="249" w:lineRule="auto"/>
        <w:ind w:left="190" w:right="168"/>
        <w:jc w:val="both"/>
      </w:pPr>
      <w:r>
        <w:t>In the normal course of business and as part of its acquisition and divestiture strategy, the Company may provide certain representations and indemnifications related to legal, environmental, product liability, tax or other types of issues. Based on the na</w:t>
      </w:r>
      <w:r>
        <w:t>ture of these representations and indemnifications, it is not possible to predict the maximum potential payments under all of these agreements due to the conditional nature of the Company’s obligations and the unique facts and circumstances involved in eac</w:t>
      </w:r>
      <w:r>
        <w:t>h particular agreement. Historically, payments made by the Company under these agreements did not have a material effect on the Company’s business, financial condition or results of operations. In connection with the 2018 sale of The Waddington Group, Novo</w:t>
      </w:r>
      <w:r>
        <w:t>lex Holdings, Inc. (the “Buyer”) filed suit against the Company in October 2019 in the Superior Court of Delaware. The Buyer generally alleged that the Company fraudulently breached certain representations in the Equity Purchase Agreement between the Compa</w:t>
      </w:r>
      <w:r>
        <w:t>ny and Buyer, dated May 2, 2018, resulting in an inflated purchase price for The Waddington Group. The Company intends to defend the litigation vigorously.</w:t>
      </w:r>
    </w:p>
    <w:p w14:paraId="7326D2CE" w14:textId="77777777" w:rsidR="00EF3DFB" w:rsidRDefault="00EF3DFB">
      <w:pPr>
        <w:pStyle w:val="BodyText"/>
        <w:spacing w:before="7"/>
        <w:rPr>
          <w:sz w:val="21"/>
        </w:rPr>
      </w:pPr>
    </w:p>
    <w:p w14:paraId="7326D2CF" w14:textId="77777777" w:rsidR="00EF3DFB" w:rsidRDefault="00D27C17">
      <w:pPr>
        <w:pStyle w:val="BodyText"/>
        <w:spacing w:line="249" w:lineRule="auto"/>
        <w:ind w:left="190" w:right="168"/>
        <w:jc w:val="both"/>
      </w:pPr>
      <w:r>
        <w:t>At December 31, 2020, the Company had approximately $51 million in standby letters of credit primar</w:t>
      </w:r>
      <w:r>
        <w:t>ily related to the Company’s self-insurance programs, including workers’ compensation, product liability and medical expenses.</w:t>
      </w:r>
    </w:p>
    <w:p w14:paraId="7326D2D0" w14:textId="77777777" w:rsidR="00EF3DFB" w:rsidRDefault="00EF3DFB">
      <w:pPr>
        <w:pStyle w:val="BodyText"/>
        <w:spacing w:before="2"/>
        <w:rPr>
          <w:sz w:val="31"/>
        </w:rPr>
      </w:pPr>
    </w:p>
    <w:p w14:paraId="7326D2D1" w14:textId="77777777" w:rsidR="00EF3DFB" w:rsidRDefault="00D27C17">
      <w:pPr>
        <w:pStyle w:val="Heading2"/>
        <w:spacing w:line="249" w:lineRule="auto"/>
        <w:jc w:val="left"/>
      </w:pPr>
      <w:bookmarkStart w:id="67" w:name="Item_9._Changes_in_and_Disagreements_wit"/>
      <w:bookmarkStart w:id="68" w:name="_bookmark14"/>
      <w:bookmarkEnd w:id="67"/>
      <w:bookmarkEnd w:id="68"/>
      <w:r>
        <w:t>ITEM 9. CHANGES IN AND DISAGREEMENTS WITH ACCOUNTANTS ON ACCOUNTING AND FINANCIAL DISCLOSURE</w:t>
      </w:r>
    </w:p>
    <w:p w14:paraId="7326D2D2" w14:textId="77777777" w:rsidR="00EF3DFB" w:rsidRDefault="00D27C17">
      <w:pPr>
        <w:pStyle w:val="BodyText"/>
        <w:spacing w:before="125"/>
        <w:ind w:left="190"/>
        <w:jc w:val="both"/>
      </w:pPr>
      <w:r>
        <w:t>Not applicable.</w:t>
      </w:r>
    </w:p>
    <w:p w14:paraId="7326D2D3" w14:textId="77777777" w:rsidR="00EF3DFB" w:rsidRDefault="00EF3DFB">
      <w:pPr>
        <w:pStyle w:val="BodyText"/>
        <w:spacing w:before="10"/>
        <w:rPr>
          <w:sz w:val="31"/>
        </w:rPr>
      </w:pPr>
    </w:p>
    <w:p w14:paraId="7326D2D4" w14:textId="77777777" w:rsidR="00EF3DFB" w:rsidRDefault="00D27C17">
      <w:pPr>
        <w:pStyle w:val="Heading2"/>
      </w:pPr>
      <w:bookmarkStart w:id="69" w:name="Item_9A._Controls_and_Procedures"/>
      <w:bookmarkStart w:id="70" w:name="_bookmark15"/>
      <w:bookmarkEnd w:id="69"/>
      <w:bookmarkEnd w:id="70"/>
      <w:r>
        <w:t>ITEM 9A. CONTROLS AND PROCEDURES</w:t>
      </w:r>
    </w:p>
    <w:p w14:paraId="7326D2D5" w14:textId="77777777" w:rsidR="00EF3DFB" w:rsidRDefault="00EF3DFB">
      <w:pPr>
        <w:pStyle w:val="BodyText"/>
        <w:spacing w:before="8"/>
        <w:rPr>
          <w:b/>
          <w:sz w:val="21"/>
        </w:rPr>
      </w:pPr>
    </w:p>
    <w:p w14:paraId="7326D2D6" w14:textId="77777777" w:rsidR="00EF3DFB" w:rsidRDefault="00D27C17">
      <w:pPr>
        <w:spacing w:before="1"/>
        <w:ind w:left="190"/>
        <w:jc w:val="both"/>
        <w:rPr>
          <w:b/>
          <w:sz w:val="20"/>
        </w:rPr>
      </w:pPr>
      <w:r>
        <w:rPr>
          <w:b/>
          <w:sz w:val="20"/>
        </w:rPr>
        <w:t>Evaluation of Disclosure Controls and Procedures</w:t>
      </w:r>
    </w:p>
    <w:p w14:paraId="7326D2D7" w14:textId="77777777" w:rsidR="00EF3DFB" w:rsidRDefault="00EF3DFB">
      <w:pPr>
        <w:pStyle w:val="BodyText"/>
        <w:rPr>
          <w:b/>
          <w:sz w:val="22"/>
        </w:rPr>
      </w:pPr>
    </w:p>
    <w:p w14:paraId="7326D2D8" w14:textId="77777777" w:rsidR="00EF3DFB" w:rsidRDefault="00D27C17">
      <w:pPr>
        <w:pStyle w:val="BodyText"/>
        <w:spacing w:line="249" w:lineRule="auto"/>
        <w:ind w:left="190" w:right="168"/>
        <w:jc w:val="both"/>
      </w:pPr>
      <w:r>
        <w:t>The Company maintains disclosure controls and procedures that are designed to provide reasonable assurance that information, which is required to be disclosed by the issuer</w:t>
      </w:r>
      <w:r>
        <w:t xml:space="preserve"> in the reports that it files or submits under the Securities Exchange Act of 1934, as amended (the “Exchange Act”), is recorded, processed, summarized and reported, within the time periods specified in the Commission’s rules and forms, and that such infor</w:t>
      </w:r>
      <w:r>
        <w:t>mation is accumulated and communicated to management, including its Chief Executive Officer and Chief Financial Officer, as appropriate, to allow timely decisions regarding required disclosure. The Company’s Chief Executive Officer and Chief Financial Offi</w:t>
      </w:r>
      <w:r>
        <w:t>cer have evaluated the effectiveness of the Company’s disclosure controls and procedures (as required by Rule 13a-15(b) of the Exchange Act) and concluded that the Company’s disclosure controls and procedures were not effective as of December 31, 2020, the</w:t>
      </w:r>
      <w:r>
        <w:t xml:space="preserve"> end of the period covered by this Annual Report on Form 10-K, due to the material weakness in the internal control over financial reporting described below.</w:t>
      </w:r>
    </w:p>
    <w:p w14:paraId="7326D2D9" w14:textId="77777777" w:rsidR="00EF3DFB" w:rsidRDefault="00EF3DFB">
      <w:pPr>
        <w:pStyle w:val="BodyText"/>
        <w:spacing w:before="5"/>
        <w:rPr>
          <w:sz w:val="21"/>
        </w:rPr>
      </w:pPr>
    </w:p>
    <w:p w14:paraId="7326D2DA" w14:textId="77777777" w:rsidR="00EF3DFB" w:rsidRDefault="00D27C17">
      <w:pPr>
        <w:pStyle w:val="BodyText"/>
        <w:spacing w:before="1" w:line="249" w:lineRule="auto"/>
        <w:ind w:left="190" w:right="168"/>
        <w:jc w:val="both"/>
      </w:pPr>
      <w:r>
        <w:t xml:space="preserve">The Chief Executive Officer and Chief Financial Officer have also concluded that notwithstanding </w:t>
      </w:r>
      <w:r>
        <w:t>the existence of the material weakness, the consolidated financial statements included in this Annual Report on Form 10-K, present fairly, in all material respects, the Company’s financial position, results of operations and cash flows for the periods pres</w:t>
      </w:r>
      <w:r>
        <w:t>ented in conformity with U.S. GAAP. Remediation efforts to address the material weakness are described below under the section “Remediation</w:t>
      </w:r>
      <w:r>
        <w:rPr>
          <w:spacing w:val="-33"/>
        </w:rPr>
        <w:t xml:space="preserve"> </w:t>
      </w:r>
      <w:r>
        <w:t>Plan.”</w:t>
      </w:r>
    </w:p>
    <w:p w14:paraId="7326D2DB" w14:textId="77777777" w:rsidR="00EF3DFB" w:rsidRDefault="00EF3DFB">
      <w:pPr>
        <w:pStyle w:val="BodyText"/>
        <w:spacing w:before="10"/>
      </w:pPr>
    </w:p>
    <w:p w14:paraId="7326D2DC" w14:textId="77777777" w:rsidR="00EF3DFB" w:rsidRDefault="00D27C17">
      <w:pPr>
        <w:pStyle w:val="Heading2"/>
      </w:pPr>
      <w:r>
        <w:t>Management’s Annual Report on Internal Control Over Financial Reporting</w:t>
      </w:r>
    </w:p>
    <w:p w14:paraId="7326D2DD" w14:textId="77777777" w:rsidR="00EF3DFB" w:rsidRDefault="00EF3DFB">
      <w:pPr>
        <w:pStyle w:val="BodyText"/>
        <w:rPr>
          <w:b/>
          <w:sz w:val="22"/>
        </w:rPr>
      </w:pPr>
    </w:p>
    <w:p w14:paraId="7326D2DE" w14:textId="77777777" w:rsidR="00EF3DFB" w:rsidRDefault="00D27C17">
      <w:pPr>
        <w:pStyle w:val="BodyText"/>
        <w:spacing w:line="249" w:lineRule="auto"/>
        <w:ind w:left="190" w:right="168"/>
        <w:jc w:val="both"/>
      </w:pPr>
      <w:r>
        <w:t>Management is responsible for estab</w:t>
      </w:r>
      <w:r>
        <w:t>lishing and maintaining adequate internal control over financial reporting as defined by Rule 13a-15(f) of the Exchange Act. The Company’s internal control over financial reporting is designed to provide reasonable assurance regarding the reliability of fi</w:t>
      </w:r>
      <w:r>
        <w:t>nancial reporting and the preparation of financial statements for external reporting purposes in accordance with U.S. GAAP. The Company’s internal control over financial reporting includes policies and procedures that:</w:t>
      </w:r>
    </w:p>
    <w:p w14:paraId="7326D2DF" w14:textId="77777777" w:rsidR="00EF3DFB" w:rsidRDefault="00EF3DFB">
      <w:pPr>
        <w:pStyle w:val="BodyText"/>
        <w:spacing w:before="2"/>
        <w:rPr>
          <w:sz w:val="21"/>
        </w:rPr>
      </w:pPr>
    </w:p>
    <w:p w14:paraId="7326D2E0" w14:textId="77777777" w:rsidR="00EF3DFB" w:rsidRDefault="00D27C17">
      <w:pPr>
        <w:pStyle w:val="ListParagraph"/>
        <w:numPr>
          <w:ilvl w:val="2"/>
          <w:numId w:val="16"/>
        </w:numPr>
        <w:tabs>
          <w:tab w:val="left" w:pos="910"/>
        </w:tabs>
        <w:spacing w:line="249" w:lineRule="auto"/>
        <w:ind w:right="169"/>
        <w:jc w:val="both"/>
        <w:rPr>
          <w:sz w:val="20"/>
        </w:rPr>
      </w:pPr>
      <w:r>
        <w:rPr>
          <w:sz w:val="20"/>
        </w:rPr>
        <w:t>pertain to the maintenance of record</w:t>
      </w:r>
      <w:r>
        <w:rPr>
          <w:sz w:val="20"/>
        </w:rPr>
        <w:t>s that in reasonable detail accurately and fairly reflect the transactions and dispositions of the Company’s</w:t>
      </w:r>
      <w:r>
        <w:rPr>
          <w:spacing w:val="-3"/>
          <w:sz w:val="20"/>
        </w:rPr>
        <w:t xml:space="preserve"> </w:t>
      </w:r>
      <w:r>
        <w:rPr>
          <w:sz w:val="20"/>
        </w:rPr>
        <w:t>assets;</w:t>
      </w:r>
    </w:p>
    <w:p w14:paraId="7326D2E1" w14:textId="77777777" w:rsidR="00EF3DFB" w:rsidRDefault="00D27C17">
      <w:pPr>
        <w:pStyle w:val="ListParagraph"/>
        <w:numPr>
          <w:ilvl w:val="2"/>
          <w:numId w:val="16"/>
        </w:numPr>
        <w:tabs>
          <w:tab w:val="left" w:pos="910"/>
        </w:tabs>
        <w:spacing w:before="1" w:line="249" w:lineRule="auto"/>
        <w:ind w:right="169"/>
        <w:jc w:val="both"/>
        <w:rPr>
          <w:sz w:val="20"/>
        </w:rPr>
      </w:pPr>
      <w:r>
        <w:rPr>
          <w:sz w:val="20"/>
        </w:rPr>
        <w:t>provide reasonable assurance that transactions are recorded as necessary to permit preparation of the Company’s financial statements in acc</w:t>
      </w:r>
      <w:r>
        <w:rPr>
          <w:sz w:val="20"/>
        </w:rPr>
        <w:t>ordance with U.S. GAAP, and that receipts and expenditures are being made only in accordance with authorizations of the Company’s management;</w:t>
      </w:r>
      <w:r>
        <w:rPr>
          <w:spacing w:val="-5"/>
          <w:sz w:val="20"/>
        </w:rPr>
        <w:t xml:space="preserve"> </w:t>
      </w:r>
      <w:r>
        <w:rPr>
          <w:sz w:val="20"/>
        </w:rPr>
        <w:t>and</w:t>
      </w:r>
    </w:p>
    <w:p w14:paraId="7326D2E2" w14:textId="77777777" w:rsidR="00EF3DFB" w:rsidRDefault="00D27C17">
      <w:pPr>
        <w:pStyle w:val="ListParagraph"/>
        <w:numPr>
          <w:ilvl w:val="2"/>
          <w:numId w:val="16"/>
        </w:numPr>
        <w:tabs>
          <w:tab w:val="left" w:pos="910"/>
        </w:tabs>
        <w:spacing w:before="3" w:line="249" w:lineRule="auto"/>
        <w:ind w:right="169"/>
        <w:jc w:val="both"/>
        <w:rPr>
          <w:sz w:val="20"/>
        </w:rPr>
      </w:pPr>
      <w:r>
        <w:rPr>
          <w:sz w:val="20"/>
        </w:rPr>
        <w:t>provide reasonable assurance regarding prevention or timely detection of unauthorized acquisition, use or disposition of the Company’s assets that could have a material effect on its financial</w:t>
      </w:r>
      <w:r>
        <w:rPr>
          <w:spacing w:val="-14"/>
          <w:sz w:val="20"/>
        </w:rPr>
        <w:t xml:space="preserve"> </w:t>
      </w:r>
      <w:r>
        <w:rPr>
          <w:sz w:val="20"/>
        </w:rPr>
        <w:t>statements.</w:t>
      </w:r>
    </w:p>
    <w:p w14:paraId="7326D2E3" w14:textId="77777777" w:rsidR="00EF3DFB" w:rsidRDefault="00EF3DFB">
      <w:pPr>
        <w:spacing w:line="249" w:lineRule="auto"/>
        <w:jc w:val="both"/>
        <w:rPr>
          <w:sz w:val="20"/>
        </w:rPr>
        <w:sectPr w:rsidR="00EF3DFB">
          <w:footerReference w:type="default" r:id="rId23"/>
          <w:pgSz w:w="12240" w:h="15840"/>
          <w:pgMar w:top="600" w:right="640" w:bottom="480" w:left="620" w:header="0" w:footer="291" w:gutter="0"/>
          <w:pgNumType w:start="100"/>
          <w:cols w:space="720"/>
        </w:sectPr>
      </w:pPr>
    </w:p>
    <w:p w14:paraId="7326D2E4" w14:textId="77777777" w:rsidR="00EF3DFB" w:rsidRDefault="00D27C17">
      <w:pPr>
        <w:pStyle w:val="BodyText"/>
        <w:spacing w:before="72" w:line="249" w:lineRule="auto"/>
        <w:ind w:left="190" w:right="168"/>
        <w:jc w:val="both"/>
      </w:pPr>
      <w:r>
        <w:lastRenderedPageBreak/>
        <w:t xml:space="preserve">Because of </w:t>
      </w:r>
      <w:r>
        <w:t>its inherent limitations, internal control over financial reporting may not prevent or detect misstatements. Also, any evaluation of effectiveness to future periods is subject to the risk that controls may become inadequate because of changes in conditions</w:t>
      </w:r>
      <w:r>
        <w:t>, or that the degree of compliance with the policies or procedures may deteriorate. As required by Rule 13a-15 under the Exchange Act, management assessed the effectiveness of its internal control over financial reporting as of December 31, 2020. In making</w:t>
      </w:r>
      <w:r>
        <w:t xml:space="preserve"> this assessment, management used the criteria set forth in the “Internal Control - Integrated Framework” (2013) issued by the Committee of Sponsoring Organizations of the Treadway Commission (COSO).</w:t>
      </w:r>
    </w:p>
    <w:p w14:paraId="7326D2E5" w14:textId="77777777" w:rsidR="00EF3DFB" w:rsidRDefault="00EF3DFB">
      <w:pPr>
        <w:pStyle w:val="BodyText"/>
        <w:spacing w:before="3"/>
        <w:rPr>
          <w:sz w:val="21"/>
        </w:rPr>
      </w:pPr>
    </w:p>
    <w:p w14:paraId="7326D2E6" w14:textId="77777777" w:rsidR="00EF3DFB" w:rsidRDefault="00D27C17">
      <w:pPr>
        <w:pStyle w:val="BodyText"/>
        <w:spacing w:line="249" w:lineRule="auto"/>
        <w:ind w:left="190" w:right="168"/>
        <w:jc w:val="both"/>
      </w:pPr>
      <w:r>
        <w:t>A material weakness is defined as a deficiency, or comb</w:t>
      </w:r>
      <w:r>
        <w:t>ination of deficiencies, in internal control over financial reporting, such that there is a reasonable possibility that a material misstatement of our annual or interim financial statements will not be prevented or detected on a timely basis.</w:t>
      </w:r>
    </w:p>
    <w:p w14:paraId="7326D2E7" w14:textId="77777777" w:rsidR="00EF3DFB" w:rsidRDefault="00EF3DFB">
      <w:pPr>
        <w:pStyle w:val="BodyText"/>
        <w:spacing w:before="1"/>
        <w:rPr>
          <w:sz w:val="21"/>
        </w:rPr>
      </w:pPr>
    </w:p>
    <w:p w14:paraId="7326D2E8" w14:textId="77777777" w:rsidR="00EF3DFB" w:rsidRDefault="00D27C17">
      <w:pPr>
        <w:pStyle w:val="BodyText"/>
        <w:spacing w:line="249" w:lineRule="auto"/>
        <w:ind w:left="190" w:right="167"/>
        <w:jc w:val="both"/>
      </w:pPr>
      <w:r>
        <w:t xml:space="preserve">The Company </w:t>
      </w:r>
      <w:r>
        <w:t>continues to have a material weakness in internal control over financial reporting as disclosed in Management’s Assessment of the Internal Control over Financial Reporting in Item 9A., Controls and Procedures, of our Annual Report on Form 10-K for the year</w:t>
      </w:r>
      <w:r>
        <w:t xml:space="preserve"> ended December 31, 2019 (the “2019 Form 10-K”). The Company did not design and maintain effective controls over the accounting for certain aspects of income taxes. At December 31, 2019, the Company identified that it did not design and maintain effective </w:t>
      </w:r>
      <w:r>
        <w:t>controls related to the completeness and accuracy of accounting for state income tax and the accuracy of determining uncertain tax positions, including but not limited to verifying the accrued interest associated with uncertain tax positions was properly d</w:t>
      </w:r>
      <w:r>
        <w:t>etermined and recorded. In addition, during the fourth quarter of 2020, management identified that the Company did not design and maintain effective controls to ensure the accuracy of accounting for non-recurring tax planning transactions.</w:t>
      </w:r>
    </w:p>
    <w:p w14:paraId="7326D2E9" w14:textId="77777777" w:rsidR="00EF3DFB" w:rsidRDefault="00EF3DFB">
      <w:pPr>
        <w:pStyle w:val="BodyText"/>
        <w:spacing w:before="6"/>
        <w:rPr>
          <w:sz w:val="21"/>
        </w:rPr>
      </w:pPr>
    </w:p>
    <w:p w14:paraId="7326D2EA" w14:textId="77777777" w:rsidR="00EF3DFB" w:rsidRDefault="00D27C17">
      <w:pPr>
        <w:pStyle w:val="BodyText"/>
        <w:spacing w:line="249" w:lineRule="auto"/>
        <w:ind w:left="190" w:right="169"/>
        <w:jc w:val="both"/>
      </w:pPr>
      <w:r>
        <w:t>These deficienc</w:t>
      </w:r>
      <w:r>
        <w:t>ies resulted in errors recorded as of and for the quarter ended December 31, 2020 impacting the current tax benefit for the quarter ended December 31, 2020; and deferred tax liabilities and other non-current liabilities as of December 31, 2020 and errors p</w:t>
      </w:r>
      <w:r>
        <w:t>reviously recorded as of and for the quarter ended December 31, 2019 impacting the current tax benefit for the quarter ended December 31, 2019; and goodwill, other assets, deferred tax liabilities, other non-current liabilities and accumulated other compre</w:t>
      </w:r>
      <w:r>
        <w:t>hensive loss as of December 31, 2019. These control deficiencies, in the aggregate, could result in a misstatement of the Company’s aforementioned accounts and disclosures that would result in a material misstatement of the annual or interim consolidated f</w:t>
      </w:r>
      <w:r>
        <w:t>inancial statements that would not be prevented or detected. Accordingly, management has determined that these control deficiencies, in aggregate, constitute a material weakness.</w:t>
      </w:r>
    </w:p>
    <w:p w14:paraId="7326D2EB" w14:textId="77777777" w:rsidR="00EF3DFB" w:rsidRDefault="00EF3DFB">
      <w:pPr>
        <w:pStyle w:val="BodyText"/>
        <w:spacing w:before="5"/>
        <w:rPr>
          <w:sz w:val="21"/>
        </w:rPr>
      </w:pPr>
    </w:p>
    <w:p w14:paraId="7326D2EC" w14:textId="77777777" w:rsidR="00EF3DFB" w:rsidRDefault="00D27C17">
      <w:pPr>
        <w:pStyle w:val="BodyText"/>
        <w:spacing w:line="249" w:lineRule="auto"/>
        <w:ind w:left="190" w:right="168"/>
        <w:jc w:val="both"/>
      </w:pPr>
      <w:r>
        <w:t>Because of the material weakness, management concluded that the Company’s internal control over financial reporting was not effective as of December 31, 2020.</w:t>
      </w:r>
    </w:p>
    <w:p w14:paraId="7326D2ED" w14:textId="77777777" w:rsidR="00EF3DFB" w:rsidRDefault="00EF3DFB">
      <w:pPr>
        <w:pStyle w:val="BodyText"/>
        <w:rPr>
          <w:sz w:val="21"/>
        </w:rPr>
      </w:pPr>
    </w:p>
    <w:p w14:paraId="7326D2EE" w14:textId="77777777" w:rsidR="00EF3DFB" w:rsidRDefault="00D27C17">
      <w:pPr>
        <w:pStyle w:val="BodyText"/>
        <w:spacing w:line="249" w:lineRule="auto"/>
        <w:ind w:left="190" w:right="171"/>
        <w:jc w:val="both"/>
      </w:pPr>
      <w:r>
        <w:t xml:space="preserve">The effectiveness of the Company’s internal control over financial reporting as of December 31, </w:t>
      </w:r>
      <w:r>
        <w:t>2020, has been audited by PricewaterhouseCoopers LLP, as stated in their report, as set forth under Item 8 of this 2020 Annual Report.</w:t>
      </w:r>
    </w:p>
    <w:p w14:paraId="7326D2EF" w14:textId="77777777" w:rsidR="00EF3DFB" w:rsidRDefault="00EF3DFB">
      <w:pPr>
        <w:pStyle w:val="BodyText"/>
        <w:spacing w:before="8"/>
      </w:pPr>
    </w:p>
    <w:p w14:paraId="7326D2F0" w14:textId="77777777" w:rsidR="00EF3DFB" w:rsidRDefault="00D27C17">
      <w:pPr>
        <w:pStyle w:val="Heading2"/>
        <w:spacing w:before="1"/>
      </w:pPr>
      <w:r>
        <w:t>Remediation Plan</w:t>
      </w:r>
    </w:p>
    <w:p w14:paraId="7326D2F1" w14:textId="77777777" w:rsidR="00EF3DFB" w:rsidRDefault="00EF3DFB">
      <w:pPr>
        <w:pStyle w:val="BodyText"/>
        <w:rPr>
          <w:b/>
          <w:sz w:val="22"/>
        </w:rPr>
      </w:pPr>
    </w:p>
    <w:p w14:paraId="7326D2F2" w14:textId="77777777" w:rsidR="00EF3DFB" w:rsidRDefault="00D27C17">
      <w:pPr>
        <w:pStyle w:val="BodyText"/>
        <w:spacing w:line="249" w:lineRule="auto"/>
        <w:ind w:left="190" w:right="168"/>
        <w:jc w:val="both"/>
      </w:pPr>
      <w:r>
        <w:t>As of December 31, 2020, management designed and implemented the following measures to remediate the deficiencies related to the completeness and accuracy of accounting for state income tax and the accuracy of determining uncertain tax positions, including</w:t>
      </w:r>
      <w:r>
        <w:t xml:space="preserve"> but not limited to verifying that the accrued interest associated with uncertain tax positions was properly determined and recorded:</w:t>
      </w:r>
    </w:p>
    <w:p w14:paraId="7326D2F3" w14:textId="77777777" w:rsidR="00EF3DFB" w:rsidRDefault="00EF3DFB">
      <w:pPr>
        <w:pStyle w:val="BodyText"/>
        <w:spacing w:before="1"/>
        <w:rPr>
          <w:sz w:val="21"/>
        </w:rPr>
      </w:pPr>
    </w:p>
    <w:p w14:paraId="7326D2F4" w14:textId="77777777" w:rsidR="00EF3DFB" w:rsidRDefault="00D27C17">
      <w:pPr>
        <w:pStyle w:val="ListParagraph"/>
        <w:numPr>
          <w:ilvl w:val="2"/>
          <w:numId w:val="16"/>
        </w:numPr>
        <w:tabs>
          <w:tab w:val="left" w:pos="909"/>
          <w:tab w:val="left" w:pos="910"/>
        </w:tabs>
        <w:spacing w:line="249" w:lineRule="auto"/>
        <w:ind w:right="170"/>
        <w:rPr>
          <w:sz w:val="20"/>
        </w:rPr>
      </w:pPr>
      <w:r>
        <w:rPr>
          <w:sz w:val="20"/>
        </w:rPr>
        <w:t>Hired experienced resources with substantive backgrounds in accounting for income taxes as well as U.S. multinational pub</w:t>
      </w:r>
      <w:r>
        <w:rPr>
          <w:sz w:val="20"/>
        </w:rPr>
        <w:t>lic company</w:t>
      </w:r>
      <w:r>
        <w:rPr>
          <w:spacing w:val="-2"/>
          <w:sz w:val="20"/>
        </w:rPr>
        <w:t xml:space="preserve"> </w:t>
      </w:r>
      <w:r>
        <w:rPr>
          <w:sz w:val="20"/>
        </w:rPr>
        <w:t>experience;</w:t>
      </w:r>
    </w:p>
    <w:p w14:paraId="7326D2F5" w14:textId="77777777" w:rsidR="00EF3DFB" w:rsidRDefault="00D27C17">
      <w:pPr>
        <w:pStyle w:val="ListParagraph"/>
        <w:numPr>
          <w:ilvl w:val="2"/>
          <w:numId w:val="16"/>
        </w:numPr>
        <w:tabs>
          <w:tab w:val="left" w:pos="909"/>
          <w:tab w:val="left" w:pos="910"/>
        </w:tabs>
        <w:spacing w:before="1" w:line="249" w:lineRule="auto"/>
        <w:ind w:right="169"/>
        <w:rPr>
          <w:sz w:val="20"/>
        </w:rPr>
      </w:pPr>
      <w:r>
        <w:rPr>
          <w:sz w:val="20"/>
        </w:rPr>
        <w:t>Engaged a third party to review the Company’s tax provision processes, identify inefficiencies, and recommend process enhancements;</w:t>
      </w:r>
    </w:p>
    <w:p w14:paraId="7326D2F6" w14:textId="77777777" w:rsidR="00EF3DFB" w:rsidRDefault="00D27C17">
      <w:pPr>
        <w:pStyle w:val="ListParagraph"/>
        <w:numPr>
          <w:ilvl w:val="2"/>
          <w:numId w:val="16"/>
        </w:numPr>
        <w:tabs>
          <w:tab w:val="left" w:pos="909"/>
          <w:tab w:val="left" w:pos="910"/>
        </w:tabs>
        <w:spacing w:before="2" w:line="249" w:lineRule="auto"/>
        <w:ind w:right="170"/>
        <w:rPr>
          <w:sz w:val="20"/>
        </w:rPr>
      </w:pPr>
      <w:r>
        <w:rPr>
          <w:sz w:val="20"/>
        </w:rPr>
        <w:t>Implemented a tax reporting software solution that has enhanced our visibility of uncertain tax posi</w:t>
      </w:r>
      <w:r>
        <w:rPr>
          <w:sz w:val="20"/>
        </w:rPr>
        <w:t>tions as well as a software solution that has enhanced our state income tax reporting</w:t>
      </w:r>
      <w:r>
        <w:rPr>
          <w:spacing w:val="-10"/>
          <w:sz w:val="20"/>
        </w:rPr>
        <w:t xml:space="preserve"> </w:t>
      </w:r>
      <w:r>
        <w:rPr>
          <w:sz w:val="20"/>
        </w:rPr>
        <w:t>capabilities;</w:t>
      </w:r>
    </w:p>
    <w:p w14:paraId="7326D2F7" w14:textId="77777777" w:rsidR="00EF3DFB" w:rsidRDefault="00D27C17">
      <w:pPr>
        <w:pStyle w:val="ListParagraph"/>
        <w:numPr>
          <w:ilvl w:val="2"/>
          <w:numId w:val="16"/>
        </w:numPr>
        <w:tabs>
          <w:tab w:val="left" w:pos="909"/>
          <w:tab w:val="left" w:pos="910"/>
        </w:tabs>
        <w:spacing w:before="2" w:line="249" w:lineRule="auto"/>
        <w:ind w:right="170"/>
        <w:rPr>
          <w:sz w:val="20"/>
        </w:rPr>
      </w:pPr>
      <w:r>
        <w:rPr>
          <w:sz w:val="20"/>
        </w:rPr>
        <w:t>Implemented enhancements and process improvements to the quarterly and annual provision with respect to the accuracy of uncertain tax positions and complete</w:t>
      </w:r>
      <w:r>
        <w:rPr>
          <w:sz w:val="20"/>
        </w:rPr>
        <w:t>ness and accuracy of state income taxes;</w:t>
      </w:r>
      <w:r>
        <w:rPr>
          <w:spacing w:val="-11"/>
          <w:sz w:val="20"/>
        </w:rPr>
        <w:t xml:space="preserve"> </w:t>
      </w:r>
      <w:r>
        <w:rPr>
          <w:sz w:val="20"/>
        </w:rPr>
        <w:t>and</w:t>
      </w:r>
    </w:p>
    <w:p w14:paraId="7326D2F8" w14:textId="77777777" w:rsidR="00EF3DFB" w:rsidRDefault="00D27C17">
      <w:pPr>
        <w:pStyle w:val="ListParagraph"/>
        <w:numPr>
          <w:ilvl w:val="2"/>
          <w:numId w:val="16"/>
        </w:numPr>
        <w:tabs>
          <w:tab w:val="left" w:pos="909"/>
          <w:tab w:val="left" w:pos="910"/>
        </w:tabs>
        <w:spacing w:before="1" w:line="249" w:lineRule="auto"/>
        <w:ind w:right="168"/>
        <w:rPr>
          <w:sz w:val="20"/>
        </w:rPr>
      </w:pPr>
      <w:r>
        <w:rPr>
          <w:sz w:val="20"/>
        </w:rPr>
        <w:t>Undertook extensive training for key personnel in each reporting jurisdiction on tax reporting requirements and our redesigned</w:t>
      </w:r>
      <w:r>
        <w:rPr>
          <w:spacing w:val="-1"/>
          <w:sz w:val="20"/>
        </w:rPr>
        <w:t xml:space="preserve"> </w:t>
      </w:r>
      <w:r>
        <w:rPr>
          <w:sz w:val="20"/>
        </w:rPr>
        <w:t>processes.</w:t>
      </w:r>
    </w:p>
    <w:p w14:paraId="7326D2F9" w14:textId="77777777" w:rsidR="00EF3DFB" w:rsidRDefault="00EF3DFB">
      <w:pPr>
        <w:spacing w:line="249" w:lineRule="auto"/>
        <w:rPr>
          <w:sz w:val="20"/>
        </w:rPr>
        <w:sectPr w:rsidR="00EF3DFB">
          <w:pgSz w:w="12240" w:h="15840"/>
          <w:pgMar w:top="600" w:right="640" w:bottom="480" w:left="620" w:header="0" w:footer="291" w:gutter="0"/>
          <w:cols w:space="720"/>
        </w:sectPr>
      </w:pPr>
    </w:p>
    <w:p w14:paraId="7326D2FA" w14:textId="77777777" w:rsidR="00EF3DFB" w:rsidRDefault="00D27C17">
      <w:pPr>
        <w:pStyle w:val="BodyText"/>
        <w:spacing w:before="72" w:line="249" w:lineRule="auto"/>
        <w:ind w:left="190" w:right="170"/>
        <w:jc w:val="both"/>
      </w:pPr>
      <w:r>
        <w:lastRenderedPageBreak/>
        <w:t>In addition, as summarized below, management is in the process of developing a full remediation plan for and has begun enhancing certain controls to include refinements and improvements to the controls with respect to the deficiencies related to the accura</w:t>
      </w:r>
      <w:r>
        <w:t>cy of accounting for non-recurring tax planning transactions:</w:t>
      </w:r>
    </w:p>
    <w:p w14:paraId="7326D2FB" w14:textId="77777777" w:rsidR="00EF3DFB" w:rsidRDefault="00EF3DFB">
      <w:pPr>
        <w:pStyle w:val="BodyText"/>
        <w:rPr>
          <w:sz w:val="21"/>
        </w:rPr>
      </w:pPr>
    </w:p>
    <w:p w14:paraId="7326D2FC" w14:textId="77777777" w:rsidR="00EF3DFB" w:rsidRDefault="00D27C17">
      <w:pPr>
        <w:pStyle w:val="ListParagraph"/>
        <w:numPr>
          <w:ilvl w:val="2"/>
          <w:numId w:val="16"/>
        </w:numPr>
        <w:tabs>
          <w:tab w:val="left" w:pos="1009"/>
          <w:tab w:val="left" w:pos="1010"/>
        </w:tabs>
        <w:spacing w:before="1"/>
        <w:ind w:left="1010" w:hanging="460"/>
        <w:rPr>
          <w:sz w:val="20"/>
        </w:rPr>
      </w:pPr>
      <w:r>
        <w:rPr>
          <w:sz w:val="20"/>
        </w:rPr>
        <w:t>Enhancing the precision of the control over the calculation and analysis of non-recurring tax planning</w:t>
      </w:r>
      <w:r>
        <w:rPr>
          <w:spacing w:val="-27"/>
          <w:sz w:val="20"/>
        </w:rPr>
        <w:t xml:space="preserve"> </w:t>
      </w:r>
      <w:r>
        <w:rPr>
          <w:sz w:val="20"/>
        </w:rPr>
        <w:t>transactions.</w:t>
      </w:r>
    </w:p>
    <w:p w14:paraId="7326D2FD" w14:textId="77777777" w:rsidR="00EF3DFB" w:rsidRDefault="00EF3DFB">
      <w:pPr>
        <w:pStyle w:val="BodyText"/>
        <w:spacing w:before="8"/>
        <w:rPr>
          <w:sz w:val="21"/>
        </w:rPr>
      </w:pPr>
    </w:p>
    <w:p w14:paraId="7326D2FE" w14:textId="77777777" w:rsidR="00EF3DFB" w:rsidRDefault="00D27C17">
      <w:pPr>
        <w:pStyle w:val="BodyText"/>
        <w:spacing w:line="249" w:lineRule="auto"/>
        <w:ind w:left="190" w:right="169"/>
        <w:jc w:val="both"/>
      </w:pPr>
      <w:r>
        <w:t>While management believes that the measures already designed and implemente</w:t>
      </w:r>
      <w:r>
        <w:t>d in both the state tax and uncertain tax positions processes are effective, the material weakness, in the aggregate, will not be considered fully remediated until all aspects of the controls operate for a sufficient period of time and management has concl</w:t>
      </w:r>
      <w:r>
        <w:t>uded, through testing, that these controls are operating effectively. The Company will monitor the effectiveness of its remediation plan and will refine its remediation plan as appropriate.</w:t>
      </w:r>
    </w:p>
    <w:p w14:paraId="7326D2FF" w14:textId="77777777" w:rsidR="00EF3DFB" w:rsidRDefault="00EF3DFB">
      <w:pPr>
        <w:pStyle w:val="BodyText"/>
        <w:spacing w:before="10"/>
      </w:pPr>
    </w:p>
    <w:p w14:paraId="7326D300" w14:textId="77777777" w:rsidR="00EF3DFB" w:rsidRDefault="00D27C17">
      <w:pPr>
        <w:pStyle w:val="Heading2"/>
        <w:jc w:val="left"/>
      </w:pPr>
      <w:r>
        <w:t>Changes in Internal Control Over Financial Reporting</w:t>
      </w:r>
    </w:p>
    <w:p w14:paraId="7326D301" w14:textId="77777777" w:rsidR="00EF3DFB" w:rsidRDefault="00EF3DFB">
      <w:pPr>
        <w:pStyle w:val="BodyText"/>
        <w:rPr>
          <w:b/>
          <w:sz w:val="22"/>
        </w:rPr>
      </w:pPr>
    </w:p>
    <w:p w14:paraId="7326D302" w14:textId="77777777" w:rsidR="00EF3DFB" w:rsidRDefault="00D27C17">
      <w:pPr>
        <w:pStyle w:val="BodyText"/>
        <w:spacing w:line="249" w:lineRule="auto"/>
        <w:ind w:left="190" w:right="168"/>
        <w:jc w:val="both"/>
      </w:pPr>
      <w:r>
        <w:t xml:space="preserve">During the </w:t>
      </w:r>
      <w:r>
        <w:t>quarter ended December 31, 2020, there were no changes in the Company’s internal control over financial reporting (as defined in Rule 13a-15(f) under the Exchange Act) that have materially affected, or are reasonably likely to materially affect, the Compan</w:t>
      </w:r>
      <w:r>
        <w:t>y’s internal control over financial reporting.</w:t>
      </w:r>
    </w:p>
    <w:p w14:paraId="7326D303" w14:textId="77777777" w:rsidR="00EF3DFB" w:rsidRDefault="00EF3DFB">
      <w:pPr>
        <w:pStyle w:val="BodyText"/>
        <w:spacing w:before="3"/>
        <w:rPr>
          <w:sz w:val="31"/>
        </w:rPr>
      </w:pPr>
    </w:p>
    <w:p w14:paraId="7326D304" w14:textId="77777777" w:rsidR="00EF3DFB" w:rsidRDefault="00D27C17">
      <w:pPr>
        <w:pStyle w:val="Heading2"/>
      </w:pPr>
      <w:bookmarkStart w:id="71" w:name="Item_9B._Other_Information"/>
      <w:bookmarkStart w:id="72" w:name="_bookmark16"/>
      <w:bookmarkEnd w:id="71"/>
      <w:bookmarkEnd w:id="72"/>
      <w:r>
        <w:t>ITEM 9B. OTHER INFORMATION</w:t>
      </w:r>
    </w:p>
    <w:p w14:paraId="7326D305" w14:textId="77777777" w:rsidR="00EF3DFB" w:rsidRDefault="00D27C17">
      <w:pPr>
        <w:pStyle w:val="BodyText"/>
        <w:spacing w:before="133"/>
        <w:ind w:left="190"/>
        <w:jc w:val="both"/>
      </w:pPr>
      <w:r>
        <w:t>None.</w:t>
      </w:r>
    </w:p>
    <w:p w14:paraId="7326D306" w14:textId="77777777" w:rsidR="00EF3DFB" w:rsidRDefault="00EF3DFB">
      <w:pPr>
        <w:jc w:val="both"/>
        <w:sectPr w:rsidR="00EF3DFB">
          <w:pgSz w:w="12240" w:h="15840"/>
          <w:pgMar w:top="600" w:right="640" w:bottom="480" w:left="620" w:header="0" w:footer="291" w:gutter="0"/>
          <w:cols w:space="720"/>
        </w:sectPr>
      </w:pPr>
    </w:p>
    <w:p w14:paraId="7326D307" w14:textId="77777777" w:rsidR="00EF3DFB" w:rsidRDefault="00D27C17">
      <w:pPr>
        <w:pStyle w:val="Heading2"/>
        <w:spacing w:before="68"/>
      </w:pPr>
      <w:bookmarkStart w:id="73" w:name="Part_III"/>
      <w:bookmarkStart w:id="74" w:name="_bookmark17"/>
      <w:bookmarkEnd w:id="73"/>
      <w:bookmarkEnd w:id="74"/>
      <w:r>
        <w:lastRenderedPageBreak/>
        <w:t>PART III</w:t>
      </w:r>
    </w:p>
    <w:p w14:paraId="7326D308" w14:textId="77777777" w:rsidR="00EF3DFB" w:rsidRDefault="00D27C17">
      <w:pPr>
        <w:spacing w:before="10"/>
        <w:ind w:left="190"/>
        <w:jc w:val="both"/>
        <w:rPr>
          <w:b/>
          <w:sz w:val="20"/>
        </w:rPr>
      </w:pPr>
      <w:bookmarkStart w:id="75" w:name="Item_10._Directors,_Executive_Officers_a"/>
      <w:bookmarkStart w:id="76" w:name="_bookmark18"/>
      <w:bookmarkEnd w:id="75"/>
      <w:bookmarkEnd w:id="76"/>
      <w:r>
        <w:rPr>
          <w:b/>
          <w:sz w:val="20"/>
        </w:rPr>
        <w:t>ITEM 10. DIRECTORS, EXECUTIVE OFFICERS AND CORPORATE GOVERNANCE</w:t>
      </w:r>
    </w:p>
    <w:p w14:paraId="7326D309" w14:textId="77777777" w:rsidR="00EF3DFB" w:rsidRDefault="00EF3DFB">
      <w:pPr>
        <w:pStyle w:val="BodyText"/>
        <w:rPr>
          <w:b/>
          <w:sz w:val="22"/>
        </w:rPr>
      </w:pPr>
    </w:p>
    <w:p w14:paraId="7326D30A" w14:textId="77777777" w:rsidR="00EF3DFB" w:rsidRDefault="00D27C17">
      <w:pPr>
        <w:pStyle w:val="BodyText"/>
        <w:spacing w:before="1" w:line="249" w:lineRule="auto"/>
        <w:ind w:left="190" w:right="168"/>
        <w:jc w:val="both"/>
      </w:pPr>
      <w:r>
        <w:t xml:space="preserve">Information required under this Item with respect to Directors will be contained in the Company’s Proxy Statement for the Annual Meeting of Stockholders (the “Proxy Statement”) under the captions “Election of Directors” and “Information Regarding Board of </w:t>
      </w:r>
      <w:r>
        <w:t>Directors and Committees and Corporate Governance,” which information is incorporated by reference herein.</w:t>
      </w:r>
    </w:p>
    <w:p w14:paraId="7326D30B" w14:textId="77777777" w:rsidR="00EF3DFB" w:rsidRDefault="00EF3DFB">
      <w:pPr>
        <w:pStyle w:val="BodyText"/>
        <w:rPr>
          <w:sz w:val="21"/>
        </w:rPr>
      </w:pPr>
    </w:p>
    <w:p w14:paraId="7326D30C" w14:textId="77777777" w:rsidR="00EF3DFB" w:rsidRDefault="00D27C17">
      <w:pPr>
        <w:pStyle w:val="BodyText"/>
        <w:spacing w:before="1" w:line="249" w:lineRule="auto"/>
        <w:ind w:left="190" w:right="168"/>
        <w:jc w:val="both"/>
      </w:pPr>
      <w:r>
        <w:t>Information required under this Item with respect to Executive Officers of the Company is included as a supplemental item at the end of Part I of th</w:t>
      </w:r>
      <w:r>
        <w:t>is report.</w:t>
      </w:r>
    </w:p>
    <w:p w14:paraId="7326D30D" w14:textId="77777777" w:rsidR="00EF3DFB" w:rsidRDefault="00EF3DFB">
      <w:pPr>
        <w:pStyle w:val="BodyText"/>
        <w:rPr>
          <w:sz w:val="21"/>
        </w:rPr>
      </w:pPr>
    </w:p>
    <w:p w14:paraId="7326D30E" w14:textId="77777777" w:rsidR="00EF3DFB" w:rsidRDefault="00D27C17">
      <w:pPr>
        <w:pStyle w:val="BodyText"/>
        <w:spacing w:line="249" w:lineRule="auto"/>
        <w:ind w:left="190" w:right="170"/>
        <w:jc w:val="both"/>
      </w:pPr>
      <w:r>
        <w:t>If applicable, information required under this Item with respect to compliance with Section 16(a) of the Exchange Act will be included in the Proxy Statement under the caption “Delinquent Section 16(a) Reports,” which information is incorporate</w:t>
      </w:r>
      <w:r>
        <w:t>d by reference.</w:t>
      </w:r>
    </w:p>
    <w:p w14:paraId="7326D30F" w14:textId="77777777" w:rsidR="00EF3DFB" w:rsidRDefault="00EF3DFB">
      <w:pPr>
        <w:pStyle w:val="BodyText"/>
        <w:spacing w:before="1"/>
        <w:rPr>
          <w:sz w:val="21"/>
        </w:rPr>
      </w:pPr>
    </w:p>
    <w:p w14:paraId="7326D310" w14:textId="77777777" w:rsidR="00EF3DFB" w:rsidRDefault="00D27C17">
      <w:pPr>
        <w:pStyle w:val="BodyText"/>
        <w:spacing w:line="249" w:lineRule="auto"/>
        <w:ind w:left="190" w:right="168"/>
        <w:jc w:val="both"/>
      </w:pPr>
      <w:r>
        <w:t>Information required under this Item with respect to the audit committee and audit committee financial experts will be included in the Proxy Statement under the caption “Information Regarding Board of Directors and Committees and Corporate</w:t>
      </w:r>
      <w:r>
        <w:t xml:space="preserve"> Governance — Committees — Audit Committee,” which information is incorporated by reference herein.</w:t>
      </w:r>
    </w:p>
    <w:p w14:paraId="7326D311" w14:textId="77777777" w:rsidR="00EF3DFB" w:rsidRDefault="00EF3DFB">
      <w:pPr>
        <w:pStyle w:val="BodyText"/>
        <w:spacing w:before="1"/>
        <w:rPr>
          <w:sz w:val="21"/>
        </w:rPr>
      </w:pPr>
    </w:p>
    <w:p w14:paraId="7326D312" w14:textId="77777777" w:rsidR="00EF3DFB" w:rsidRDefault="00D27C17">
      <w:pPr>
        <w:pStyle w:val="BodyText"/>
        <w:spacing w:line="249" w:lineRule="auto"/>
        <w:ind w:left="190" w:right="168"/>
        <w:jc w:val="both"/>
      </w:pPr>
      <w:r>
        <w:t>Information required under this Item with respect to communications between security holders and Directors will be included in the Proxy Statement under th</w:t>
      </w:r>
      <w:r>
        <w:t>e caption “Information Regarding Board of Directors and Committees and Corporate Governance — Director Nomination Process,” and “Information Regarding Board of Directors and Committees and Corporate Governance — Communications with the Board of Directors,”</w:t>
      </w:r>
      <w:r>
        <w:t xml:space="preserve"> which information is incorporated by reference herein.</w:t>
      </w:r>
    </w:p>
    <w:p w14:paraId="7326D313" w14:textId="77777777" w:rsidR="00EF3DFB" w:rsidRDefault="00EF3DFB">
      <w:pPr>
        <w:pStyle w:val="BodyText"/>
        <w:spacing w:before="1"/>
        <w:rPr>
          <w:sz w:val="21"/>
        </w:rPr>
      </w:pPr>
    </w:p>
    <w:p w14:paraId="7326D314" w14:textId="77777777" w:rsidR="00EF3DFB" w:rsidRDefault="00D27C17">
      <w:pPr>
        <w:pStyle w:val="BodyText"/>
        <w:spacing w:before="1" w:line="249" w:lineRule="auto"/>
        <w:ind w:left="190" w:right="168"/>
        <w:jc w:val="both"/>
      </w:pPr>
      <w:r>
        <w:t>The Board of Directors has adopted a “Code of Ethics for Senior Financial Officers,” which is applicable to the Company’s senior financial officers, including the Company’s principal executive office</w:t>
      </w:r>
      <w:r>
        <w:t xml:space="preserve">r, principal financial officer, principal accounting officer and controller. The Company also has a separate “Code of Conduct” that is applicable to all Company employees, including each of the Company’s directors and officers. Both the Code of Ethics for </w:t>
      </w:r>
      <w:r>
        <w:t>Senior Financial Officers and the Code of Conduct are available under the “Corporate Governance” link on the Company’s website a</w:t>
      </w:r>
      <w:hyperlink r:id="rId24">
        <w:r>
          <w:t xml:space="preserve">t www.newellbrands.com. </w:t>
        </w:r>
      </w:hyperlink>
      <w:r>
        <w:t>The Company posts any amendments to or waivers of its Co</w:t>
      </w:r>
      <w:r>
        <w:t>de of Ethics for Senior Financial Officers or to the Code of Conduct (to the extent applicable to the Company’s directors or executive officers) at the same location on the Company’s website. In addition, copies of the Code of Ethics for Senior Financial O</w:t>
      </w:r>
      <w:r>
        <w:t>fficers and of the Code of Conduct may be obtained in print without charge upon written request by any stockholder to the office of the Corporate Secretary of the Company at 6655 Peachtree Dunwoody Road, Atlanta, GA</w:t>
      </w:r>
      <w:r>
        <w:rPr>
          <w:spacing w:val="-32"/>
        </w:rPr>
        <w:t xml:space="preserve"> </w:t>
      </w:r>
      <w:r>
        <w:t>30328.</w:t>
      </w:r>
    </w:p>
    <w:p w14:paraId="7326D315" w14:textId="77777777" w:rsidR="00EF3DFB" w:rsidRDefault="00EF3DFB">
      <w:pPr>
        <w:pStyle w:val="BodyText"/>
        <w:spacing w:before="2"/>
        <w:rPr>
          <w:sz w:val="21"/>
        </w:rPr>
      </w:pPr>
    </w:p>
    <w:p w14:paraId="7326D316" w14:textId="77777777" w:rsidR="00EF3DFB" w:rsidRDefault="00D27C17">
      <w:pPr>
        <w:pStyle w:val="Heading2"/>
      </w:pPr>
      <w:bookmarkStart w:id="77" w:name="Item_11._Executive_Compensation"/>
      <w:bookmarkStart w:id="78" w:name="_bookmark19"/>
      <w:bookmarkEnd w:id="77"/>
      <w:bookmarkEnd w:id="78"/>
      <w:r>
        <w:t>ITEM 11. EXECUTIVE COMPENSATION</w:t>
      </w:r>
    </w:p>
    <w:p w14:paraId="7326D317" w14:textId="77777777" w:rsidR="00EF3DFB" w:rsidRDefault="00EF3DFB">
      <w:pPr>
        <w:pStyle w:val="BodyText"/>
        <w:rPr>
          <w:b/>
          <w:sz w:val="22"/>
        </w:rPr>
      </w:pPr>
    </w:p>
    <w:p w14:paraId="7326D318" w14:textId="77777777" w:rsidR="00EF3DFB" w:rsidRDefault="00D27C17">
      <w:pPr>
        <w:pStyle w:val="BodyText"/>
        <w:spacing w:line="249" w:lineRule="auto"/>
        <w:ind w:left="190" w:right="167"/>
        <w:jc w:val="both"/>
      </w:pPr>
      <w:r>
        <w:t xml:space="preserve">Information required under this Item will be included in the Proxy Statement under the captions “Organizational Development &amp; Compensation Committee Report,” “Executive Compensation,” and “Compensation Committee Interlocks </w:t>
      </w:r>
      <w:r>
        <w:t>and Insider</w:t>
      </w:r>
      <w:bookmarkStart w:id="79" w:name="Item_12._Security_Ownership_of_Certain_B"/>
      <w:bookmarkStart w:id="80" w:name="_bookmark20"/>
      <w:bookmarkEnd w:id="79"/>
      <w:bookmarkEnd w:id="80"/>
      <w:r>
        <w:t xml:space="preserve"> Participation,” which information is incorporated by reference herein.</w:t>
      </w:r>
    </w:p>
    <w:p w14:paraId="7326D319" w14:textId="77777777" w:rsidR="00EF3DFB" w:rsidRDefault="00EF3DFB">
      <w:pPr>
        <w:pStyle w:val="BodyText"/>
        <w:spacing w:before="10"/>
      </w:pPr>
    </w:p>
    <w:p w14:paraId="7326D31A" w14:textId="77777777" w:rsidR="00EF3DFB" w:rsidRDefault="00D27C17">
      <w:pPr>
        <w:pStyle w:val="Heading2"/>
        <w:spacing w:line="249" w:lineRule="auto"/>
        <w:ind w:right="168"/>
      </w:pPr>
      <w:r>
        <w:t>ITEM 12. SECURITY OWNERSHIP OF CERTAIN BENEFICIAL OWNERS AND MANAGEMENT AND RELATED STOCKHOLDER MATTERS</w:t>
      </w:r>
    </w:p>
    <w:p w14:paraId="7326D31B" w14:textId="77777777" w:rsidR="00EF3DFB" w:rsidRDefault="00EF3DFB">
      <w:pPr>
        <w:pStyle w:val="BodyText"/>
        <w:spacing w:before="3"/>
        <w:rPr>
          <w:b/>
          <w:sz w:val="21"/>
        </w:rPr>
      </w:pPr>
    </w:p>
    <w:p w14:paraId="7326D31C" w14:textId="77777777" w:rsidR="00EF3DFB" w:rsidRDefault="00D27C17">
      <w:pPr>
        <w:pStyle w:val="BodyText"/>
        <w:spacing w:line="249" w:lineRule="auto"/>
        <w:ind w:left="190" w:right="171"/>
        <w:jc w:val="both"/>
      </w:pPr>
      <w:r>
        <w:t>Information required under this Item will be included in the Proxy Statement under the captions “Certain Beneficial Owners” and</w:t>
      </w:r>
      <w:bookmarkStart w:id="81" w:name="Item_13._Certain_Relationships_and_Relat"/>
      <w:bookmarkStart w:id="82" w:name="_bookmark21"/>
      <w:bookmarkEnd w:id="81"/>
      <w:bookmarkEnd w:id="82"/>
      <w:r>
        <w:t xml:space="preserve"> “Equity Compensation Pl</w:t>
      </w:r>
      <w:r>
        <w:t>an Information,” which information is incorporated by reference herein.</w:t>
      </w:r>
    </w:p>
    <w:p w14:paraId="7326D31D" w14:textId="77777777" w:rsidR="00EF3DFB" w:rsidRDefault="00EF3DFB">
      <w:pPr>
        <w:pStyle w:val="BodyText"/>
        <w:spacing w:before="8"/>
      </w:pPr>
    </w:p>
    <w:p w14:paraId="7326D31E" w14:textId="77777777" w:rsidR="00EF3DFB" w:rsidRDefault="00D27C17">
      <w:pPr>
        <w:pStyle w:val="Heading2"/>
        <w:spacing w:before="1"/>
      </w:pPr>
      <w:r>
        <w:t>ITEM 13. CERTAIN RELATIONSHIPS AND RELATED TRANSACTIONS, AND DIRECTOR INDEPENDENCE</w:t>
      </w:r>
    </w:p>
    <w:p w14:paraId="7326D31F" w14:textId="77777777" w:rsidR="00EF3DFB" w:rsidRDefault="00EF3DFB">
      <w:pPr>
        <w:pStyle w:val="BodyText"/>
        <w:rPr>
          <w:b/>
          <w:sz w:val="22"/>
        </w:rPr>
      </w:pPr>
    </w:p>
    <w:p w14:paraId="7326D320" w14:textId="77777777" w:rsidR="00EF3DFB" w:rsidRDefault="00D27C17">
      <w:pPr>
        <w:pStyle w:val="BodyText"/>
        <w:spacing w:line="249" w:lineRule="auto"/>
        <w:ind w:left="190" w:right="169"/>
        <w:jc w:val="both"/>
      </w:pPr>
      <w:r>
        <w:t>Information required under this Item with respect to certain relationships and related transactions</w:t>
      </w:r>
      <w:r>
        <w:t xml:space="preserve"> will be included in the Proxy Statement under the caption “Certain Relationships and Related Transactions,” which information is incorporated by reference herein.</w:t>
      </w:r>
    </w:p>
    <w:p w14:paraId="7326D321" w14:textId="77777777" w:rsidR="00EF3DFB" w:rsidRDefault="00EF3DFB">
      <w:pPr>
        <w:pStyle w:val="BodyText"/>
        <w:spacing w:before="1"/>
        <w:rPr>
          <w:sz w:val="21"/>
        </w:rPr>
      </w:pPr>
    </w:p>
    <w:p w14:paraId="7326D322" w14:textId="77777777" w:rsidR="00EF3DFB" w:rsidRDefault="00D27C17">
      <w:pPr>
        <w:pStyle w:val="BodyText"/>
        <w:spacing w:line="249" w:lineRule="auto"/>
        <w:ind w:left="190" w:right="168"/>
        <w:jc w:val="both"/>
      </w:pPr>
      <w:r>
        <w:t>Information required under this Item with respect to director independence will be included</w:t>
      </w:r>
      <w:r>
        <w:t xml:space="preserve"> in the Proxy Statement under the caption “Information Regarding Board of Directors and Committees and Corporate Governance — Director Independence,” which information is incorporated by reference</w:t>
      </w:r>
      <w:r>
        <w:rPr>
          <w:spacing w:val="-3"/>
        </w:rPr>
        <w:t xml:space="preserve"> </w:t>
      </w:r>
      <w:r>
        <w:t>herein.</w:t>
      </w:r>
    </w:p>
    <w:p w14:paraId="7326D323" w14:textId="77777777" w:rsidR="00EF3DFB" w:rsidRDefault="00EF3DFB">
      <w:pPr>
        <w:pStyle w:val="BodyText"/>
        <w:spacing w:before="9"/>
      </w:pPr>
    </w:p>
    <w:p w14:paraId="7326D324" w14:textId="77777777" w:rsidR="00EF3DFB" w:rsidRDefault="00D27C17">
      <w:pPr>
        <w:pStyle w:val="Heading2"/>
      </w:pPr>
      <w:bookmarkStart w:id="83" w:name="Item_14._Principal_Accounting_Fees_and_S"/>
      <w:bookmarkStart w:id="84" w:name="_bookmark22"/>
      <w:bookmarkEnd w:id="83"/>
      <w:bookmarkEnd w:id="84"/>
      <w:r>
        <w:t>ITEM 14. PRINCIPAL ACCOUNTING FEES AND SERVICES</w:t>
      </w:r>
    </w:p>
    <w:p w14:paraId="7326D325" w14:textId="77777777" w:rsidR="00EF3DFB" w:rsidRDefault="00D27C17">
      <w:pPr>
        <w:pStyle w:val="BodyText"/>
        <w:spacing w:before="133" w:line="249" w:lineRule="auto"/>
        <w:ind w:left="190" w:right="170"/>
        <w:jc w:val="both"/>
      </w:pPr>
      <w:r>
        <w:t>In</w:t>
      </w:r>
      <w:r>
        <w:t>formation required under this Item will be included in the Proxy Statement under the caption “Ratification of Appointment of Independent Registered Public Accounting Firm,” which information is incorporated by reference herein.</w:t>
      </w:r>
    </w:p>
    <w:p w14:paraId="7326D326" w14:textId="77777777" w:rsidR="00EF3DFB" w:rsidRDefault="00EF3DFB">
      <w:pPr>
        <w:spacing w:line="249" w:lineRule="auto"/>
        <w:jc w:val="both"/>
        <w:sectPr w:rsidR="00EF3DFB">
          <w:pgSz w:w="12240" w:h="15840"/>
          <w:pgMar w:top="600" w:right="640" w:bottom="480" w:left="620" w:header="0" w:footer="291" w:gutter="0"/>
          <w:cols w:space="720"/>
        </w:sectPr>
      </w:pPr>
    </w:p>
    <w:p w14:paraId="7326D327" w14:textId="77777777" w:rsidR="00EF3DFB" w:rsidRDefault="00D27C17">
      <w:pPr>
        <w:pStyle w:val="Heading2"/>
        <w:spacing w:before="68"/>
        <w:jc w:val="left"/>
      </w:pPr>
      <w:bookmarkStart w:id="85" w:name="Part_IV"/>
      <w:bookmarkStart w:id="86" w:name="_bookmark23"/>
      <w:bookmarkEnd w:id="85"/>
      <w:bookmarkEnd w:id="86"/>
      <w:r>
        <w:lastRenderedPageBreak/>
        <w:t>PART IV</w:t>
      </w:r>
    </w:p>
    <w:p w14:paraId="7326D328" w14:textId="77777777" w:rsidR="00EF3DFB" w:rsidRDefault="00D27C17">
      <w:pPr>
        <w:spacing w:before="10"/>
        <w:ind w:left="190"/>
        <w:rPr>
          <w:b/>
          <w:sz w:val="20"/>
        </w:rPr>
      </w:pPr>
      <w:bookmarkStart w:id="87" w:name="Item_15._Exhibits,_Financial_Statement_S"/>
      <w:bookmarkStart w:id="88" w:name="_bookmark24"/>
      <w:bookmarkEnd w:id="87"/>
      <w:bookmarkEnd w:id="88"/>
      <w:r>
        <w:rPr>
          <w:b/>
          <w:sz w:val="20"/>
        </w:rPr>
        <w:t>ITEM 1</w:t>
      </w:r>
      <w:r>
        <w:rPr>
          <w:b/>
          <w:sz w:val="20"/>
        </w:rPr>
        <w:t>5. EXHIBITS, FINANCIAL STATEMENT SCHEDULES</w:t>
      </w:r>
    </w:p>
    <w:p w14:paraId="7326D329" w14:textId="77777777" w:rsidR="00EF3DFB" w:rsidRDefault="00EF3DFB">
      <w:pPr>
        <w:pStyle w:val="BodyText"/>
        <w:rPr>
          <w:b/>
          <w:sz w:val="22"/>
        </w:rPr>
      </w:pPr>
    </w:p>
    <w:p w14:paraId="7326D32A" w14:textId="77777777" w:rsidR="00EF3DFB" w:rsidRDefault="00D27C17">
      <w:pPr>
        <w:pStyle w:val="BodyText"/>
        <w:spacing w:before="1" w:line="249" w:lineRule="auto"/>
        <w:ind w:left="190"/>
      </w:pPr>
      <w:r>
        <w:t>(a)(1) The following is a list of the financial statements of Newell Brands Inc. included in this report on Form 10-K, which are filed herewith pursuant to Item 8:</w:t>
      </w:r>
    </w:p>
    <w:p w14:paraId="7326D32B" w14:textId="77777777" w:rsidR="00EF3DFB" w:rsidRDefault="00EF3DFB">
      <w:pPr>
        <w:pStyle w:val="BodyText"/>
        <w:rPr>
          <w:sz w:val="21"/>
        </w:rPr>
      </w:pPr>
    </w:p>
    <w:p w14:paraId="7326D32C" w14:textId="77777777" w:rsidR="00EF3DFB" w:rsidRDefault="00D27C17">
      <w:pPr>
        <w:pStyle w:val="BodyText"/>
        <w:ind w:left="550"/>
      </w:pPr>
      <w:r>
        <w:t>Reports of Independent Registered Public Accounting Firms</w:t>
      </w:r>
    </w:p>
    <w:p w14:paraId="7326D32D" w14:textId="77777777" w:rsidR="00EF3DFB" w:rsidRDefault="00EF3DFB">
      <w:pPr>
        <w:pStyle w:val="BodyText"/>
        <w:spacing w:before="8"/>
        <w:rPr>
          <w:sz w:val="21"/>
        </w:rPr>
      </w:pPr>
    </w:p>
    <w:p w14:paraId="7326D32E" w14:textId="77777777" w:rsidR="00EF3DFB" w:rsidRDefault="00D27C17">
      <w:pPr>
        <w:pStyle w:val="BodyText"/>
        <w:ind w:left="550"/>
      </w:pPr>
      <w:r>
        <w:t>Consolidated Statements of Opera</w:t>
      </w:r>
      <w:r>
        <w:t>tions — Years Ended December 31, 2020, 2019 and 2018</w:t>
      </w:r>
    </w:p>
    <w:p w14:paraId="7326D32F" w14:textId="77777777" w:rsidR="00EF3DFB" w:rsidRDefault="00EF3DFB">
      <w:pPr>
        <w:pStyle w:val="BodyText"/>
        <w:spacing w:before="9"/>
        <w:rPr>
          <w:sz w:val="21"/>
        </w:rPr>
      </w:pPr>
    </w:p>
    <w:p w14:paraId="7326D330" w14:textId="77777777" w:rsidR="00EF3DFB" w:rsidRDefault="00D27C17">
      <w:pPr>
        <w:pStyle w:val="BodyText"/>
        <w:spacing w:line="501" w:lineRule="auto"/>
        <w:ind w:left="550" w:right="858"/>
      </w:pPr>
      <w:r>
        <w:t>Consolidated Statements of Comprehensive Income (Loss) — Years Ended December 31, 2020, 2019 and 2018 Consolidated Balance Sheets — December 31, 2020 and 2019</w:t>
      </w:r>
    </w:p>
    <w:p w14:paraId="7326D331" w14:textId="77777777" w:rsidR="00EF3DFB" w:rsidRDefault="00D27C17">
      <w:pPr>
        <w:pStyle w:val="BodyText"/>
        <w:spacing w:line="501" w:lineRule="auto"/>
        <w:ind w:left="550" w:right="2193"/>
      </w:pPr>
      <w:r>
        <w:t>Consolidated Statements of Cash Flows — Yea</w:t>
      </w:r>
      <w:r>
        <w:t>rs Ended December 31, 2020, 2019 and 2018 Consolidated Statements of Stockholders’ Equity — Years Ended December 31, 2020, 2019 and 2018 Notes to Consolidated Financial Statements — December 31, 2020, 2019 and 2018</w:t>
      </w:r>
    </w:p>
    <w:p w14:paraId="7326D332" w14:textId="77777777" w:rsidR="00EF3DFB" w:rsidRDefault="00D27C17">
      <w:pPr>
        <w:pStyle w:val="ListParagraph"/>
        <w:numPr>
          <w:ilvl w:val="0"/>
          <w:numId w:val="15"/>
        </w:numPr>
        <w:tabs>
          <w:tab w:val="left" w:pos="481"/>
        </w:tabs>
        <w:spacing w:line="249" w:lineRule="auto"/>
        <w:ind w:right="168" w:firstLine="0"/>
        <w:rPr>
          <w:sz w:val="20"/>
        </w:rPr>
      </w:pPr>
      <w:r>
        <w:rPr>
          <w:sz w:val="20"/>
        </w:rPr>
        <w:t>The following consolidated financial stat</w:t>
      </w:r>
      <w:r>
        <w:rPr>
          <w:sz w:val="20"/>
        </w:rPr>
        <w:t>ement schedule of the Company included in this report on Form 10-K is filed herewith pursuant to Item 15(c) and appears after the signature pages at the end of this Form</w:t>
      </w:r>
      <w:r>
        <w:rPr>
          <w:spacing w:val="-15"/>
          <w:sz w:val="20"/>
        </w:rPr>
        <w:t xml:space="preserve"> </w:t>
      </w:r>
      <w:r>
        <w:rPr>
          <w:sz w:val="20"/>
        </w:rPr>
        <w:t>10-K:</w:t>
      </w:r>
    </w:p>
    <w:p w14:paraId="7326D333" w14:textId="77777777" w:rsidR="00EF3DFB" w:rsidRDefault="00EF3DFB">
      <w:pPr>
        <w:pStyle w:val="BodyText"/>
        <w:spacing w:before="8"/>
      </w:pPr>
    </w:p>
    <w:p w14:paraId="7326D334" w14:textId="77777777" w:rsidR="00EF3DFB" w:rsidRDefault="00D27C17">
      <w:pPr>
        <w:pStyle w:val="BodyText"/>
        <w:ind w:left="550"/>
      </w:pPr>
      <w:r>
        <w:t xml:space="preserve">SCHEDULE II — VALUATION AND QUALIFYING ACCOUNTS—Years Ended December 31, 2020, </w:t>
      </w:r>
      <w:r>
        <w:t>2019 and 2018</w:t>
      </w:r>
    </w:p>
    <w:p w14:paraId="7326D335" w14:textId="77777777" w:rsidR="00EF3DFB" w:rsidRDefault="00EF3DFB">
      <w:pPr>
        <w:pStyle w:val="BodyText"/>
        <w:spacing w:before="9"/>
        <w:rPr>
          <w:sz w:val="21"/>
        </w:rPr>
      </w:pPr>
    </w:p>
    <w:p w14:paraId="7326D336" w14:textId="77777777" w:rsidR="00EF3DFB" w:rsidRDefault="00D27C17">
      <w:pPr>
        <w:pStyle w:val="BodyText"/>
        <w:ind w:left="190"/>
      </w:pPr>
      <w:r>
        <w:t>All other financial schedules are not required under the related instructions or are inapplicable and, therefore, have been omitted.</w:t>
      </w:r>
    </w:p>
    <w:p w14:paraId="7326D337" w14:textId="77777777" w:rsidR="00EF3DFB" w:rsidRDefault="00EF3DFB">
      <w:pPr>
        <w:pStyle w:val="BodyText"/>
        <w:spacing w:before="8"/>
        <w:rPr>
          <w:sz w:val="21"/>
        </w:rPr>
      </w:pPr>
    </w:p>
    <w:p w14:paraId="7326D338" w14:textId="77777777" w:rsidR="00EF3DFB" w:rsidRDefault="00D27C17">
      <w:pPr>
        <w:pStyle w:val="ListParagraph"/>
        <w:numPr>
          <w:ilvl w:val="0"/>
          <w:numId w:val="15"/>
        </w:numPr>
        <w:tabs>
          <w:tab w:val="left" w:pos="482"/>
        </w:tabs>
        <w:spacing w:line="249" w:lineRule="auto"/>
        <w:ind w:right="169" w:firstLine="0"/>
        <w:rPr>
          <w:sz w:val="20"/>
        </w:rPr>
      </w:pPr>
      <w:r>
        <w:rPr>
          <w:sz w:val="20"/>
        </w:rPr>
        <w:t>The exhibits filed herewith are listed on the Exhibit Index filed as part of this report on Form 10-K. Each</w:t>
      </w:r>
      <w:r>
        <w:rPr>
          <w:sz w:val="20"/>
        </w:rPr>
        <w:t xml:space="preserve"> management contract or compensatory plan or arrangement of the Company listed on the Exhibit Index is separately identified by an</w:t>
      </w:r>
      <w:r>
        <w:rPr>
          <w:spacing w:val="-27"/>
          <w:sz w:val="20"/>
        </w:rPr>
        <w:t xml:space="preserve"> </w:t>
      </w:r>
      <w:r>
        <w:rPr>
          <w:sz w:val="20"/>
        </w:rPr>
        <w:t>asterisk.</w:t>
      </w:r>
    </w:p>
    <w:p w14:paraId="7326D339" w14:textId="77777777" w:rsidR="00EF3DFB" w:rsidRDefault="00EF3DFB">
      <w:pPr>
        <w:pStyle w:val="BodyText"/>
        <w:rPr>
          <w:sz w:val="21"/>
        </w:rPr>
      </w:pPr>
    </w:p>
    <w:p w14:paraId="7326D33A" w14:textId="77777777" w:rsidR="00EF3DFB" w:rsidRDefault="00D27C17">
      <w:pPr>
        <w:pStyle w:val="BodyText"/>
        <w:ind w:left="190"/>
      </w:pPr>
      <w:r>
        <w:t>(b) EXHIBIT INDEX</w:t>
      </w:r>
    </w:p>
    <w:p w14:paraId="7326D33B" w14:textId="77777777" w:rsidR="00EF3DFB" w:rsidRDefault="00EF3DFB">
      <w:pPr>
        <w:pStyle w:val="BodyText"/>
        <w:rPr>
          <w:sz w:val="22"/>
        </w:rPr>
      </w:pPr>
    </w:p>
    <w:p w14:paraId="7326D33C" w14:textId="77777777" w:rsidR="00EF3DFB" w:rsidRDefault="00D27C17">
      <w:pPr>
        <w:pStyle w:val="Heading2"/>
        <w:spacing w:before="171" w:line="215" w:lineRule="exact"/>
        <w:ind w:left="242"/>
        <w:jc w:val="left"/>
      </w:pPr>
      <w:r>
        <w:t>Exhibit</w:t>
      </w:r>
    </w:p>
    <w:p w14:paraId="7326D33D" w14:textId="77777777" w:rsidR="00EF3DFB" w:rsidRDefault="00D27C17">
      <w:pPr>
        <w:tabs>
          <w:tab w:val="left" w:pos="5538"/>
        </w:tabs>
        <w:spacing w:line="215" w:lineRule="exact"/>
        <w:ind w:left="242"/>
        <w:rPr>
          <w:b/>
          <w:sz w:val="20"/>
        </w:rPr>
      </w:pPr>
      <w:r>
        <w:rPr>
          <w:b/>
          <w:sz w:val="20"/>
          <w:u w:val="single"/>
        </w:rPr>
        <w:t>Number</w:t>
      </w:r>
      <w:r>
        <w:rPr>
          <w:b/>
          <w:sz w:val="20"/>
        </w:rPr>
        <w:tab/>
      </w:r>
      <w:r>
        <w:rPr>
          <w:b/>
          <w:sz w:val="20"/>
          <w:u w:val="single"/>
        </w:rPr>
        <w:t>Description of</w:t>
      </w:r>
      <w:r>
        <w:rPr>
          <w:b/>
          <w:spacing w:val="-2"/>
          <w:sz w:val="20"/>
          <w:u w:val="single"/>
        </w:rPr>
        <w:t xml:space="preserve"> </w:t>
      </w:r>
      <w:r>
        <w:rPr>
          <w:b/>
          <w:sz w:val="20"/>
          <w:u w:val="single"/>
        </w:rPr>
        <w:t>Exhibit</w:t>
      </w:r>
    </w:p>
    <w:p w14:paraId="7326D33E" w14:textId="77777777" w:rsidR="00EF3DFB" w:rsidRDefault="00EF3DFB">
      <w:pPr>
        <w:pStyle w:val="BodyText"/>
        <w:spacing w:before="9"/>
        <w:rPr>
          <w:b/>
          <w:sz w:val="13"/>
        </w:rPr>
      </w:pPr>
    </w:p>
    <w:p w14:paraId="7326D33F" w14:textId="77777777" w:rsidR="00EF3DFB" w:rsidRDefault="00D27C17">
      <w:pPr>
        <w:pStyle w:val="BodyText"/>
        <w:spacing w:before="91"/>
        <w:ind w:left="242"/>
      </w:pPr>
      <w:r>
        <w:t>ITEM 2 — PLAN OF ACQUISITION, REORGANIZATION, ARRANGEMENT, LIQUIDATION OR SUCCESSION</w:t>
      </w:r>
    </w:p>
    <w:p w14:paraId="7326D340" w14:textId="77777777" w:rsidR="00EF3DFB" w:rsidRDefault="00D27C17">
      <w:pPr>
        <w:pStyle w:val="BodyText"/>
        <w:tabs>
          <w:tab w:val="left" w:pos="2207"/>
        </w:tabs>
        <w:spacing w:before="140" w:line="290" w:lineRule="auto"/>
        <w:ind w:left="2207" w:right="310" w:hanging="1965"/>
      </w:pPr>
      <w:r>
        <w:t>2.1</w:t>
      </w:r>
      <w:r>
        <w:tab/>
      </w:r>
      <w:hyperlink r:id="rId25">
        <w:r>
          <w:rPr>
            <w:color w:val="0000FF"/>
            <w:u w:val="single" w:color="0000FF"/>
          </w:rPr>
          <w:t>Agreement and Plan of Merger, dated as of December 13, 2015, by and</w:t>
        </w:r>
        <w:r>
          <w:rPr>
            <w:color w:val="0000FF"/>
            <w:u w:val="single" w:color="0000FF"/>
          </w:rPr>
          <w:t xml:space="preserve"> among Newell Rubbermaid Inc.,</w:t>
        </w:r>
      </w:hyperlink>
      <w:hyperlink r:id="rId26">
        <w:r>
          <w:rPr>
            <w:color w:val="0000FF"/>
            <w:u w:val="single" w:color="0000FF"/>
          </w:rPr>
          <w:t xml:space="preserve"> Jarden</w:t>
        </w:r>
        <w:r>
          <w:rPr>
            <w:color w:val="0000FF"/>
            <w:spacing w:val="-3"/>
            <w:u w:val="single" w:color="0000FF"/>
          </w:rPr>
          <w:t xml:space="preserve"> </w:t>
        </w:r>
        <w:r>
          <w:rPr>
            <w:color w:val="0000FF"/>
            <w:u w:val="single" w:color="0000FF"/>
          </w:rPr>
          <w:t>Corporation,</w:t>
        </w:r>
        <w:r>
          <w:rPr>
            <w:color w:val="0000FF"/>
            <w:spacing w:val="-3"/>
            <w:u w:val="single" w:color="0000FF"/>
          </w:rPr>
          <w:t xml:space="preserve"> </w:t>
        </w:r>
        <w:r>
          <w:rPr>
            <w:color w:val="0000FF"/>
            <w:u w:val="single" w:color="0000FF"/>
          </w:rPr>
          <w:t>NCPF</w:t>
        </w:r>
        <w:r>
          <w:rPr>
            <w:color w:val="0000FF"/>
            <w:spacing w:val="-4"/>
            <w:u w:val="single" w:color="0000FF"/>
          </w:rPr>
          <w:t xml:space="preserve"> </w:t>
        </w:r>
        <w:r>
          <w:rPr>
            <w:color w:val="0000FF"/>
            <w:u w:val="single" w:color="0000FF"/>
          </w:rPr>
          <w:t>Acquisition</w:t>
        </w:r>
        <w:r>
          <w:rPr>
            <w:color w:val="0000FF"/>
            <w:spacing w:val="-3"/>
            <w:u w:val="single" w:color="0000FF"/>
          </w:rPr>
          <w:t xml:space="preserve"> </w:t>
        </w:r>
        <w:r>
          <w:rPr>
            <w:color w:val="0000FF"/>
            <w:u w:val="single" w:color="0000FF"/>
          </w:rPr>
          <w:t>Corp.</w:t>
        </w:r>
        <w:r>
          <w:rPr>
            <w:color w:val="0000FF"/>
            <w:spacing w:val="-3"/>
            <w:u w:val="single" w:color="0000FF"/>
          </w:rPr>
          <w:t xml:space="preserve"> </w:t>
        </w:r>
        <w:r>
          <w:rPr>
            <w:color w:val="0000FF"/>
            <w:u w:val="single" w:color="0000FF"/>
          </w:rPr>
          <w:t>I</w:t>
        </w:r>
        <w:r>
          <w:rPr>
            <w:color w:val="0000FF"/>
            <w:spacing w:val="-3"/>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NCPF</w:t>
        </w:r>
        <w:r>
          <w:rPr>
            <w:color w:val="0000FF"/>
            <w:spacing w:val="-4"/>
            <w:u w:val="single" w:color="0000FF"/>
          </w:rPr>
          <w:t xml:space="preserve"> </w:t>
        </w:r>
        <w:r>
          <w:rPr>
            <w:color w:val="0000FF"/>
            <w:u w:val="single" w:color="0000FF"/>
          </w:rPr>
          <w:t>Acquisition</w:t>
        </w:r>
        <w:r>
          <w:rPr>
            <w:color w:val="0000FF"/>
            <w:spacing w:val="-3"/>
            <w:u w:val="single" w:color="0000FF"/>
          </w:rPr>
          <w:t xml:space="preserve"> </w:t>
        </w:r>
        <w:r>
          <w:rPr>
            <w:color w:val="0000FF"/>
            <w:u w:val="single" w:color="0000FF"/>
          </w:rPr>
          <w:t>Corp.</w:t>
        </w:r>
        <w:r>
          <w:rPr>
            <w:color w:val="0000FF"/>
            <w:spacing w:val="-3"/>
            <w:u w:val="single" w:color="0000FF"/>
          </w:rPr>
          <w:t xml:space="preserve"> </w:t>
        </w:r>
        <w:r>
          <w:rPr>
            <w:color w:val="0000FF"/>
            <w:u w:val="single" w:color="0000FF"/>
          </w:rPr>
          <w:t>II</w:t>
        </w:r>
        <w:r>
          <w:rPr>
            <w:color w:val="0000FF"/>
            <w:spacing w:val="-3"/>
            <w:u w:val="single" w:color="0000FF"/>
          </w:rPr>
          <w:t xml:space="preserve"> </w:t>
        </w:r>
        <w:r>
          <w:rPr>
            <w:color w:val="0000FF"/>
            <w:u w:val="single" w:color="0000FF"/>
          </w:rPr>
          <w:t>(incorporated</w:t>
        </w:r>
        <w:r>
          <w:rPr>
            <w:color w:val="0000FF"/>
            <w:spacing w:val="-3"/>
            <w:u w:val="single" w:color="0000FF"/>
          </w:rPr>
          <w:t xml:space="preserve"> </w:t>
        </w:r>
        <w:r>
          <w:rPr>
            <w:color w:val="0000FF"/>
            <w:u w:val="single" w:color="0000FF"/>
          </w:rPr>
          <w:t>by</w:t>
        </w:r>
        <w:r>
          <w:rPr>
            <w:color w:val="0000FF"/>
            <w:spacing w:val="-3"/>
            <w:u w:val="single" w:color="0000FF"/>
          </w:rPr>
          <w:t xml:space="preserve"> </w:t>
        </w:r>
        <w:r>
          <w:rPr>
            <w:color w:val="0000FF"/>
            <w:u w:val="single" w:color="0000FF"/>
          </w:rPr>
          <w:t>reference</w:t>
        </w:r>
      </w:hyperlink>
      <w:hyperlink r:id="rId27">
        <w:r>
          <w:rPr>
            <w:color w:val="0000FF"/>
            <w:u w:val="single" w:color="0000FF"/>
          </w:rPr>
          <w:t xml:space="preserve"> to Exhibit 2.1 to the Company’s Current Report on Form 8-K dated December 13, 2015,</w:t>
        </w:r>
        <w:r>
          <w:rPr>
            <w:color w:val="0000FF"/>
            <w:spacing w:val="-18"/>
            <w:u w:val="single" w:color="0000FF"/>
          </w:rPr>
          <w:t xml:space="preserve"> </w:t>
        </w:r>
        <w:r>
          <w:rPr>
            <w:color w:val="0000FF"/>
            <w:u w:val="single" w:color="0000FF"/>
          </w:rPr>
          <w:t>File</w:t>
        </w:r>
      </w:hyperlink>
    </w:p>
    <w:p w14:paraId="7326D341" w14:textId="77777777" w:rsidR="00EF3DFB" w:rsidRDefault="00D27C17">
      <w:pPr>
        <w:pStyle w:val="BodyText"/>
        <w:spacing w:line="229" w:lineRule="exact"/>
        <w:ind w:left="2207"/>
      </w:pPr>
      <w:hyperlink r:id="rId28">
        <w:r>
          <w:rPr>
            <w:color w:val="0000FF"/>
            <w:u w:val="single" w:color="0000FF"/>
          </w:rPr>
          <w:t>No. 001-09608).</w:t>
        </w:r>
      </w:hyperlink>
    </w:p>
    <w:p w14:paraId="7326D342" w14:textId="77777777" w:rsidR="00EF3DFB" w:rsidRDefault="00EF3DFB">
      <w:pPr>
        <w:pStyle w:val="BodyText"/>
      </w:pPr>
    </w:p>
    <w:p w14:paraId="7326D343" w14:textId="77777777" w:rsidR="00EF3DFB" w:rsidRDefault="00EF3DFB">
      <w:pPr>
        <w:pStyle w:val="BodyText"/>
        <w:spacing w:before="4"/>
        <w:rPr>
          <w:sz w:val="18"/>
        </w:rPr>
      </w:pPr>
    </w:p>
    <w:p w14:paraId="7326D344" w14:textId="77777777" w:rsidR="00EF3DFB" w:rsidRDefault="00D27C17">
      <w:pPr>
        <w:pStyle w:val="BodyText"/>
        <w:spacing w:before="1"/>
        <w:ind w:left="242"/>
      </w:pPr>
      <w:r>
        <w:t>ITEM 3—ARTICLES OF INCORPORATION AND BY-LAWS</w:t>
      </w:r>
    </w:p>
    <w:p w14:paraId="7326D345" w14:textId="77777777" w:rsidR="00EF3DFB" w:rsidRDefault="00D27C17">
      <w:pPr>
        <w:pStyle w:val="ListParagraph"/>
        <w:numPr>
          <w:ilvl w:val="1"/>
          <w:numId w:val="14"/>
        </w:numPr>
        <w:tabs>
          <w:tab w:val="left" w:pos="2207"/>
          <w:tab w:val="left" w:pos="2208"/>
        </w:tabs>
        <w:spacing w:before="139" w:line="290" w:lineRule="auto"/>
        <w:ind w:right="949"/>
        <w:jc w:val="both"/>
        <w:rPr>
          <w:sz w:val="20"/>
        </w:rPr>
      </w:pPr>
      <w:hyperlink r:id="rId29">
        <w:r>
          <w:rPr>
            <w:color w:val="0000FF"/>
            <w:sz w:val="20"/>
            <w:u w:val="single" w:color="0000FF"/>
          </w:rPr>
          <w:t>Restated Certificate of Incorporation of Newell Brands Inc. as of April 15, 2016 (</w:t>
        </w:r>
        <w:r>
          <w:rPr>
            <w:color w:val="0000FF"/>
            <w:sz w:val="20"/>
            <w:u w:val="single" w:color="0000FF"/>
          </w:rPr>
          <w:t>incorporated by</w:t>
        </w:r>
      </w:hyperlink>
      <w:hyperlink r:id="rId30">
        <w:r>
          <w:rPr>
            <w:color w:val="0000FF"/>
            <w:sz w:val="20"/>
            <w:u w:val="single" w:color="0000FF"/>
          </w:rPr>
          <w:t xml:space="preserve"> reference to Exhibit 3.1 to the Company’s Current Report on Form 8-K dated April 15, 2016,</w:t>
        </w:r>
        <w:r>
          <w:rPr>
            <w:color w:val="0000FF"/>
            <w:spacing w:val="-34"/>
            <w:sz w:val="20"/>
            <w:u w:val="single" w:color="0000FF"/>
          </w:rPr>
          <w:t xml:space="preserve"> </w:t>
        </w:r>
        <w:r>
          <w:rPr>
            <w:color w:val="0000FF"/>
            <w:sz w:val="20"/>
            <w:u w:val="single" w:color="0000FF"/>
          </w:rPr>
          <w:t>File</w:t>
        </w:r>
      </w:hyperlink>
      <w:hyperlink r:id="rId31">
        <w:r>
          <w:rPr>
            <w:color w:val="0000FF"/>
            <w:sz w:val="20"/>
            <w:u w:val="single" w:color="0000FF"/>
          </w:rPr>
          <w:t xml:space="preserve"> No.</w:t>
        </w:r>
        <w:r>
          <w:rPr>
            <w:color w:val="0000FF"/>
            <w:spacing w:val="-1"/>
            <w:sz w:val="20"/>
            <w:u w:val="single" w:color="0000FF"/>
          </w:rPr>
          <w:t xml:space="preserve"> </w:t>
        </w:r>
        <w:r>
          <w:rPr>
            <w:color w:val="0000FF"/>
            <w:sz w:val="20"/>
            <w:u w:val="single" w:color="0000FF"/>
          </w:rPr>
          <w:t>001-09608).</w:t>
        </w:r>
      </w:hyperlink>
    </w:p>
    <w:p w14:paraId="7326D346" w14:textId="77777777" w:rsidR="00EF3DFB" w:rsidRDefault="00D27C17">
      <w:pPr>
        <w:pStyle w:val="ListParagraph"/>
        <w:numPr>
          <w:ilvl w:val="1"/>
          <w:numId w:val="14"/>
        </w:numPr>
        <w:tabs>
          <w:tab w:val="left" w:pos="2207"/>
          <w:tab w:val="left" w:pos="2208"/>
        </w:tabs>
        <w:spacing w:before="80" w:line="249" w:lineRule="auto"/>
        <w:ind w:right="333"/>
        <w:jc w:val="both"/>
        <w:rPr>
          <w:sz w:val="20"/>
        </w:rPr>
      </w:pPr>
      <w:hyperlink r:id="rId32">
        <w:r>
          <w:rPr>
            <w:color w:val="0000FF"/>
            <w:sz w:val="20"/>
            <w:u w:val="single" w:color="0000FF"/>
          </w:rPr>
          <w:t>Certificate</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Amendment</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Restated</w:t>
        </w:r>
        <w:r>
          <w:rPr>
            <w:color w:val="0000FF"/>
            <w:spacing w:val="-4"/>
            <w:sz w:val="20"/>
            <w:u w:val="single" w:color="0000FF"/>
          </w:rPr>
          <w:t xml:space="preserve"> </w:t>
        </w:r>
        <w:r>
          <w:rPr>
            <w:color w:val="0000FF"/>
            <w:sz w:val="20"/>
            <w:u w:val="single" w:color="0000FF"/>
          </w:rPr>
          <w:t>Certificate</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Incorporation</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r>
          <w:rPr>
            <w:color w:val="0000FF"/>
            <w:spacing w:val="-5"/>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amended</w:t>
        </w:r>
      </w:hyperlink>
      <w:hyperlink r:id="rId33">
        <w:r>
          <w:rPr>
            <w:color w:val="0000FF"/>
            <w:sz w:val="20"/>
            <w:u w:val="single" w:color="0000FF"/>
          </w:rPr>
          <w:t xml:space="preserve"> as of May 7, 2019 (incorporated by reference to Exhibit 3.1 to the Company’s Current Report on Form</w:t>
        </w:r>
        <w:r>
          <w:rPr>
            <w:color w:val="0000FF"/>
            <w:spacing w:val="-33"/>
            <w:sz w:val="20"/>
            <w:u w:val="single" w:color="0000FF"/>
          </w:rPr>
          <w:t xml:space="preserve"> </w:t>
        </w:r>
        <w:r>
          <w:rPr>
            <w:color w:val="0000FF"/>
            <w:sz w:val="20"/>
            <w:u w:val="single" w:color="0000FF"/>
          </w:rPr>
          <w:t>8-</w:t>
        </w:r>
      </w:hyperlink>
      <w:hyperlink r:id="rId34">
        <w:r>
          <w:rPr>
            <w:color w:val="0000FF"/>
            <w:sz w:val="20"/>
            <w:u w:val="single" w:color="0000FF"/>
          </w:rPr>
          <w:t xml:space="preserve"> K dated May 10, 2019, File No.</w:t>
        </w:r>
        <w:r>
          <w:rPr>
            <w:color w:val="0000FF"/>
            <w:spacing w:val="-3"/>
            <w:sz w:val="20"/>
            <w:u w:val="single" w:color="0000FF"/>
          </w:rPr>
          <w:t xml:space="preserve"> </w:t>
        </w:r>
        <w:r>
          <w:rPr>
            <w:color w:val="0000FF"/>
            <w:sz w:val="20"/>
            <w:u w:val="single" w:color="0000FF"/>
          </w:rPr>
          <w:t>001-09608).</w:t>
        </w:r>
      </w:hyperlink>
    </w:p>
    <w:p w14:paraId="7326D347" w14:textId="77777777" w:rsidR="00EF3DFB" w:rsidRDefault="00D27C17">
      <w:pPr>
        <w:pStyle w:val="ListParagraph"/>
        <w:numPr>
          <w:ilvl w:val="1"/>
          <w:numId w:val="14"/>
        </w:numPr>
        <w:tabs>
          <w:tab w:val="left" w:pos="2207"/>
          <w:tab w:val="left" w:pos="2208"/>
        </w:tabs>
        <w:spacing w:before="167" w:line="290" w:lineRule="auto"/>
        <w:ind w:right="306"/>
        <w:jc w:val="both"/>
        <w:rPr>
          <w:sz w:val="20"/>
        </w:rPr>
      </w:pPr>
      <w:hyperlink r:id="rId35">
        <w:r>
          <w:rPr>
            <w:color w:val="0000FF"/>
            <w:sz w:val="20"/>
            <w:u w:val="single" w:color="0000FF"/>
          </w:rPr>
          <w:t>By-Laws</w:t>
        </w:r>
        <w:r>
          <w:rPr>
            <w:color w:val="0000FF"/>
            <w:spacing w:val="-3"/>
            <w:sz w:val="20"/>
            <w:u w:val="single" w:color="0000FF"/>
          </w:rPr>
          <w:t xml:space="preserve"> </w:t>
        </w:r>
        <w:r>
          <w:rPr>
            <w:color w:val="0000FF"/>
            <w:sz w:val="20"/>
            <w:u w:val="single" w:color="0000FF"/>
          </w:rPr>
          <w:t>of</w:t>
        </w:r>
        <w:r>
          <w:rPr>
            <w:color w:val="0000FF"/>
            <w:spacing w:val="-2"/>
            <w:sz w:val="20"/>
            <w:u w:val="single" w:color="0000FF"/>
          </w:rPr>
          <w:t xml:space="preserve"> </w:t>
        </w:r>
        <w:r>
          <w:rPr>
            <w:color w:val="0000FF"/>
            <w:sz w:val="20"/>
            <w:u w:val="single" w:color="0000FF"/>
          </w:rPr>
          <w:t>Newell</w:t>
        </w:r>
        <w:r>
          <w:rPr>
            <w:color w:val="0000FF"/>
            <w:spacing w:val="-3"/>
            <w:sz w:val="20"/>
            <w:u w:val="single" w:color="0000FF"/>
          </w:rPr>
          <w:t xml:space="preserve"> </w:t>
        </w:r>
        <w:r>
          <w:rPr>
            <w:color w:val="0000FF"/>
            <w:sz w:val="20"/>
            <w:u w:val="single" w:color="0000FF"/>
          </w:rPr>
          <w:t>Brands</w:t>
        </w:r>
        <w:r>
          <w:rPr>
            <w:color w:val="0000FF"/>
            <w:spacing w:val="-3"/>
            <w:sz w:val="20"/>
            <w:u w:val="single" w:color="0000FF"/>
          </w:rPr>
          <w:t xml:space="preserve"> </w:t>
        </w:r>
        <w:r>
          <w:rPr>
            <w:color w:val="0000FF"/>
            <w:sz w:val="20"/>
            <w:u w:val="single" w:color="0000FF"/>
          </w:rPr>
          <w:t>Inc.,</w:t>
        </w:r>
        <w:r>
          <w:rPr>
            <w:color w:val="0000FF"/>
            <w:spacing w:val="-2"/>
            <w:sz w:val="20"/>
            <w:u w:val="single" w:color="0000FF"/>
          </w:rPr>
          <w:t xml:space="preserve"> </w:t>
        </w:r>
        <w:r>
          <w:rPr>
            <w:color w:val="0000FF"/>
            <w:sz w:val="20"/>
            <w:u w:val="single" w:color="0000FF"/>
          </w:rPr>
          <w:t>as</w:t>
        </w:r>
        <w:r>
          <w:rPr>
            <w:color w:val="0000FF"/>
            <w:spacing w:val="-3"/>
            <w:sz w:val="20"/>
            <w:u w:val="single" w:color="0000FF"/>
          </w:rPr>
          <w:t xml:space="preserve"> </w:t>
        </w:r>
        <w:r>
          <w:rPr>
            <w:color w:val="0000FF"/>
            <w:sz w:val="20"/>
            <w:u w:val="single" w:color="0000FF"/>
          </w:rPr>
          <w:t>amended</w:t>
        </w:r>
        <w:r>
          <w:rPr>
            <w:color w:val="0000FF"/>
            <w:spacing w:val="-2"/>
            <w:sz w:val="20"/>
            <w:u w:val="single" w:color="0000FF"/>
          </w:rPr>
          <w:t xml:space="preserve"> </w:t>
        </w:r>
        <w:r>
          <w:rPr>
            <w:color w:val="0000FF"/>
            <w:sz w:val="20"/>
            <w:u w:val="single" w:color="0000FF"/>
          </w:rPr>
          <w:t>May</w:t>
        </w:r>
        <w:r>
          <w:rPr>
            <w:color w:val="0000FF"/>
            <w:spacing w:val="-2"/>
            <w:sz w:val="20"/>
            <w:u w:val="single" w:color="0000FF"/>
          </w:rPr>
          <w:t xml:space="preserve"> </w:t>
        </w:r>
        <w:r>
          <w:rPr>
            <w:color w:val="0000FF"/>
            <w:sz w:val="20"/>
            <w:u w:val="single" w:color="0000FF"/>
          </w:rPr>
          <w:t>7,</w:t>
        </w:r>
        <w:r>
          <w:rPr>
            <w:color w:val="0000FF"/>
            <w:spacing w:val="-2"/>
            <w:sz w:val="20"/>
            <w:u w:val="single" w:color="0000FF"/>
          </w:rPr>
          <w:t xml:space="preserve"> </w:t>
        </w:r>
        <w:r>
          <w:rPr>
            <w:color w:val="0000FF"/>
            <w:sz w:val="20"/>
            <w:u w:val="single" w:color="0000FF"/>
          </w:rPr>
          <w:t>2019</w:t>
        </w:r>
        <w:r>
          <w:rPr>
            <w:color w:val="0000FF"/>
            <w:spacing w:val="-2"/>
            <w:sz w:val="20"/>
            <w:u w:val="single" w:color="0000FF"/>
          </w:rPr>
          <w:t xml:space="preserve"> </w:t>
        </w:r>
        <w:r>
          <w:rPr>
            <w:color w:val="0000FF"/>
            <w:sz w:val="20"/>
            <w:u w:val="single" w:color="0000FF"/>
          </w:rPr>
          <w:t>(incorporated</w:t>
        </w:r>
        <w:r>
          <w:rPr>
            <w:color w:val="0000FF"/>
            <w:spacing w:val="-2"/>
            <w:sz w:val="20"/>
            <w:u w:val="single" w:color="0000FF"/>
          </w:rPr>
          <w:t xml:space="preserve"> </w:t>
        </w:r>
        <w:r>
          <w:rPr>
            <w:color w:val="0000FF"/>
            <w:sz w:val="20"/>
            <w:u w:val="single" w:color="0000FF"/>
          </w:rPr>
          <w:t>by</w:t>
        </w:r>
        <w:r>
          <w:rPr>
            <w:color w:val="0000FF"/>
            <w:spacing w:val="-2"/>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3.2</w:t>
        </w:r>
        <w:r>
          <w:rPr>
            <w:color w:val="0000FF"/>
            <w:spacing w:val="-2"/>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the</w:t>
        </w:r>
      </w:hyperlink>
      <w:hyperlink r:id="rId36">
        <w:r>
          <w:rPr>
            <w:color w:val="0000FF"/>
            <w:sz w:val="20"/>
            <w:u w:val="single" w:color="0000FF"/>
          </w:rPr>
          <w:t xml:space="preserve"> Company’s Current Report on Form 8-K dated May 10, 2019, File No.</w:t>
        </w:r>
        <w:r>
          <w:rPr>
            <w:color w:val="0000FF"/>
            <w:spacing w:val="-11"/>
            <w:sz w:val="20"/>
            <w:u w:val="single" w:color="0000FF"/>
          </w:rPr>
          <w:t xml:space="preserve"> </w:t>
        </w:r>
        <w:r>
          <w:rPr>
            <w:color w:val="0000FF"/>
            <w:sz w:val="20"/>
            <w:u w:val="single" w:color="0000FF"/>
          </w:rPr>
          <w:t>001-09608).</w:t>
        </w:r>
      </w:hyperlink>
    </w:p>
    <w:p w14:paraId="7326D348" w14:textId="77777777" w:rsidR="00EF3DFB" w:rsidRDefault="00EF3DFB">
      <w:pPr>
        <w:pStyle w:val="BodyText"/>
        <w:spacing w:before="5"/>
        <w:rPr>
          <w:sz w:val="22"/>
        </w:rPr>
      </w:pPr>
    </w:p>
    <w:p w14:paraId="7326D349" w14:textId="77777777" w:rsidR="00EF3DFB" w:rsidRDefault="00D27C17">
      <w:pPr>
        <w:pStyle w:val="BodyText"/>
        <w:spacing w:before="92"/>
        <w:ind w:left="242"/>
      </w:pPr>
      <w:r>
        <w:t>ITEM 4 — INSTRUMENTS DEFINING THE RIGHTS OF SECURITY HOLDERS, INCLUDING INDEN</w:t>
      </w:r>
      <w:r>
        <w:t>TURES</w:t>
      </w:r>
    </w:p>
    <w:p w14:paraId="7326D34A" w14:textId="77777777" w:rsidR="00EF3DFB" w:rsidRDefault="00D27C17">
      <w:pPr>
        <w:pStyle w:val="ListParagraph"/>
        <w:numPr>
          <w:ilvl w:val="1"/>
          <w:numId w:val="13"/>
        </w:numPr>
        <w:tabs>
          <w:tab w:val="left" w:pos="494"/>
          <w:tab w:val="left" w:pos="2207"/>
        </w:tabs>
        <w:spacing w:before="139" w:line="290" w:lineRule="auto"/>
        <w:ind w:right="222" w:hanging="1965"/>
        <w:rPr>
          <w:sz w:val="20"/>
        </w:rPr>
      </w:pPr>
      <w:r>
        <w:rPr>
          <w:sz w:val="20"/>
        </w:rPr>
        <w:t>†</w:t>
      </w:r>
      <w:r>
        <w:rPr>
          <w:sz w:val="20"/>
        </w:rPr>
        <w:tab/>
      </w:r>
      <w:r>
        <w:rPr>
          <w:color w:val="0000FF"/>
          <w:sz w:val="20"/>
          <w:u w:val="single" w:color="0000FF"/>
        </w:rPr>
        <w:t>Description</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Registrant's</w:t>
      </w:r>
      <w:r>
        <w:rPr>
          <w:color w:val="0000FF"/>
          <w:spacing w:val="-5"/>
          <w:sz w:val="20"/>
          <w:u w:val="single" w:color="0000FF"/>
        </w:rPr>
        <w:t xml:space="preserve"> </w:t>
      </w:r>
      <w:r>
        <w:rPr>
          <w:color w:val="0000FF"/>
          <w:sz w:val="20"/>
          <w:u w:val="single" w:color="0000FF"/>
        </w:rPr>
        <w:t>Securities</w:t>
      </w:r>
      <w:r>
        <w:rPr>
          <w:color w:val="0000FF"/>
          <w:spacing w:val="-5"/>
          <w:sz w:val="20"/>
          <w:u w:val="single" w:color="0000FF"/>
        </w:rPr>
        <w:t xml:space="preserve"> </w:t>
      </w:r>
      <w:r>
        <w:rPr>
          <w:color w:val="0000FF"/>
          <w:sz w:val="20"/>
          <w:u w:val="single" w:color="0000FF"/>
        </w:rPr>
        <w:t>Registered</w:t>
      </w:r>
      <w:r>
        <w:rPr>
          <w:color w:val="0000FF"/>
          <w:spacing w:val="-4"/>
          <w:sz w:val="20"/>
          <w:u w:val="single" w:color="0000FF"/>
        </w:rPr>
        <w:t xml:space="preserve"> </w:t>
      </w:r>
      <w:r>
        <w:rPr>
          <w:color w:val="0000FF"/>
          <w:sz w:val="20"/>
          <w:u w:val="single" w:color="0000FF"/>
        </w:rPr>
        <w:t>Pursuant</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Section</w:t>
      </w:r>
      <w:r>
        <w:rPr>
          <w:color w:val="0000FF"/>
          <w:spacing w:val="-4"/>
          <w:sz w:val="20"/>
          <w:u w:val="single" w:color="0000FF"/>
        </w:rPr>
        <w:t xml:space="preserve"> </w:t>
      </w:r>
      <w:r>
        <w:rPr>
          <w:color w:val="0000FF"/>
          <w:sz w:val="20"/>
          <w:u w:val="single" w:color="0000FF"/>
        </w:rPr>
        <w:t>12</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Securities</w:t>
      </w:r>
      <w:r>
        <w:rPr>
          <w:color w:val="0000FF"/>
          <w:spacing w:val="-5"/>
          <w:sz w:val="20"/>
          <w:u w:val="single" w:color="0000FF"/>
        </w:rPr>
        <w:t xml:space="preserve"> </w:t>
      </w:r>
      <w:r>
        <w:rPr>
          <w:color w:val="0000FF"/>
          <w:sz w:val="20"/>
          <w:u w:val="single" w:color="0000FF"/>
        </w:rPr>
        <w:t>Exchange</w:t>
      </w:r>
      <w:r>
        <w:rPr>
          <w:color w:val="0000FF"/>
          <w:spacing w:val="-5"/>
          <w:sz w:val="20"/>
          <w:u w:val="single" w:color="0000FF"/>
        </w:rPr>
        <w:t xml:space="preserve"> </w:t>
      </w:r>
      <w:r>
        <w:rPr>
          <w:color w:val="0000FF"/>
          <w:sz w:val="20"/>
          <w:u w:val="single" w:color="0000FF"/>
        </w:rPr>
        <w:t>Act of 1934.</w:t>
      </w:r>
    </w:p>
    <w:p w14:paraId="7326D34B" w14:textId="77777777" w:rsidR="00EF3DFB" w:rsidRDefault="00EF3DFB">
      <w:pPr>
        <w:spacing w:line="290" w:lineRule="auto"/>
        <w:rPr>
          <w:sz w:val="20"/>
        </w:rPr>
        <w:sectPr w:rsidR="00EF3DFB">
          <w:pgSz w:w="12240" w:h="15840"/>
          <w:pgMar w:top="600" w:right="640" w:bottom="480" w:left="620" w:header="0" w:footer="291" w:gutter="0"/>
          <w:cols w:space="720"/>
        </w:sectPr>
      </w:pPr>
    </w:p>
    <w:p w14:paraId="7326D34C" w14:textId="77777777" w:rsidR="00EF3DFB" w:rsidRDefault="00D27C17">
      <w:pPr>
        <w:pStyle w:val="ListParagraph"/>
        <w:numPr>
          <w:ilvl w:val="1"/>
          <w:numId w:val="13"/>
        </w:numPr>
        <w:tabs>
          <w:tab w:val="left" w:pos="2207"/>
          <w:tab w:val="left" w:pos="2208"/>
        </w:tabs>
        <w:spacing w:before="69" w:line="290" w:lineRule="auto"/>
        <w:ind w:right="772" w:hanging="1965"/>
        <w:jc w:val="both"/>
        <w:rPr>
          <w:sz w:val="20"/>
        </w:rPr>
      </w:pPr>
      <w:hyperlink r:id="rId37">
        <w:r>
          <w:rPr>
            <w:color w:val="0000FF"/>
            <w:sz w:val="20"/>
            <w:u w:val="single" w:color="0000FF"/>
          </w:rPr>
          <w:t>Indenture, dated as of June 14, 2012, between Newell Rubbermaid Inc. and The Bank of New York</w:t>
        </w:r>
      </w:hyperlink>
      <w:hyperlink r:id="rId38">
        <w:r>
          <w:rPr>
            <w:color w:val="0000FF"/>
            <w:sz w:val="20"/>
            <w:u w:val="single" w:color="0000FF"/>
          </w:rPr>
          <w:t xml:space="preserve"> Mellon</w:t>
        </w:r>
        <w:r>
          <w:rPr>
            <w:color w:val="0000FF"/>
            <w:spacing w:val="-3"/>
            <w:sz w:val="20"/>
            <w:u w:val="single" w:color="0000FF"/>
          </w:rPr>
          <w:t xml:space="preserve"> </w:t>
        </w:r>
        <w:r>
          <w:rPr>
            <w:color w:val="0000FF"/>
            <w:sz w:val="20"/>
            <w:u w:val="single" w:color="0000FF"/>
          </w:rPr>
          <w:t>Trust</w:t>
        </w:r>
        <w:r>
          <w:rPr>
            <w:color w:val="0000FF"/>
            <w:spacing w:val="-4"/>
            <w:sz w:val="20"/>
            <w:u w:val="single" w:color="0000FF"/>
          </w:rPr>
          <w:t xml:space="preserve"> </w:t>
        </w:r>
        <w:r>
          <w:rPr>
            <w:color w:val="0000FF"/>
            <w:sz w:val="20"/>
            <w:u w:val="single" w:color="0000FF"/>
          </w:rPr>
          <w:t>Company,</w:t>
        </w:r>
        <w:r>
          <w:rPr>
            <w:color w:val="0000FF"/>
            <w:spacing w:val="-3"/>
            <w:sz w:val="20"/>
            <w:u w:val="single" w:color="0000FF"/>
          </w:rPr>
          <w:t xml:space="preserve"> </w:t>
        </w:r>
        <w:r>
          <w:rPr>
            <w:color w:val="0000FF"/>
            <w:sz w:val="20"/>
            <w:u w:val="single" w:color="0000FF"/>
          </w:rPr>
          <w:t>N.A.,</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trustee</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4.1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hyperlink>
      <w:hyperlink r:id="rId39">
        <w:r>
          <w:rPr>
            <w:color w:val="0000FF"/>
            <w:sz w:val="20"/>
            <w:u w:val="single" w:color="0000FF"/>
          </w:rPr>
          <w:t xml:space="preserve"> Current Report on F</w:t>
        </w:r>
        <w:r>
          <w:rPr>
            <w:color w:val="0000FF"/>
            <w:sz w:val="20"/>
            <w:u w:val="single" w:color="0000FF"/>
          </w:rPr>
          <w:t>orm 8-K dated June 11, 2012, File No.</w:t>
        </w:r>
        <w:r>
          <w:rPr>
            <w:color w:val="0000FF"/>
            <w:spacing w:val="-9"/>
            <w:sz w:val="20"/>
            <w:u w:val="single" w:color="0000FF"/>
          </w:rPr>
          <w:t xml:space="preserve"> </w:t>
        </w:r>
        <w:r>
          <w:rPr>
            <w:color w:val="0000FF"/>
            <w:sz w:val="20"/>
            <w:u w:val="single" w:color="0000FF"/>
          </w:rPr>
          <w:t>001-09608).</w:t>
        </w:r>
      </w:hyperlink>
    </w:p>
    <w:p w14:paraId="7326D34D" w14:textId="77777777" w:rsidR="00EF3DFB" w:rsidRDefault="00D27C17">
      <w:pPr>
        <w:pStyle w:val="ListParagraph"/>
        <w:numPr>
          <w:ilvl w:val="1"/>
          <w:numId w:val="13"/>
        </w:numPr>
        <w:tabs>
          <w:tab w:val="left" w:pos="2207"/>
          <w:tab w:val="left" w:pos="2208"/>
        </w:tabs>
        <w:spacing w:before="140" w:line="290" w:lineRule="auto"/>
        <w:ind w:right="656" w:hanging="1965"/>
        <w:jc w:val="both"/>
        <w:rPr>
          <w:sz w:val="20"/>
        </w:rPr>
      </w:pPr>
      <w:hyperlink r:id="rId40">
        <w:r>
          <w:rPr>
            <w:color w:val="0000FF"/>
            <w:sz w:val="20"/>
            <w:u w:val="single" w:color="0000FF"/>
          </w:rPr>
          <w:t>Indenture,</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November</w:t>
        </w:r>
        <w:r>
          <w:rPr>
            <w:color w:val="0000FF"/>
            <w:spacing w:val="-3"/>
            <w:sz w:val="20"/>
            <w:u w:val="single" w:color="0000FF"/>
          </w:rPr>
          <w:t xml:space="preserve"> </w:t>
        </w:r>
        <w:r>
          <w:rPr>
            <w:color w:val="0000FF"/>
            <w:sz w:val="20"/>
            <w:u w:val="single" w:color="0000FF"/>
          </w:rPr>
          <w:t>19,</w:t>
        </w:r>
        <w:r>
          <w:rPr>
            <w:color w:val="0000FF"/>
            <w:spacing w:val="-3"/>
            <w:sz w:val="20"/>
            <w:u w:val="single" w:color="0000FF"/>
          </w:rPr>
          <w:t xml:space="preserve"> </w:t>
        </w:r>
        <w:r>
          <w:rPr>
            <w:color w:val="0000FF"/>
            <w:sz w:val="20"/>
            <w:u w:val="single" w:color="0000FF"/>
          </w:rPr>
          <w:t>2014,</w:t>
        </w:r>
        <w:r>
          <w:rPr>
            <w:color w:val="0000FF"/>
            <w:spacing w:val="-3"/>
            <w:sz w:val="20"/>
            <w:u w:val="single" w:color="0000FF"/>
          </w:rPr>
          <w:t xml:space="preserve"> </w:t>
        </w:r>
        <w:r>
          <w:rPr>
            <w:color w:val="0000FF"/>
            <w:sz w:val="20"/>
            <w:u w:val="single" w:color="0000FF"/>
          </w:rPr>
          <w:t>between</w:t>
        </w:r>
        <w:r>
          <w:rPr>
            <w:color w:val="0000FF"/>
            <w:spacing w:val="-3"/>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U.S.</w:t>
        </w:r>
        <w:r>
          <w:rPr>
            <w:color w:val="0000FF"/>
            <w:spacing w:val="-3"/>
            <w:sz w:val="20"/>
            <w:u w:val="single" w:color="0000FF"/>
          </w:rPr>
          <w:t xml:space="preserve"> </w:t>
        </w:r>
        <w:r>
          <w:rPr>
            <w:color w:val="0000FF"/>
            <w:sz w:val="20"/>
            <w:u w:val="single" w:color="0000FF"/>
          </w:rPr>
          <w:t>Bank</w:t>
        </w:r>
        <w:r>
          <w:rPr>
            <w:color w:val="0000FF"/>
            <w:spacing w:val="-3"/>
            <w:sz w:val="20"/>
            <w:u w:val="single" w:color="0000FF"/>
          </w:rPr>
          <w:t xml:space="preserve"> </w:t>
        </w:r>
        <w:r>
          <w:rPr>
            <w:color w:val="0000FF"/>
            <w:sz w:val="20"/>
            <w:u w:val="single" w:color="0000FF"/>
          </w:rPr>
          <w:t>National</w:t>
        </w:r>
      </w:hyperlink>
      <w:hyperlink r:id="rId41">
        <w:r>
          <w:rPr>
            <w:color w:val="0000FF"/>
            <w:sz w:val="20"/>
            <w:u w:val="single" w:color="0000FF"/>
          </w:rPr>
          <w:t xml:space="preserve"> Association, as trustee (incorporated by reference to Exhibit 4.1 to the Company’s Current Report on</w:t>
        </w:r>
      </w:hyperlink>
      <w:hyperlink r:id="rId42">
        <w:r>
          <w:rPr>
            <w:color w:val="0000FF"/>
            <w:sz w:val="20"/>
            <w:u w:val="single" w:color="0000FF"/>
          </w:rPr>
          <w:t xml:space="preserve"> Form 8-K dated November 14, 2014, File No.</w:t>
        </w:r>
        <w:r>
          <w:rPr>
            <w:color w:val="0000FF"/>
            <w:spacing w:val="-5"/>
            <w:sz w:val="20"/>
            <w:u w:val="single" w:color="0000FF"/>
          </w:rPr>
          <w:t xml:space="preserve"> </w:t>
        </w:r>
        <w:r>
          <w:rPr>
            <w:color w:val="0000FF"/>
            <w:sz w:val="20"/>
            <w:u w:val="single" w:color="0000FF"/>
          </w:rPr>
          <w:t>001.09608).</w:t>
        </w:r>
      </w:hyperlink>
    </w:p>
    <w:p w14:paraId="7326D34E" w14:textId="77777777" w:rsidR="00EF3DFB" w:rsidRDefault="00D27C17">
      <w:pPr>
        <w:pStyle w:val="ListParagraph"/>
        <w:numPr>
          <w:ilvl w:val="1"/>
          <w:numId w:val="13"/>
        </w:numPr>
        <w:tabs>
          <w:tab w:val="left" w:pos="2207"/>
          <w:tab w:val="left" w:pos="2208"/>
        </w:tabs>
        <w:spacing w:before="111" w:line="290" w:lineRule="auto"/>
        <w:ind w:right="891" w:hanging="1965"/>
        <w:rPr>
          <w:sz w:val="20"/>
        </w:rPr>
      </w:pPr>
      <w:hyperlink r:id="rId43">
        <w:r>
          <w:rPr>
            <w:color w:val="0000FF"/>
            <w:sz w:val="20"/>
            <w:u w:val="single" w:color="0000FF"/>
          </w:rPr>
          <w:t>Specimen</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Certificate</w:t>
        </w:r>
        <w:r>
          <w:rPr>
            <w:color w:val="0000FF"/>
            <w:spacing w:val="-4"/>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(in</w:t>
        </w:r>
        <w:r>
          <w:rPr>
            <w:color w:val="0000FF"/>
            <w:sz w:val="20"/>
            <w:u w:val="single" w:color="0000FF"/>
          </w:rPr>
          <w:t>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4.1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hyperlink>
      <w:hyperlink r:id="rId44">
        <w:r>
          <w:rPr>
            <w:color w:val="0000FF"/>
            <w:sz w:val="20"/>
            <w:u w:val="single" w:color="0000FF"/>
          </w:rPr>
          <w:t xml:space="preserve"> Company’s Quarterly Report on Form 10-Q for the quarterly period ended March 31, 2016, File</w:t>
        </w:r>
      </w:hyperlink>
      <w:hyperlink r:id="rId45">
        <w:r>
          <w:rPr>
            <w:color w:val="0000FF"/>
            <w:sz w:val="20"/>
            <w:u w:val="single" w:color="0000FF"/>
          </w:rPr>
          <w:t xml:space="preserve"> No.</w:t>
        </w:r>
        <w:r>
          <w:rPr>
            <w:color w:val="0000FF"/>
            <w:spacing w:val="-1"/>
            <w:sz w:val="20"/>
            <w:u w:val="single" w:color="0000FF"/>
          </w:rPr>
          <w:t xml:space="preserve"> </w:t>
        </w:r>
        <w:r>
          <w:rPr>
            <w:color w:val="0000FF"/>
            <w:sz w:val="20"/>
            <w:u w:val="single" w:color="0000FF"/>
          </w:rPr>
          <w:t>001-09608).</w:t>
        </w:r>
      </w:hyperlink>
    </w:p>
    <w:p w14:paraId="7326D34F" w14:textId="77777777" w:rsidR="00EF3DFB" w:rsidRDefault="00D27C17">
      <w:pPr>
        <w:pStyle w:val="ListParagraph"/>
        <w:numPr>
          <w:ilvl w:val="1"/>
          <w:numId w:val="13"/>
        </w:numPr>
        <w:tabs>
          <w:tab w:val="left" w:pos="2207"/>
          <w:tab w:val="left" w:pos="2208"/>
        </w:tabs>
        <w:spacing w:before="65" w:line="290" w:lineRule="auto"/>
        <w:ind w:right="489" w:hanging="1965"/>
        <w:rPr>
          <w:sz w:val="20"/>
        </w:rPr>
      </w:pPr>
      <w:hyperlink r:id="rId46">
        <w:r>
          <w:rPr>
            <w:color w:val="0000FF"/>
            <w:sz w:val="20"/>
            <w:u w:val="single" w:color="0000FF"/>
          </w:rPr>
          <w:t>Form of 4.000% Note due 2022 issued pursuant to the Indenture, dated as of June 14, 2012, between</w:t>
        </w:r>
      </w:hyperlink>
      <w:hyperlink r:id="rId47">
        <w:r>
          <w:rPr>
            <w:color w:val="0000FF"/>
            <w:sz w:val="20"/>
            <w:u w:val="single" w:color="0000FF"/>
          </w:rPr>
          <w:t xml:space="preserve"> Newell Rubbermaid Inc. and The Bank of New York Mellon Trust Company, N.A., as trustee</w:t>
        </w:r>
      </w:hyperlink>
      <w:hyperlink r:id="rId48">
        <w:r>
          <w:rPr>
            <w:color w:val="0000FF"/>
            <w:sz w:val="20"/>
            <w:u w:val="single" w:color="0000FF"/>
          </w:rPr>
          <w:t xml:space="preserve"> (incorporated by reference</w:t>
        </w:r>
        <w:r>
          <w:rPr>
            <w:color w:val="0000FF"/>
            <w:sz w:val="20"/>
            <w:u w:val="single" w:color="0000FF"/>
          </w:rPr>
          <w:t xml:space="preserve"> to Exhibit 4.3 to the Company’s Current Report on Form 8-K dated June</w:t>
        </w:r>
        <w:r>
          <w:rPr>
            <w:color w:val="0000FF"/>
            <w:spacing w:val="-35"/>
            <w:sz w:val="20"/>
            <w:u w:val="single" w:color="0000FF"/>
          </w:rPr>
          <w:t xml:space="preserve"> </w:t>
        </w:r>
        <w:r>
          <w:rPr>
            <w:color w:val="0000FF"/>
            <w:sz w:val="20"/>
            <w:u w:val="single" w:color="0000FF"/>
          </w:rPr>
          <w:t>11,</w:t>
        </w:r>
      </w:hyperlink>
      <w:hyperlink r:id="rId49">
        <w:r>
          <w:rPr>
            <w:color w:val="0000FF"/>
            <w:sz w:val="20"/>
            <w:u w:val="single" w:color="0000FF"/>
          </w:rPr>
          <w:t xml:space="preserve"> 2012, File No.</w:t>
        </w:r>
        <w:r>
          <w:rPr>
            <w:color w:val="0000FF"/>
            <w:spacing w:val="-2"/>
            <w:sz w:val="20"/>
            <w:u w:val="single" w:color="0000FF"/>
          </w:rPr>
          <w:t xml:space="preserve"> </w:t>
        </w:r>
        <w:r>
          <w:rPr>
            <w:color w:val="0000FF"/>
            <w:sz w:val="20"/>
            <w:u w:val="single" w:color="0000FF"/>
          </w:rPr>
          <w:t>001-09608).</w:t>
        </w:r>
      </w:hyperlink>
    </w:p>
    <w:p w14:paraId="7326D350" w14:textId="77777777" w:rsidR="00EF3DFB" w:rsidRDefault="00D27C17">
      <w:pPr>
        <w:pStyle w:val="ListParagraph"/>
        <w:numPr>
          <w:ilvl w:val="1"/>
          <w:numId w:val="13"/>
        </w:numPr>
        <w:tabs>
          <w:tab w:val="left" w:pos="2207"/>
          <w:tab w:val="left" w:pos="2208"/>
        </w:tabs>
        <w:spacing w:before="117" w:line="249" w:lineRule="auto"/>
        <w:ind w:right="250" w:hanging="1965"/>
        <w:rPr>
          <w:sz w:val="20"/>
        </w:rPr>
      </w:pPr>
      <w:hyperlink r:id="rId50">
        <w:r>
          <w:rPr>
            <w:color w:val="0000FF"/>
            <w:sz w:val="20"/>
            <w:u w:val="single" w:color="0000FF"/>
          </w:rPr>
          <w:t>Form of 4.000% Note due 2024 issued pursuant to the Indenture, dated as of November 19, 2014,</w:t>
        </w:r>
        <w:r>
          <w:rPr>
            <w:color w:val="0000FF"/>
            <w:spacing w:val="-32"/>
            <w:sz w:val="20"/>
            <w:u w:val="single" w:color="0000FF"/>
          </w:rPr>
          <w:t xml:space="preserve"> </w:t>
        </w:r>
        <w:r>
          <w:rPr>
            <w:color w:val="0000FF"/>
            <w:sz w:val="20"/>
            <w:u w:val="single" w:color="0000FF"/>
          </w:rPr>
          <w:t>between</w:t>
        </w:r>
      </w:hyperlink>
      <w:hyperlink r:id="rId51">
        <w:r>
          <w:rPr>
            <w:color w:val="0000FF"/>
            <w:sz w:val="20"/>
            <w:u w:val="single" w:color="0000FF"/>
          </w:rPr>
          <w:t xml:space="preserve"> Newell Rubbermaid Inc. and U.S. Bank National Association, as trustee (incorporated by reference to</w:t>
        </w:r>
      </w:hyperlink>
      <w:hyperlink r:id="rId52">
        <w:r>
          <w:rPr>
            <w:color w:val="0000FF"/>
            <w:sz w:val="20"/>
            <w:u w:val="single" w:color="0000FF"/>
          </w:rPr>
          <w:t xml:space="preserve"> Exhibit 4</w:t>
        </w:r>
        <w:r>
          <w:rPr>
            <w:color w:val="0000FF"/>
            <w:sz w:val="20"/>
            <w:u w:val="single" w:color="0000FF"/>
          </w:rPr>
          <w:t>.3 to the Company’s Current Report on Form 8-K dated November 14, 2014,</w:t>
        </w:r>
        <w:r>
          <w:rPr>
            <w:color w:val="0000FF"/>
            <w:spacing w:val="-15"/>
            <w:sz w:val="20"/>
            <w:u w:val="single" w:color="0000FF"/>
          </w:rPr>
          <w:t xml:space="preserve"> </w:t>
        </w:r>
        <w:r>
          <w:rPr>
            <w:color w:val="0000FF"/>
            <w:sz w:val="20"/>
            <w:u w:val="single" w:color="0000FF"/>
          </w:rPr>
          <w:t>File</w:t>
        </w:r>
      </w:hyperlink>
    </w:p>
    <w:p w14:paraId="7326D351" w14:textId="77777777" w:rsidR="00EF3DFB" w:rsidRDefault="00D27C17">
      <w:pPr>
        <w:pStyle w:val="BodyText"/>
        <w:spacing w:before="2"/>
        <w:ind w:left="2207"/>
      </w:pPr>
      <w:hyperlink r:id="rId53">
        <w:r>
          <w:rPr>
            <w:color w:val="0000FF"/>
            <w:u w:val="single" w:color="0000FF"/>
          </w:rPr>
          <w:t>No. 001-09608).</w:t>
        </w:r>
      </w:hyperlink>
    </w:p>
    <w:p w14:paraId="7326D352" w14:textId="77777777" w:rsidR="00EF3DFB" w:rsidRDefault="00EF3DFB">
      <w:pPr>
        <w:pStyle w:val="BodyText"/>
        <w:rPr>
          <w:sz w:val="19"/>
        </w:rPr>
      </w:pPr>
    </w:p>
    <w:p w14:paraId="7326D353" w14:textId="77777777" w:rsidR="00EF3DFB" w:rsidRDefault="00D27C17">
      <w:pPr>
        <w:pStyle w:val="ListParagraph"/>
        <w:numPr>
          <w:ilvl w:val="1"/>
          <w:numId w:val="13"/>
        </w:numPr>
        <w:tabs>
          <w:tab w:val="left" w:pos="2207"/>
          <w:tab w:val="left" w:pos="2208"/>
        </w:tabs>
        <w:spacing w:before="92" w:line="290" w:lineRule="auto"/>
        <w:ind w:right="250" w:hanging="1965"/>
        <w:rPr>
          <w:sz w:val="20"/>
        </w:rPr>
      </w:pPr>
      <w:hyperlink r:id="rId54">
        <w:r>
          <w:rPr>
            <w:color w:val="0000FF"/>
            <w:sz w:val="20"/>
            <w:u w:val="single" w:color="0000FF"/>
          </w:rPr>
          <w:t>Form of 3.900% Note due 2025 issued pursuant to the Indenture, dated as of November 19, 2014,</w:t>
        </w:r>
        <w:r>
          <w:rPr>
            <w:color w:val="0000FF"/>
            <w:spacing w:val="-32"/>
            <w:sz w:val="20"/>
            <w:u w:val="single" w:color="0000FF"/>
          </w:rPr>
          <w:t xml:space="preserve"> </w:t>
        </w:r>
        <w:r>
          <w:rPr>
            <w:color w:val="0000FF"/>
            <w:sz w:val="20"/>
            <w:u w:val="single" w:color="0000FF"/>
          </w:rPr>
          <w:t>between</w:t>
        </w:r>
      </w:hyperlink>
      <w:hyperlink r:id="rId55">
        <w:r>
          <w:rPr>
            <w:color w:val="0000FF"/>
            <w:sz w:val="20"/>
            <w:u w:val="single" w:color="0000FF"/>
          </w:rPr>
          <w:t xml:space="preserve"> Newell Rubbermaid Inc. and U.S. Bank National Association, as trustee (incorporated by reference to</w:t>
        </w:r>
      </w:hyperlink>
      <w:hyperlink r:id="rId56">
        <w:r>
          <w:rPr>
            <w:color w:val="0000FF"/>
            <w:sz w:val="20"/>
            <w:u w:val="single" w:color="0000FF"/>
          </w:rPr>
          <w:t xml:space="preserve"> Exhibit 4.2 to the Company’s Current Report on Form 8-K</w:t>
        </w:r>
        <w:r>
          <w:rPr>
            <w:color w:val="0000FF"/>
            <w:sz w:val="20"/>
            <w:u w:val="single" w:color="0000FF"/>
          </w:rPr>
          <w:t xml:space="preserve"> dated October 14, 2015, File No.</w:t>
        </w:r>
        <w:r>
          <w:rPr>
            <w:color w:val="0000FF"/>
            <w:spacing w:val="-29"/>
            <w:sz w:val="20"/>
            <w:u w:val="single" w:color="0000FF"/>
          </w:rPr>
          <w:t xml:space="preserve"> </w:t>
        </w:r>
        <w:r>
          <w:rPr>
            <w:color w:val="0000FF"/>
            <w:sz w:val="20"/>
            <w:u w:val="single" w:color="0000FF"/>
          </w:rPr>
          <w:t>001-09608).</w:t>
        </w:r>
      </w:hyperlink>
    </w:p>
    <w:p w14:paraId="7326D354" w14:textId="77777777" w:rsidR="00EF3DFB" w:rsidRDefault="00D27C17">
      <w:pPr>
        <w:pStyle w:val="ListParagraph"/>
        <w:numPr>
          <w:ilvl w:val="1"/>
          <w:numId w:val="13"/>
        </w:numPr>
        <w:tabs>
          <w:tab w:val="left" w:pos="2207"/>
          <w:tab w:val="left" w:pos="2208"/>
        </w:tabs>
        <w:spacing w:before="170" w:line="290" w:lineRule="auto"/>
        <w:ind w:right="293" w:hanging="1965"/>
        <w:rPr>
          <w:sz w:val="20"/>
        </w:rPr>
      </w:pPr>
      <w:hyperlink r:id="rId57">
        <w:r>
          <w:rPr>
            <w:color w:val="0000FF"/>
            <w:sz w:val="20"/>
            <w:u w:val="single" w:color="0000FF"/>
          </w:rPr>
          <w:t>Form of 3.150% note due 2021 issued pursuant to the Indenture, dated as of November 19, 2014,</w:t>
        </w:r>
        <w:r>
          <w:rPr>
            <w:color w:val="0000FF"/>
            <w:spacing w:val="-31"/>
            <w:sz w:val="20"/>
            <w:u w:val="single" w:color="0000FF"/>
          </w:rPr>
          <w:t xml:space="preserve"> </w:t>
        </w:r>
        <w:r>
          <w:rPr>
            <w:color w:val="0000FF"/>
            <w:sz w:val="20"/>
            <w:u w:val="single" w:color="0000FF"/>
          </w:rPr>
          <w:t>between</w:t>
        </w:r>
      </w:hyperlink>
      <w:hyperlink r:id="rId58">
        <w:r>
          <w:rPr>
            <w:color w:val="0000FF"/>
            <w:sz w:val="20"/>
            <w:u w:val="single" w:color="0000FF"/>
          </w:rPr>
          <w:t xml:space="preserve"> the Company and U.S. Bank National Association, as trustee (incorporated by reference to Exhibit 4.2 to</w:t>
        </w:r>
      </w:hyperlink>
      <w:hyperlink r:id="rId59">
        <w:r>
          <w:rPr>
            <w:color w:val="0000FF"/>
            <w:sz w:val="20"/>
            <w:u w:val="single" w:color="0000FF"/>
          </w:rPr>
          <w:t xml:space="preserve"> the Company’s Current Report on Form 8-K dated March 18, 2016, File No.</w:t>
        </w:r>
        <w:r>
          <w:rPr>
            <w:color w:val="0000FF"/>
            <w:spacing w:val="-14"/>
            <w:sz w:val="20"/>
            <w:u w:val="single" w:color="0000FF"/>
          </w:rPr>
          <w:t xml:space="preserve"> </w:t>
        </w:r>
        <w:r>
          <w:rPr>
            <w:color w:val="0000FF"/>
            <w:sz w:val="20"/>
            <w:u w:val="single" w:color="0000FF"/>
          </w:rPr>
          <w:t>001-09608).</w:t>
        </w:r>
      </w:hyperlink>
    </w:p>
    <w:p w14:paraId="7326D355" w14:textId="77777777" w:rsidR="00EF3DFB" w:rsidRDefault="00D27C17">
      <w:pPr>
        <w:pStyle w:val="ListParagraph"/>
        <w:numPr>
          <w:ilvl w:val="1"/>
          <w:numId w:val="13"/>
        </w:numPr>
        <w:tabs>
          <w:tab w:val="left" w:pos="2207"/>
          <w:tab w:val="left" w:pos="2208"/>
        </w:tabs>
        <w:spacing w:before="155" w:line="249" w:lineRule="auto"/>
        <w:ind w:right="293" w:hanging="1965"/>
        <w:rPr>
          <w:sz w:val="20"/>
        </w:rPr>
      </w:pPr>
      <w:hyperlink r:id="rId60">
        <w:r>
          <w:rPr>
            <w:color w:val="0000FF"/>
            <w:sz w:val="20"/>
            <w:u w:val="single" w:color="0000FF"/>
          </w:rPr>
          <w:t>Form of 3.850% note due 2023</w:t>
        </w:r>
        <w:r>
          <w:rPr>
            <w:color w:val="0000FF"/>
            <w:sz w:val="20"/>
            <w:u w:val="single" w:color="0000FF"/>
          </w:rPr>
          <w:t xml:space="preserve"> issued pursuant to the Indenture, dated as of November 19, 2014,</w:t>
        </w:r>
        <w:r>
          <w:rPr>
            <w:color w:val="0000FF"/>
            <w:spacing w:val="-31"/>
            <w:sz w:val="20"/>
            <w:u w:val="single" w:color="0000FF"/>
          </w:rPr>
          <w:t xml:space="preserve"> </w:t>
        </w:r>
        <w:r>
          <w:rPr>
            <w:color w:val="0000FF"/>
            <w:sz w:val="20"/>
            <w:u w:val="single" w:color="0000FF"/>
          </w:rPr>
          <w:t>between</w:t>
        </w:r>
      </w:hyperlink>
      <w:hyperlink r:id="rId61">
        <w:r>
          <w:rPr>
            <w:color w:val="0000FF"/>
            <w:sz w:val="20"/>
            <w:u w:val="single" w:color="0000FF"/>
          </w:rPr>
          <w:t xml:space="preserve"> the Company and U.S. Bank National Association, as trustee (incorporated by refer</w:t>
        </w:r>
        <w:r>
          <w:rPr>
            <w:color w:val="0000FF"/>
            <w:sz w:val="20"/>
            <w:u w:val="single" w:color="0000FF"/>
          </w:rPr>
          <w:t>ence to Exhibit 4.3 to</w:t>
        </w:r>
      </w:hyperlink>
      <w:hyperlink r:id="rId62">
        <w:r>
          <w:rPr>
            <w:color w:val="0000FF"/>
            <w:sz w:val="20"/>
            <w:u w:val="single" w:color="0000FF"/>
          </w:rPr>
          <w:t xml:space="preserve"> the Company’s Current Report on Form 8-K dated March 18, 2016, File No.</w:t>
        </w:r>
        <w:r>
          <w:rPr>
            <w:color w:val="0000FF"/>
            <w:spacing w:val="-14"/>
            <w:sz w:val="20"/>
            <w:u w:val="single" w:color="0000FF"/>
          </w:rPr>
          <w:t xml:space="preserve"> </w:t>
        </w:r>
        <w:r>
          <w:rPr>
            <w:color w:val="0000FF"/>
            <w:sz w:val="20"/>
            <w:u w:val="single" w:color="0000FF"/>
          </w:rPr>
          <w:t>001-09608).</w:t>
        </w:r>
      </w:hyperlink>
    </w:p>
    <w:p w14:paraId="7326D356" w14:textId="77777777" w:rsidR="00EF3DFB" w:rsidRDefault="00EF3DFB">
      <w:pPr>
        <w:pStyle w:val="BodyText"/>
        <w:spacing w:before="8"/>
        <w:rPr>
          <w:sz w:val="15"/>
        </w:rPr>
      </w:pPr>
    </w:p>
    <w:p w14:paraId="7326D357" w14:textId="77777777" w:rsidR="00EF3DFB" w:rsidRDefault="00D27C17">
      <w:pPr>
        <w:pStyle w:val="ListParagraph"/>
        <w:numPr>
          <w:ilvl w:val="1"/>
          <w:numId w:val="13"/>
        </w:numPr>
        <w:tabs>
          <w:tab w:val="left" w:pos="2207"/>
          <w:tab w:val="left" w:pos="2208"/>
        </w:tabs>
        <w:spacing w:before="92" w:line="249" w:lineRule="auto"/>
        <w:ind w:right="293" w:hanging="1965"/>
        <w:rPr>
          <w:sz w:val="20"/>
        </w:rPr>
      </w:pPr>
      <w:hyperlink r:id="rId63">
        <w:r>
          <w:rPr>
            <w:color w:val="0000FF"/>
            <w:sz w:val="20"/>
            <w:u w:val="single" w:color="0000FF"/>
          </w:rPr>
          <w:t>Form of 4.200% note due 2026 issued pursuant to the Indenture, dated as of November 19, 2014,</w:t>
        </w:r>
        <w:r>
          <w:rPr>
            <w:color w:val="0000FF"/>
            <w:spacing w:val="-31"/>
            <w:sz w:val="20"/>
            <w:u w:val="single" w:color="0000FF"/>
          </w:rPr>
          <w:t xml:space="preserve"> </w:t>
        </w:r>
        <w:r>
          <w:rPr>
            <w:color w:val="0000FF"/>
            <w:sz w:val="20"/>
            <w:u w:val="single" w:color="0000FF"/>
          </w:rPr>
          <w:t>between</w:t>
        </w:r>
      </w:hyperlink>
      <w:hyperlink r:id="rId64">
        <w:r>
          <w:rPr>
            <w:color w:val="0000FF"/>
            <w:sz w:val="20"/>
            <w:u w:val="single" w:color="0000FF"/>
          </w:rPr>
          <w:t xml:space="preserve"> the Company and U.S. Bank National Association, as trustee (incorporated by reference to Exhibit 4.4 to</w:t>
        </w:r>
      </w:hyperlink>
      <w:hyperlink r:id="rId65">
        <w:r>
          <w:rPr>
            <w:color w:val="0000FF"/>
            <w:sz w:val="20"/>
            <w:u w:val="single" w:color="0000FF"/>
          </w:rPr>
          <w:t xml:space="preserve"> the Company’s Current Report on Form 8-K dated Mar</w:t>
        </w:r>
        <w:r>
          <w:rPr>
            <w:color w:val="0000FF"/>
            <w:sz w:val="20"/>
            <w:u w:val="single" w:color="0000FF"/>
          </w:rPr>
          <w:t>ch 18, 2016, File No.</w:t>
        </w:r>
        <w:r>
          <w:rPr>
            <w:color w:val="0000FF"/>
            <w:spacing w:val="-14"/>
            <w:sz w:val="20"/>
            <w:u w:val="single" w:color="0000FF"/>
          </w:rPr>
          <w:t xml:space="preserve"> </w:t>
        </w:r>
        <w:r>
          <w:rPr>
            <w:color w:val="0000FF"/>
            <w:sz w:val="20"/>
            <w:u w:val="single" w:color="0000FF"/>
          </w:rPr>
          <w:t>001-09608).</w:t>
        </w:r>
      </w:hyperlink>
    </w:p>
    <w:p w14:paraId="7326D358" w14:textId="77777777" w:rsidR="00EF3DFB" w:rsidRDefault="00EF3DFB">
      <w:pPr>
        <w:pStyle w:val="BodyText"/>
        <w:rPr>
          <w:sz w:val="17"/>
        </w:rPr>
      </w:pPr>
    </w:p>
    <w:p w14:paraId="7326D359" w14:textId="77777777" w:rsidR="00EF3DFB" w:rsidRDefault="00D27C17">
      <w:pPr>
        <w:pStyle w:val="ListParagraph"/>
        <w:numPr>
          <w:ilvl w:val="1"/>
          <w:numId w:val="13"/>
        </w:numPr>
        <w:tabs>
          <w:tab w:val="left" w:pos="2207"/>
          <w:tab w:val="left" w:pos="2208"/>
        </w:tabs>
        <w:spacing w:before="92" w:line="249" w:lineRule="auto"/>
        <w:ind w:right="293" w:hanging="1965"/>
        <w:rPr>
          <w:sz w:val="20"/>
        </w:rPr>
      </w:pPr>
      <w:hyperlink r:id="rId66">
        <w:r>
          <w:rPr>
            <w:color w:val="0000FF"/>
            <w:sz w:val="20"/>
            <w:u w:val="single" w:color="0000FF"/>
          </w:rPr>
          <w:t>Form of 5.375% note due 2036 issued pursuant to the Indenture, dated as of November 19, 2014,</w:t>
        </w:r>
        <w:r>
          <w:rPr>
            <w:color w:val="0000FF"/>
            <w:spacing w:val="-31"/>
            <w:sz w:val="20"/>
            <w:u w:val="single" w:color="0000FF"/>
          </w:rPr>
          <w:t xml:space="preserve"> </w:t>
        </w:r>
        <w:r>
          <w:rPr>
            <w:color w:val="0000FF"/>
            <w:sz w:val="20"/>
            <w:u w:val="single" w:color="0000FF"/>
          </w:rPr>
          <w:t>between</w:t>
        </w:r>
      </w:hyperlink>
      <w:hyperlink r:id="rId67">
        <w:r>
          <w:rPr>
            <w:color w:val="0000FF"/>
            <w:sz w:val="20"/>
            <w:u w:val="single" w:color="0000FF"/>
          </w:rPr>
          <w:t xml:space="preserve"> the Company and U.S. Bank National Association, as trustee (incorporated by reference to Exhibit 4.5 to</w:t>
        </w:r>
      </w:hyperlink>
      <w:hyperlink r:id="rId68">
        <w:r>
          <w:rPr>
            <w:color w:val="0000FF"/>
            <w:sz w:val="20"/>
            <w:u w:val="single" w:color="0000FF"/>
          </w:rPr>
          <w:t xml:space="preserve"> the Company’s Current Report on Form 8-K dated Mar</w:t>
        </w:r>
        <w:r>
          <w:rPr>
            <w:color w:val="0000FF"/>
            <w:sz w:val="20"/>
            <w:u w:val="single" w:color="0000FF"/>
          </w:rPr>
          <w:t>ch 18, 2016, File No.</w:t>
        </w:r>
        <w:r>
          <w:rPr>
            <w:color w:val="0000FF"/>
            <w:spacing w:val="-14"/>
            <w:sz w:val="20"/>
            <w:u w:val="single" w:color="0000FF"/>
          </w:rPr>
          <w:t xml:space="preserve"> </w:t>
        </w:r>
        <w:r>
          <w:rPr>
            <w:color w:val="0000FF"/>
            <w:sz w:val="20"/>
            <w:u w:val="single" w:color="0000FF"/>
          </w:rPr>
          <w:t>001-09608).</w:t>
        </w:r>
      </w:hyperlink>
    </w:p>
    <w:p w14:paraId="7326D35A" w14:textId="77777777" w:rsidR="00EF3DFB" w:rsidRDefault="00EF3DFB">
      <w:pPr>
        <w:pStyle w:val="BodyText"/>
        <w:spacing w:before="9"/>
        <w:rPr>
          <w:sz w:val="11"/>
        </w:rPr>
      </w:pPr>
    </w:p>
    <w:p w14:paraId="7326D35B" w14:textId="77777777" w:rsidR="00EF3DFB" w:rsidRDefault="00D27C17">
      <w:pPr>
        <w:pStyle w:val="ListParagraph"/>
        <w:numPr>
          <w:ilvl w:val="1"/>
          <w:numId w:val="13"/>
        </w:numPr>
        <w:tabs>
          <w:tab w:val="left" w:pos="2207"/>
          <w:tab w:val="left" w:pos="2208"/>
        </w:tabs>
        <w:spacing w:before="92" w:line="249" w:lineRule="auto"/>
        <w:ind w:right="293" w:hanging="1965"/>
        <w:rPr>
          <w:sz w:val="20"/>
        </w:rPr>
      </w:pPr>
      <w:hyperlink r:id="rId69">
        <w:r>
          <w:rPr>
            <w:color w:val="0000FF"/>
            <w:sz w:val="20"/>
            <w:u w:val="single" w:color="0000FF"/>
          </w:rPr>
          <w:t>Form of 5.500% note due 2046 issued pursuant to the Indenture, dated as of November 19, 2014,</w:t>
        </w:r>
        <w:r>
          <w:rPr>
            <w:color w:val="0000FF"/>
            <w:spacing w:val="-31"/>
            <w:sz w:val="20"/>
            <w:u w:val="single" w:color="0000FF"/>
          </w:rPr>
          <w:t xml:space="preserve"> </w:t>
        </w:r>
        <w:r>
          <w:rPr>
            <w:color w:val="0000FF"/>
            <w:sz w:val="20"/>
            <w:u w:val="single" w:color="0000FF"/>
          </w:rPr>
          <w:t>between</w:t>
        </w:r>
      </w:hyperlink>
      <w:hyperlink r:id="rId70">
        <w:r>
          <w:rPr>
            <w:color w:val="0000FF"/>
            <w:sz w:val="20"/>
            <w:u w:val="single" w:color="0000FF"/>
          </w:rPr>
          <w:t xml:space="preserve"> the Company and U.S. Bank National Association, as trustee (incorporated by reference to Exhibit 4.6 to</w:t>
        </w:r>
      </w:hyperlink>
      <w:hyperlink r:id="rId71">
        <w:r>
          <w:rPr>
            <w:color w:val="0000FF"/>
            <w:sz w:val="20"/>
            <w:u w:val="single" w:color="0000FF"/>
          </w:rPr>
          <w:t xml:space="preserve"> the Company’s Current Report on Form 8-K dated March 18, 2016, File No.</w:t>
        </w:r>
        <w:r>
          <w:rPr>
            <w:color w:val="0000FF"/>
            <w:spacing w:val="-14"/>
            <w:sz w:val="20"/>
            <w:u w:val="single" w:color="0000FF"/>
          </w:rPr>
          <w:t xml:space="preserve"> </w:t>
        </w:r>
        <w:r>
          <w:rPr>
            <w:color w:val="0000FF"/>
            <w:sz w:val="20"/>
            <w:u w:val="single" w:color="0000FF"/>
          </w:rPr>
          <w:t>001-09608).</w:t>
        </w:r>
      </w:hyperlink>
    </w:p>
    <w:p w14:paraId="7326D35C" w14:textId="77777777" w:rsidR="00EF3DFB" w:rsidRDefault="00EF3DFB">
      <w:pPr>
        <w:pStyle w:val="BodyText"/>
        <w:spacing w:before="1"/>
        <w:rPr>
          <w:sz w:val="13"/>
        </w:rPr>
      </w:pPr>
    </w:p>
    <w:p w14:paraId="7326D35D" w14:textId="77777777" w:rsidR="00EF3DFB" w:rsidRDefault="00D27C17">
      <w:pPr>
        <w:pStyle w:val="ListParagraph"/>
        <w:numPr>
          <w:ilvl w:val="1"/>
          <w:numId w:val="13"/>
        </w:numPr>
        <w:tabs>
          <w:tab w:val="left" w:pos="2207"/>
          <w:tab w:val="left" w:pos="2208"/>
        </w:tabs>
        <w:spacing w:before="92" w:line="249" w:lineRule="auto"/>
        <w:ind w:right="286" w:hanging="1965"/>
        <w:jc w:val="both"/>
        <w:rPr>
          <w:sz w:val="20"/>
        </w:rPr>
      </w:pPr>
      <w:hyperlink r:id="rId72">
        <w:r>
          <w:rPr>
            <w:color w:val="0000FF"/>
            <w:sz w:val="20"/>
            <w:u w:val="single" w:color="0000FF"/>
          </w:rPr>
          <w:t>Form of 3 3/4% note due 2021 issued pursuant to the Indenture, dated as of November 19, 2014, between</w:t>
        </w:r>
      </w:hyperlink>
      <w:hyperlink r:id="rId73">
        <w:r>
          <w:rPr>
            <w:color w:val="0000FF"/>
            <w:sz w:val="20"/>
            <w:u w:val="single" w:color="0000FF"/>
          </w:rPr>
          <w:t xml:space="preserve"> the</w:t>
        </w:r>
        <w:r>
          <w:rPr>
            <w:color w:val="0000FF"/>
            <w:spacing w:val="-4"/>
            <w:sz w:val="20"/>
            <w:u w:val="single" w:color="0000FF"/>
          </w:rPr>
          <w:t xml:space="preserve"> </w:t>
        </w:r>
        <w:r>
          <w:rPr>
            <w:color w:val="0000FF"/>
            <w:sz w:val="20"/>
            <w:u w:val="single" w:color="0000FF"/>
          </w:rPr>
          <w:t>Company</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U.S.</w:t>
        </w:r>
        <w:r>
          <w:rPr>
            <w:color w:val="0000FF"/>
            <w:spacing w:val="-3"/>
            <w:sz w:val="20"/>
            <w:u w:val="single" w:color="0000FF"/>
          </w:rPr>
          <w:t xml:space="preserve"> </w:t>
        </w:r>
        <w:r>
          <w:rPr>
            <w:color w:val="0000FF"/>
            <w:sz w:val="20"/>
            <w:u w:val="single" w:color="0000FF"/>
          </w:rPr>
          <w:t>Bank</w:t>
        </w:r>
        <w:r>
          <w:rPr>
            <w:color w:val="0000FF"/>
            <w:spacing w:val="-3"/>
            <w:sz w:val="20"/>
            <w:u w:val="single" w:color="0000FF"/>
          </w:rPr>
          <w:t xml:space="preserve"> </w:t>
        </w:r>
        <w:r>
          <w:rPr>
            <w:color w:val="0000FF"/>
            <w:sz w:val="20"/>
            <w:u w:val="single" w:color="0000FF"/>
          </w:rPr>
          <w:t>National</w:t>
        </w:r>
        <w:r>
          <w:rPr>
            <w:color w:val="0000FF"/>
            <w:spacing w:val="-4"/>
            <w:sz w:val="20"/>
            <w:u w:val="single" w:color="0000FF"/>
          </w:rPr>
          <w:t xml:space="preserve"> </w:t>
        </w:r>
        <w:r>
          <w:rPr>
            <w:color w:val="0000FF"/>
            <w:sz w:val="20"/>
            <w:u w:val="single" w:color="0000FF"/>
          </w:rPr>
          <w:t>Association,</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trustee</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4.19</w:t>
        </w:r>
        <w:r>
          <w:rPr>
            <w:color w:val="0000FF"/>
            <w:spacing w:val="-3"/>
            <w:sz w:val="20"/>
            <w:u w:val="single" w:color="0000FF"/>
          </w:rPr>
          <w:t xml:space="preserve"> </w:t>
        </w:r>
        <w:r>
          <w:rPr>
            <w:color w:val="0000FF"/>
            <w:sz w:val="20"/>
            <w:u w:val="single" w:color="0000FF"/>
          </w:rPr>
          <w:t>to</w:t>
        </w:r>
      </w:hyperlink>
      <w:hyperlink r:id="rId74">
        <w:r>
          <w:rPr>
            <w:color w:val="0000FF"/>
            <w:sz w:val="20"/>
            <w:u w:val="single" w:color="0000FF"/>
          </w:rPr>
          <w:t xml:space="preserve"> Newell’s Annual Report on Form 10-K for the year ended December 31, 2016, File No.</w:t>
        </w:r>
        <w:r>
          <w:rPr>
            <w:color w:val="0000FF"/>
            <w:spacing w:val="-23"/>
            <w:sz w:val="20"/>
            <w:u w:val="single" w:color="0000FF"/>
          </w:rPr>
          <w:t xml:space="preserve"> </w:t>
        </w:r>
        <w:r>
          <w:rPr>
            <w:color w:val="0000FF"/>
            <w:sz w:val="20"/>
            <w:u w:val="single" w:color="0000FF"/>
          </w:rPr>
          <w:t>001-09608).</w:t>
        </w:r>
      </w:hyperlink>
    </w:p>
    <w:p w14:paraId="7326D35E" w14:textId="77777777" w:rsidR="00EF3DFB" w:rsidRDefault="00EF3DFB">
      <w:pPr>
        <w:pStyle w:val="BodyText"/>
        <w:rPr>
          <w:sz w:val="17"/>
        </w:rPr>
      </w:pPr>
    </w:p>
    <w:p w14:paraId="7326D35F" w14:textId="77777777" w:rsidR="00EF3DFB" w:rsidRDefault="00D27C17">
      <w:pPr>
        <w:pStyle w:val="ListParagraph"/>
        <w:numPr>
          <w:ilvl w:val="1"/>
          <w:numId w:val="13"/>
        </w:numPr>
        <w:tabs>
          <w:tab w:val="left" w:pos="2207"/>
          <w:tab w:val="left" w:pos="2208"/>
        </w:tabs>
        <w:spacing w:before="92" w:line="249" w:lineRule="auto"/>
        <w:ind w:right="250" w:hanging="1965"/>
        <w:rPr>
          <w:sz w:val="20"/>
        </w:rPr>
      </w:pPr>
      <w:hyperlink r:id="rId75">
        <w:r>
          <w:rPr>
            <w:color w:val="0000FF"/>
            <w:sz w:val="20"/>
            <w:u w:val="single" w:color="0000FF"/>
          </w:rPr>
          <w:t>Form of 4.875% Note due 2025 issued pursuant to the Indenture, dated as of November 19, 2014,</w:t>
        </w:r>
        <w:r>
          <w:rPr>
            <w:color w:val="0000FF"/>
            <w:spacing w:val="-32"/>
            <w:sz w:val="20"/>
            <w:u w:val="single" w:color="0000FF"/>
          </w:rPr>
          <w:t xml:space="preserve"> </w:t>
        </w:r>
        <w:r>
          <w:rPr>
            <w:color w:val="0000FF"/>
            <w:sz w:val="20"/>
            <w:u w:val="single" w:color="0000FF"/>
          </w:rPr>
          <w:t>between</w:t>
        </w:r>
      </w:hyperlink>
      <w:hyperlink r:id="rId76">
        <w:r>
          <w:rPr>
            <w:color w:val="0000FF"/>
            <w:sz w:val="20"/>
            <w:u w:val="single" w:color="0000FF"/>
          </w:rPr>
          <w:t xml:space="preserve"> Newell</w:t>
        </w:r>
        <w:r>
          <w:rPr>
            <w:color w:val="0000FF"/>
            <w:sz w:val="20"/>
            <w:u w:val="single" w:color="0000FF"/>
          </w:rPr>
          <w:t xml:space="preserve"> Rubbermaid Inc. and U.S. Bank National Association, as trustee (incorporated by reference to</w:t>
        </w:r>
      </w:hyperlink>
      <w:hyperlink r:id="rId77">
        <w:r>
          <w:rPr>
            <w:color w:val="0000FF"/>
            <w:sz w:val="20"/>
            <w:u w:val="single" w:color="0000FF"/>
          </w:rPr>
          <w:t xml:space="preserve"> Exhibit 4.1 to the Company’s Current Report on Form 8-K date</w:t>
        </w:r>
        <w:r>
          <w:rPr>
            <w:color w:val="0000FF"/>
            <w:sz w:val="20"/>
            <w:u w:val="single" w:color="0000FF"/>
          </w:rPr>
          <w:t>d May 26, 2020, File No.</w:t>
        </w:r>
        <w:r>
          <w:rPr>
            <w:color w:val="0000FF"/>
            <w:spacing w:val="-23"/>
            <w:sz w:val="20"/>
            <w:u w:val="single" w:color="0000FF"/>
          </w:rPr>
          <w:t xml:space="preserve"> </w:t>
        </w:r>
        <w:r>
          <w:rPr>
            <w:color w:val="0000FF"/>
            <w:sz w:val="20"/>
            <w:u w:val="single" w:color="0000FF"/>
          </w:rPr>
          <w:t>001-09608).</w:t>
        </w:r>
      </w:hyperlink>
    </w:p>
    <w:p w14:paraId="7326D360" w14:textId="77777777" w:rsidR="00EF3DFB" w:rsidRDefault="00D27C17">
      <w:pPr>
        <w:pStyle w:val="BodyText"/>
        <w:spacing w:before="192" w:line="208" w:lineRule="auto"/>
        <w:ind w:left="242" w:right="220"/>
      </w:pPr>
      <w:r>
        <w:t>Pursuant to item 601(b)(4)(iii)(A) of Regulation S-K, the Company is not filing certain documents. The Company agrees to furnish a copy of each such document upon the request of the Commission.</w:t>
      </w:r>
    </w:p>
    <w:p w14:paraId="7326D361" w14:textId="77777777" w:rsidR="00EF3DFB" w:rsidRDefault="00EF3DFB">
      <w:pPr>
        <w:pStyle w:val="BodyText"/>
        <w:spacing w:before="11"/>
      </w:pPr>
    </w:p>
    <w:p w14:paraId="7326D362" w14:textId="77777777" w:rsidR="00EF3DFB" w:rsidRDefault="00D27C17">
      <w:pPr>
        <w:pStyle w:val="BodyText"/>
        <w:ind w:left="242"/>
      </w:pPr>
      <w:r>
        <w:t>ITEM 10 — MATERIAL CONTR</w:t>
      </w:r>
      <w:r>
        <w:t>ACTS</w:t>
      </w:r>
    </w:p>
    <w:p w14:paraId="7326D363" w14:textId="77777777" w:rsidR="00EF3DFB" w:rsidRDefault="00EF3DFB">
      <w:pPr>
        <w:sectPr w:rsidR="00EF3DFB">
          <w:pgSz w:w="12240" w:h="15840"/>
          <w:pgMar w:top="760" w:right="640" w:bottom="480" w:left="620" w:header="0" w:footer="291" w:gutter="0"/>
          <w:cols w:space="720"/>
        </w:sectPr>
      </w:pPr>
    </w:p>
    <w:p w14:paraId="7326D364" w14:textId="77777777" w:rsidR="00EF3DFB" w:rsidRDefault="00D27C17">
      <w:pPr>
        <w:pStyle w:val="ListParagraph"/>
        <w:numPr>
          <w:ilvl w:val="1"/>
          <w:numId w:val="12"/>
        </w:numPr>
        <w:tabs>
          <w:tab w:val="left" w:pos="594"/>
          <w:tab w:val="left" w:pos="2207"/>
        </w:tabs>
        <w:spacing w:before="64" w:line="249" w:lineRule="auto"/>
        <w:ind w:right="755" w:hanging="1965"/>
        <w:rPr>
          <w:sz w:val="20"/>
        </w:rPr>
      </w:pPr>
      <w:r>
        <w:rPr>
          <w:sz w:val="20"/>
        </w:rPr>
        <w:lastRenderedPageBreak/>
        <w:t>*</w:t>
      </w:r>
      <w:r>
        <w:rPr>
          <w:sz w:val="20"/>
        </w:rPr>
        <w:tab/>
      </w:r>
      <w:hyperlink r:id="rId78">
        <w:r>
          <w:rPr>
            <w:color w:val="0000FF"/>
            <w:sz w:val="20"/>
            <w:u w:val="single" w:color="0000FF"/>
          </w:rPr>
          <w:t>Newell Rubbermaid Inc. Deferred Compensation Plan as amended and restated April 1, 2013</w:t>
        </w:r>
      </w:hyperlink>
      <w:hyperlink r:id="rId79">
        <w:r>
          <w:rPr>
            <w:color w:val="0000FF"/>
            <w:sz w:val="20"/>
            <w:u w:val="single" w:color="0000FF"/>
          </w:rPr>
          <w:t xml:space="preserve"> (incorporated by reference to Exhibit 10.5 to the Company’s Quarterly Report on Form 10-Q for</w:t>
        </w:r>
        <w:r>
          <w:rPr>
            <w:color w:val="0000FF"/>
            <w:spacing w:val="-33"/>
            <w:sz w:val="20"/>
            <w:u w:val="single" w:color="0000FF"/>
          </w:rPr>
          <w:t xml:space="preserve"> </w:t>
        </w:r>
        <w:r>
          <w:rPr>
            <w:color w:val="0000FF"/>
            <w:sz w:val="20"/>
            <w:u w:val="single" w:color="0000FF"/>
          </w:rPr>
          <w:t>the</w:t>
        </w:r>
      </w:hyperlink>
      <w:hyperlink r:id="rId80">
        <w:r>
          <w:rPr>
            <w:color w:val="0000FF"/>
            <w:sz w:val="20"/>
            <w:u w:val="single" w:color="0000FF"/>
          </w:rPr>
          <w:t xml:space="preserve"> quarterly period ended June 30, 2013, File No.</w:t>
        </w:r>
        <w:r>
          <w:rPr>
            <w:color w:val="0000FF"/>
            <w:spacing w:val="-4"/>
            <w:sz w:val="20"/>
            <w:u w:val="single" w:color="0000FF"/>
          </w:rPr>
          <w:t xml:space="preserve"> </w:t>
        </w:r>
        <w:r>
          <w:rPr>
            <w:color w:val="0000FF"/>
            <w:sz w:val="20"/>
            <w:u w:val="single" w:color="0000FF"/>
          </w:rPr>
          <w:t>001-09608).</w:t>
        </w:r>
      </w:hyperlink>
    </w:p>
    <w:p w14:paraId="7326D365" w14:textId="77777777" w:rsidR="00EF3DFB" w:rsidRDefault="00EF3DFB">
      <w:pPr>
        <w:pStyle w:val="BodyText"/>
        <w:spacing w:before="9"/>
        <w:rPr>
          <w:sz w:val="11"/>
        </w:rPr>
      </w:pPr>
    </w:p>
    <w:p w14:paraId="7326D366" w14:textId="77777777" w:rsidR="00EF3DFB" w:rsidRDefault="00D27C17">
      <w:pPr>
        <w:pStyle w:val="ListParagraph"/>
        <w:numPr>
          <w:ilvl w:val="1"/>
          <w:numId w:val="12"/>
        </w:numPr>
        <w:tabs>
          <w:tab w:val="left" w:pos="594"/>
          <w:tab w:val="left" w:pos="2207"/>
        </w:tabs>
        <w:spacing w:before="92" w:line="249" w:lineRule="auto"/>
        <w:ind w:right="373" w:hanging="1965"/>
        <w:rPr>
          <w:sz w:val="20"/>
        </w:rPr>
      </w:pPr>
      <w:r>
        <w:rPr>
          <w:sz w:val="20"/>
        </w:rPr>
        <w:t>*</w:t>
      </w:r>
      <w:r>
        <w:rPr>
          <w:sz w:val="20"/>
        </w:rPr>
        <w:tab/>
      </w:r>
      <w:hyperlink r:id="rId81">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2008</w:t>
        </w:r>
        <w:r>
          <w:rPr>
            <w:color w:val="0000FF"/>
            <w:spacing w:val="-3"/>
            <w:sz w:val="20"/>
            <w:u w:val="single" w:color="0000FF"/>
          </w:rPr>
          <w:t xml:space="preserve"> </w:t>
        </w:r>
        <w:r>
          <w:rPr>
            <w:color w:val="0000FF"/>
            <w:sz w:val="20"/>
            <w:u w:val="single" w:color="0000FF"/>
          </w:rPr>
          <w:t>Deferred</w:t>
        </w:r>
        <w:r>
          <w:rPr>
            <w:color w:val="0000FF"/>
            <w:spacing w:val="-3"/>
            <w:sz w:val="20"/>
            <w:u w:val="single" w:color="0000FF"/>
          </w:rPr>
          <w:t xml:space="preserve"> </w:t>
        </w:r>
        <w:r>
          <w:rPr>
            <w:color w:val="0000FF"/>
            <w:sz w:val="20"/>
            <w:u w:val="single" w:color="0000FF"/>
          </w:rPr>
          <w:t>Compensation</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January</w:t>
        </w:r>
        <w:r>
          <w:rPr>
            <w:color w:val="0000FF"/>
            <w:spacing w:val="-3"/>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2019</w:t>
        </w:r>
      </w:hyperlink>
      <w:hyperlink r:id="rId82">
        <w:r>
          <w:rPr>
            <w:color w:val="0000FF"/>
            <w:sz w:val="20"/>
            <w:u w:val="single" w:color="0000FF"/>
          </w:rPr>
          <w:t xml:space="preserve"> (incorporated by reference to Exhibit 10.2 to the Company’s Report on Form 10-K for the year ended</w:t>
        </w:r>
      </w:hyperlink>
      <w:hyperlink r:id="rId83">
        <w:r>
          <w:rPr>
            <w:color w:val="0000FF"/>
            <w:sz w:val="20"/>
            <w:u w:val="single" w:color="0000FF"/>
          </w:rPr>
          <w:t xml:space="preserve"> December 31, 2018, File No.</w:t>
        </w:r>
        <w:r>
          <w:rPr>
            <w:color w:val="0000FF"/>
            <w:spacing w:val="-2"/>
            <w:sz w:val="20"/>
            <w:u w:val="single" w:color="0000FF"/>
          </w:rPr>
          <w:t xml:space="preserve"> </w:t>
        </w:r>
        <w:r>
          <w:rPr>
            <w:color w:val="0000FF"/>
            <w:sz w:val="20"/>
            <w:u w:val="single" w:color="0000FF"/>
          </w:rPr>
          <w:t>001-09608).</w:t>
        </w:r>
      </w:hyperlink>
    </w:p>
    <w:p w14:paraId="7326D367" w14:textId="77777777" w:rsidR="00EF3DFB" w:rsidRDefault="00EF3DFB">
      <w:pPr>
        <w:pStyle w:val="BodyText"/>
        <w:spacing w:before="6"/>
        <w:rPr>
          <w:sz w:val="10"/>
        </w:rPr>
      </w:pPr>
    </w:p>
    <w:p w14:paraId="7326D368" w14:textId="77777777" w:rsidR="00EF3DFB" w:rsidRDefault="00D27C17">
      <w:pPr>
        <w:pStyle w:val="ListParagraph"/>
        <w:numPr>
          <w:ilvl w:val="1"/>
          <w:numId w:val="12"/>
        </w:numPr>
        <w:tabs>
          <w:tab w:val="left" w:pos="594"/>
          <w:tab w:val="left" w:pos="2207"/>
        </w:tabs>
        <w:spacing w:before="92" w:line="249" w:lineRule="auto"/>
        <w:ind w:right="235" w:hanging="1965"/>
        <w:rPr>
          <w:sz w:val="20"/>
        </w:rPr>
      </w:pPr>
      <w:r>
        <w:rPr>
          <w:sz w:val="20"/>
        </w:rPr>
        <w:t>*</w:t>
      </w:r>
      <w:r>
        <w:rPr>
          <w:sz w:val="20"/>
        </w:rPr>
        <w:tab/>
      </w:r>
      <w:hyperlink r:id="rId84">
        <w:r>
          <w:rPr>
            <w:color w:val="0000FF"/>
            <w:sz w:val="20"/>
            <w:u w:val="single" w:color="0000FF"/>
          </w:rPr>
          <w:t>Second</w:t>
        </w:r>
        <w:r>
          <w:rPr>
            <w:color w:val="0000FF"/>
            <w:spacing w:val="-4"/>
            <w:sz w:val="20"/>
            <w:u w:val="single" w:color="0000FF"/>
          </w:rPr>
          <w:t xml:space="preserve"> </w:t>
        </w:r>
        <w:r>
          <w:rPr>
            <w:color w:val="0000FF"/>
            <w:sz w:val="20"/>
            <w:u w:val="single" w:color="0000FF"/>
          </w:rPr>
          <w:t>Amendment</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Rubbermaid</w:t>
        </w:r>
        <w:r>
          <w:rPr>
            <w:color w:val="0000FF"/>
            <w:spacing w:val="-4"/>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2008</w:t>
        </w:r>
        <w:r>
          <w:rPr>
            <w:color w:val="0000FF"/>
            <w:spacing w:val="-4"/>
            <w:sz w:val="20"/>
            <w:u w:val="single" w:color="0000FF"/>
          </w:rPr>
          <w:t xml:space="preserve"> </w:t>
        </w:r>
        <w:r>
          <w:rPr>
            <w:color w:val="0000FF"/>
            <w:sz w:val="20"/>
            <w:u w:val="single" w:color="0000FF"/>
          </w:rPr>
          <w:t>Deferred</w:t>
        </w:r>
        <w:r>
          <w:rPr>
            <w:color w:val="0000FF"/>
            <w:spacing w:val="-4"/>
            <w:sz w:val="20"/>
            <w:u w:val="single" w:color="0000FF"/>
          </w:rPr>
          <w:t xml:space="preserve"> </w:t>
        </w:r>
        <w:r>
          <w:rPr>
            <w:color w:val="0000FF"/>
            <w:sz w:val="20"/>
            <w:u w:val="single" w:color="0000FF"/>
          </w:rPr>
          <w:t>Compensation</w:t>
        </w:r>
        <w:r>
          <w:rPr>
            <w:color w:val="0000FF"/>
            <w:spacing w:val="-4"/>
            <w:sz w:val="20"/>
            <w:u w:val="single" w:color="0000FF"/>
          </w:rPr>
          <w:t xml:space="preserve"> </w:t>
        </w:r>
        <w:r>
          <w:rPr>
            <w:color w:val="0000FF"/>
            <w:sz w:val="20"/>
            <w:u w:val="single" w:color="0000FF"/>
          </w:rPr>
          <w:t>Plan,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amended,</w:t>
        </w:r>
        <w:r>
          <w:rPr>
            <w:color w:val="0000FF"/>
            <w:spacing w:val="-4"/>
            <w:sz w:val="20"/>
            <w:u w:val="single" w:color="0000FF"/>
          </w:rPr>
          <w:t xml:space="preserve"> </w:t>
        </w:r>
        <w:r>
          <w:rPr>
            <w:color w:val="0000FF"/>
            <w:sz w:val="20"/>
            <w:u w:val="single" w:color="0000FF"/>
          </w:rPr>
          <w:t>dated</w:t>
        </w:r>
      </w:hyperlink>
      <w:hyperlink r:id="rId85">
        <w:r>
          <w:rPr>
            <w:color w:val="0000FF"/>
            <w:sz w:val="20"/>
            <w:u w:val="single" w:color="0000FF"/>
          </w:rPr>
          <w:t xml:space="preserve"> November 8, 2017 (incorporated by reference to Exhibit 10.4 to the Company’s Report on Form 10-K for</w:t>
        </w:r>
      </w:hyperlink>
      <w:hyperlink r:id="rId86">
        <w:r>
          <w:rPr>
            <w:color w:val="0000FF"/>
            <w:sz w:val="20"/>
            <w:u w:val="single" w:color="0000FF"/>
          </w:rPr>
          <w:t xml:space="preserve"> the year ended December 31, 2018, File No.</w:t>
        </w:r>
        <w:r>
          <w:rPr>
            <w:color w:val="0000FF"/>
            <w:spacing w:val="-4"/>
            <w:sz w:val="20"/>
            <w:u w:val="single" w:color="0000FF"/>
          </w:rPr>
          <w:t xml:space="preserve"> </w:t>
        </w:r>
        <w:r>
          <w:rPr>
            <w:color w:val="0000FF"/>
            <w:sz w:val="20"/>
            <w:u w:val="single" w:color="0000FF"/>
          </w:rPr>
          <w:t>001-09608).</w:t>
        </w:r>
      </w:hyperlink>
    </w:p>
    <w:p w14:paraId="7326D369" w14:textId="77777777" w:rsidR="00EF3DFB" w:rsidRDefault="00D27C17">
      <w:pPr>
        <w:pStyle w:val="ListParagraph"/>
        <w:numPr>
          <w:ilvl w:val="1"/>
          <w:numId w:val="12"/>
        </w:numPr>
        <w:tabs>
          <w:tab w:val="left" w:pos="594"/>
          <w:tab w:val="left" w:pos="2207"/>
        </w:tabs>
        <w:spacing w:before="152" w:line="249" w:lineRule="auto"/>
        <w:ind w:right="244" w:hanging="1965"/>
        <w:rPr>
          <w:sz w:val="20"/>
        </w:rPr>
      </w:pPr>
      <w:r>
        <w:rPr>
          <w:sz w:val="20"/>
        </w:rPr>
        <w:t>*</w:t>
      </w:r>
      <w:r>
        <w:rPr>
          <w:sz w:val="20"/>
        </w:rPr>
        <w:tab/>
      </w:r>
      <w:hyperlink r:id="rId87">
        <w:r>
          <w:rPr>
            <w:color w:val="0000FF"/>
            <w:sz w:val="20"/>
            <w:u w:val="single" w:color="0000FF"/>
          </w:rPr>
          <w:t>Third Amendment to the Newell Rubbermaid Inc. 200</w:t>
        </w:r>
        <w:r>
          <w:rPr>
            <w:color w:val="0000FF"/>
            <w:sz w:val="20"/>
            <w:u w:val="single" w:color="0000FF"/>
          </w:rPr>
          <w:t>8 Deferred Compensation Plan, as amended, dated</w:t>
        </w:r>
      </w:hyperlink>
      <w:hyperlink r:id="rId88">
        <w:r>
          <w:rPr>
            <w:color w:val="0000FF"/>
            <w:sz w:val="20"/>
            <w:u w:val="single" w:color="0000FF"/>
          </w:rPr>
          <w:t xml:space="preserve"> December 19, 2018 (incorporated by reference to Exhibit 10.3 to the Company’s Report on Form 10-K</w:t>
        </w:r>
        <w:r>
          <w:rPr>
            <w:color w:val="0000FF"/>
            <w:spacing w:val="-33"/>
            <w:sz w:val="20"/>
            <w:u w:val="single" w:color="0000FF"/>
          </w:rPr>
          <w:t xml:space="preserve"> </w:t>
        </w:r>
        <w:r>
          <w:rPr>
            <w:color w:val="0000FF"/>
            <w:sz w:val="20"/>
            <w:u w:val="single" w:color="0000FF"/>
          </w:rPr>
          <w:t>for</w:t>
        </w:r>
      </w:hyperlink>
      <w:hyperlink r:id="rId89">
        <w:r>
          <w:rPr>
            <w:color w:val="0000FF"/>
            <w:sz w:val="20"/>
            <w:u w:val="single" w:color="0000FF"/>
          </w:rPr>
          <w:t xml:space="preserve"> the year ended December 31, 2018, File No.</w:t>
        </w:r>
        <w:r>
          <w:rPr>
            <w:color w:val="0000FF"/>
            <w:spacing w:val="-4"/>
            <w:sz w:val="20"/>
            <w:u w:val="single" w:color="0000FF"/>
          </w:rPr>
          <w:t xml:space="preserve"> </w:t>
        </w:r>
        <w:r>
          <w:rPr>
            <w:color w:val="0000FF"/>
            <w:sz w:val="20"/>
            <w:u w:val="single" w:color="0000FF"/>
          </w:rPr>
          <w:t>001-09608).</w:t>
        </w:r>
      </w:hyperlink>
    </w:p>
    <w:p w14:paraId="7326D36A" w14:textId="77777777" w:rsidR="00EF3DFB" w:rsidRDefault="00EF3DFB">
      <w:pPr>
        <w:pStyle w:val="BodyText"/>
        <w:spacing w:before="9"/>
        <w:rPr>
          <w:sz w:val="11"/>
        </w:rPr>
      </w:pPr>
    </w:p>
    <w:p w14:paraId="7326D36B" w14:textId="77777777" w:rsidR="00EF3DFB" w:rsidRDefault="00D27C17">
      <w:pPr>
        <w:pStyle w:val="ListParagraph"/>
        <w:numPr>
          <w:ilvl w:val="1"/>
          <w:numId w:val="12"/>
        </w:numPr>
        <w:tabs>
          <w:tab w:val="left" w:pos="594"/>
          <w:tab w:val="left" w:pos="2207"/>
        </w:tabs>
        <w:spacing w:before="92" w:line="249" w:lineRule="auto"/>
        <w:ind w:right="310" w:hanging="1965"/>
        <w:rPr>
          <w:sz w:val="20"/>
        </w:rPr>
      </w:pPr>
      <w:r>
        <w:rPr>
          <w:sz w:val="20"/>
        </w:rPr>
        <w:t>*</w:t>
      </w:r>
      <w:r>
        <w:rPr>
          <w:sz w:val="20"/>
        </w:rPr>
        <w:tab/>
      </w:r>
      <w:hyperlink r:id="rId90">
        <w:r>
          <w:rPr>
            <w:color w:val="0000FF"/>
            <w:sz w:val="20"/>
            <w:u w:val="single" w:color="0000FF"/>
          </w:rPr>
          <w:t>First Amendment to the Newell Rubbermaid Inc. 2008 Deferred Compensation Plan, as amended, dated</w:t>
        </w:r>
      </w:hyperlink>
      <w:hyperlink r:id="rId91">
        <w:r>
          <w:rPr>
            <w:color w:val="0000FF"/>
            <w:sz w:val="20"/>
            <w:u w:val="single" w:color="0000FF"/>
          </w:rPr>
          <w:t xml:space="preserve"> August 9, 2017 (incorporated </w:t>
        </w:r>
        <w:r>
          <w:rPr>
            <w:color w:val="0000FF"/>
            <w:sz w:val="20"/>
            <w:u w:val="single" w:color="0000FF"/>
          </w:rPr>
          <w:t>by reference to Exhibit 10.1 to the Company’s Current Report on Form</w:t>
        </w:r>
        <w:r>
          <w:rPr>
            <w:color w:val="0000FF"/>
            <w:spacing w:val="-32"/>
            <w:sz w:val="20"/>
            <w:u w:val="single" w:color="0000FF"/>
          </w:rPr>
          <w:t xml:space="preserve"> </w:t>
        </w:r>
        <w:r>
          <w:rPr>
            <w:color w:val="0000FF"/>
            <w:sz w:val="20"/>
            <w:u w:val="single" w:color="0000FF"/>
          </w:rPr>
          <w:t>8-K</w:t>
        </w:r>
      </w:hyperlink>
      <w:hyperlink r:id="rId92">
        <w:r>
          <w:rPr>
            <w:color w:val="0000FF"/>
            <w:sz w:val="20"/>
            <w:u w:val="single" w:color="0000FF"/>
          </w:rPr>
          <w:t xml:space="preserve"> dated August 9, 2017 File No.</w:t>
        </w:r>
        <w:r>
          <w:rPr>
            <w:color w:val="0000FF"/>
            <w:spacing w:val="-3"/>
            <w:sz w:val="20"/>
            <w:u w:val="single" w:color="0000FF"/>
          </w:rPr>
          <w:t xml:space="preserve"> </w:t>
        </w:r>
        <w:r>
          <w:rPr>
            <w:color w:val="0000FF"/>
            <w:sz w:val="20"/>
            <w:u w:val="single" w:color="0000FF"/>
          </w:rPr>
          <w:t>001-09608).</w:t>
        </w:r>
      </w:hyperlink>
    </w:p>
    <w:p w14:paraId="7326D36C" w14:textId="77777777" w:rsidR="00EF3DFB" w:rsidRDefault="00EF3DFB">
      <w:pPr>
        <w:pStyle w:val="BodyText"/>
        <w:spacing w:before="1"/>
        <w:rPr>
          <w:sz w:val="13"/>
        </w:rPr>
      </w:pPr>
    </w:p>
    <w:p w14:paraId="7326D36D" w14:textId="77777777" w:rsidR="00EF3DFB" w:rsidRDefault="00D27C17">
      <w:pPr>
        <w:pStyle w:val="ListParagraph"/>
        <w:numPr>
          <w:ilvl w:val="1"/>
          <w:numId w:val="12"/>
        </w:numPr>
        <w:tabs>
          <w:tab w:val="left" w:pos="594"/>
          <w:tab w:val="left" w:pos="2207"/>
        </w:tabs>
        <w:spacing w:before="92" w:line="249" w:lineRule="auto"/>
        <w:ind w:right="305" w:hanging="1965"/>
        <w:rPr>
          <w:sz w:val="20"/>
        </w:rPr>
      </w:pPr>
      <w:r>
        <w:rPr>
          <w:sz w:val="20"/>
        </w:rPr>
        <w:t>*</w:t>
      </w:r>
      <w:r>
        <w:rPr>
          <w:sz w:val="20"/>
        </w:rPr>
        <w:tab/>
      </w:r>
      <w:hyperlink r:id="rId93">
        <w:r>
          <w:rPr>
            <w:color w:val="0000FF"/>
            <w:sz w:val="20"/>
            <w:u w:val="single" w:color="0000FF"/>
          </w:rPr>
          <w:t>Newell Rubbermaid Inc. 2002 Deferred Compensation Plan, as amended and restated as of January 1,</w:t>
        </w:r>
      </w:hyperlink>
      <w:hyperlink r:id="rId94">
        <w:r>
          <w:rPr>
            <w:color w:val="0000FF"/>
            <w:sz w:val="20"/>
            <w:u w:val="single" w:color="0000FF"/>
          </w:rPr>
          <w:t xml:space="preserve"> 2004 (incorporated by reference to Exhibit 10.1 to the Company’s Quarterly Report on Form 10-Q for</w:t>
        </w:r>
        <w:r>
          <w:rPr>
            <w:color w:val="0000FF"/>
            <w:spacing w:val="-33"/>
            <w:sz w:val="20"/>
            <w:u w:val="single" w:color="0000FF"/>
          </w:rPr>
          <w:t xml:space="preserve"> </w:t>
        </w:r>
        <w:r>
          <w:rPr>
            <w:color w:val="0000FF"/>
            <w:sz w:val="20"/>
            <w:u w:val="single" w:color="0000FF"/>
          </w:rPr>
          <w:t>the</w:t>
        </w:r>
      </w:hyperlink>
      <w:hyperlink r:id="rId95">
        <w:r>
          <w:rPr>
            <w:color w:val="0000FF"/>
            <w:sz w:val="20"/>
            <w:u w:val="single" w:color="0000FF"/>
          </w:rPr>
          <w:t xml:space="preserve"> quarterly period ended March 31, 2004, File No.</w:t>
        </w:r>
        <w:r>
          <w:rPr>
            <w:color w:val="0000FF"/>
            <w:spacing w:val="46"/>
            <w:sz w:val="20"/>
            <w:u w:val="single" w:color="0000FF"/>
          </w:rPr>
          <w:t xml:space="preserve"> </w:t>
        </w:r>
        <w:r>
          <w:rPr>
            <w:color w:val="0000FF"/>
            <w:sz w:val="20"/>
            <w:u w:val="single" w:color="0000FF"/>
          </w:rPr>
          <w:t>001-09608).</w:t>
        </w:r>
      </w:hyperlink>
    </w:p>
    <w:p w14:paraId="7326D36E" w14:textId="77777777" w:rsidR="00EF3DFB" w:rsidRDefault="00EF3DFB">
      <w:pPr>
        <w:pStyle w:val="BodyText"/>
        <w:spacing w:before="6"/>
        <w:rPr>
          <w:sz w:val="10"/>
        </w:rPr>
      </w:pPr>
    </w:p>
    <w:p w14:paraId="7326D36F" w14:textId="77777777" w:rsidR="00EF3DFB" w:rsidRDefault="00D27C17">
      <w:pPr>
        <w:pStyle w:val="ListParagraph"/>
        <w:numPr>
          <w:ilvl w:val="1"/>
          <w:numId w:val="12"/>
        </w:numPr>
        <w:tabs>
          <w:tab w:val="left" w:pos="594"/>
          <w:tab w:val="left" w:pos="2207"/>
        </w:tabs>
        <w:spacing w:before="92" w:line="249" w:lineRule="auto"/>
        <w:ind w:right="647" w:hanging="1965"/>
        <w:rPr>
          <w:sz w:val="20"/>
        </w:rPr>
      </w:pPr>
      <w:r>
        <w:rPr>
          <w:sz w:val="20"/>
        </w:rPr>
        <w:t>*</w:t>
      </w:r>
      <w:r>
        <w:rPr>
          <w:sz w:val="20"/>
        </w:rPr>
        <w:tab/>
      </w:r>
      <w:hyperlink r:id="rId96">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Deferred</w:t>
        </w:r>
        <w:r>
          <w:rPr>
            <w:color w:val="0000FF"/>
            <w:spacing w:val="-3"/>
            <w:sz w:val="20"/>
            <w:u w:val="single" w:color="0000FF"/>
          </w:rPr>
          <w:t xml:space="preserve"> </w:t>
        </w:r>
        <w:r>
          <w:rPr>
            <w:color w:val="0000FF"/>
            <w:sz w:val="20"/>
            <w:u w:val="single" w:color="0000FF"/>
          </w:rPr>
          <w:t>Comp</w:t>
        </w:r>
        <w:r>
          <w:rPr>
            <w:color w:val="0000FF"/>
            <w:sz w:val="20"/>
            <w:u w:val="single" w:color="0000FF"/>
          </w:rPr>
          <w:t>ensation</w:t>
        </w:r>
        <w:r>
          <w:rPr>
            <w:color w:val="0000FF"/>
            <w:spacing w:val="-3"/>
            <w:sz w:val="20"/>
            <w:u w:val="single" w:color="0000FF"/>
          </w:rPr>
          <w:t xml:space="preserve"> </w:t>
        </w:r>
        <w:r>
          <w:rPr>
            <w:color w:val="0000FF"/>
            <w:sz w:val="20"/>
            <w:u w:val="single" w:color="0000FF"/>
          </w:rPr>
          <w:t>Plans</w:t>
        </w:r>
        <w:r>
          <w:rPr>
            <w:color w:val="0000FF"/>
            <w:spacing w:val="-4"/>
            <w:sz w:val="20"/>
            <w:u w:val="single" w:color="0000FF"/>
          </w:rPr>
          <w:t xml:space="preserve"> </w:t>
        </w:r>
        <w:r>
          <w:rPr>
            <w:color w:val="0000FF"/>
            <w:sz w:val="20"/>
            <w:u w:val="single" w:color="0000FF"/>
          </w:rPr>
          <w:t>Trust</w:t>
        </w:r>
        <w:r>
          <w:rPr>
            <w:color w:val="0000FF"/>
            <w:spacing w:val="-4"/>
            <w:sz w:val="20"/>
            <w:u w:val="single" w:color="0000FF"/>
          </w:rPr>
          <w:t xml:space="preserve"> </w:t>
        </w:r>
        <w:r>
          <w:rPr>
            <w:color w:val="0000FF"/>
            <w:sz w:val="20"/>
            <w:u w:val="single" w:color="0000FF"/>
          </w:rPr>
          <w:t>Agreement,</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June</w:t>
        </w:r>
        <w:r>
          <w:rPr>
            <w:color w:val="0000FF"/>
            <w:spacing w:val="-4"/>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2013</w:t>
        </w:r>
      </w:hyperlink>
      <w:hyperlink r:id="rId97">
        <w:r>
          <w:rPr>
            <w:color w:val="0000FF"/>
            <w:sz w:val="20"/>
            <w:u w:val="single" w:color="0000FF"/>
          </w:rPr>
          <w:t xml:space="preserve"> (incorporated by reference to Exhibit 10.1 to the Company’s Quarterly Report on Form 10-</w:t>
        </w:r>
        <w:r>
          <w:rPr>
            <w:color w:val="0000FF"/>
            <w:sz w:val="20"/>
            <w:u w:val="single" w:color="0000FF"/>
          </w:rPr>
          <w:t>Q for the</w:t>
        </w:r>
      </w:hyperlink>
      <w:hyperlink r:id="rId98">
        <w:r>
          <w:rPr>
            <w:color w:val="0000FF"/>
            <w:sz w:val="20"/>
            <w:u w:val="single" w:color="0000FF"/>
          </w:rPr>
          <w:t xml:space="preserve"> quarterly period ended June 30, 2013, File No.</w:t>
        </w:r>
        <w:r>
          <w:rPr>
            <w:color w:val="0000FF"/>
            <w:spacing w:val="45"/>
            <w:sz w:val="20"/>
            <w:u w:val="single" w:color="0000FF"/>
          </w:rPr>
          <w:t xml:space="preserve"> </w:t>
        </w:r>
        <w:r>
          <w:rPr>
            <w:color w:val="0000FF"/>
            <w:sz w:val="20"/>
            <w:u w:val="single" w:color="0000FF"/>
          </w:rPr>
          <w:t>001-09608).</w:t>
        </w:r>
      </w:hyperlink>
    </w:p>
    <w:p w14:paraId="7326D370" w14:textId="77777777" w:rsidR="00EF3DFB" w:rsidRDefault="00EF3DFB">
      <w:pPr>
        <w:pStyle w:val="BodyText"/>
        <w:spacing w:before="9"/>
        <w:rPr>
          <w:sz w:val="11"/>
        </w:rPr>
      </w:pPr>
    </w:p>
    <w:p w14:paraId="7326D371" w14:textId="77777777" w:rsidR="00EF3DFB" w:rsidRDefault="00D27C17">
      <w:pPr>
        <w:pStyle w:val="ListParagraph"/>
        <w:numPr>
          <w:ilvl w:val="1"/>
          <w:numId w:val="12"/>
        </w:numPr>
        <w:tabs>
          <w:tab w:val="left" w:pos="594"/>
          <w:tab w:val="left" w:pos="2207"/>
        </w:tabs>
        <w:spacing w:before="91" w:line="249" w:lineRule="auto"/>
        <w:ind w:right="302" w:hanging="1965"/>
        <w:rPr>
          <w:sz w:val="20"/>
        </w:rPr>
      </w:pPr>
      <w:r>
        <w:rPr>
          <w:sz w:val="20"/>
        </w:rPr>
        <w:t>*</w:t>
      </w:r>
      <w:r>
        <w:rPr>
          <w:sz w:val="20"/>
        </w:rPr>
        <w:tab/>
      </w:r>
      <w:hyperlink r:id="rId99">
        <w:r>
          <w:rPr>
            <w:color w:val="0000FF"/>
            <w:sz w:val="20"/>
            <w:u w:val="single" w:color="0000FF"/>
          </w:rPr>
          <w:t>Amendment</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Rubbermaid</w:t>
        </w:r>
        <w:r>
          <w:rPr>
            <w:color w:val="0000FF"/>
            <w:spacing w:val="-4"/>
            <w:sz w:val="20"/>
            <w:u w:val="single" w:color="0000FF"/>
          </w:rPr>
          <w:t xml:space="preserve"> </w:t>
        </w:r>
        <w:r>
          <w:rPr>
            <w:color w:val="0000FF"/>
            <w:sz w:val="20"/>
            <w:u w:val="single" w:color="0000FF"/>
          </w:rPr>
          <w:t>Supplemental</w:t>
        </w:r>
        <w:r>
          <w:rPr>
            <w:color w:val="0000FF"/>
            <w:spacing w:val="-5"/>
            <w:sz w:val="20"/>
            <w:u w:val="single" w:color="0000FF"/>
          </w:rPr>
          <w:t xml:space="preserve"> </w:t>
        </w:r>
        <w:r>
          <w:rPr>
            <w:color w:val="0000FF"/>
            <w:sz w:val="20"/>
            <w:u w:val="single" w:color="0000FF"/>
          </w:rPr>
          <w:t>Executive</w:t>
        </w:r>
        <w:r>
          <w:rPr>
            <w:color w:val="0000FF"/>
            <w:spacing w:val="-5"/>
            <w:sz w:val="20"/>
            <w:u w:val="single" w:color="0000FF"/>
          </w:rPr>
          <w:t xml:space="preserve"> </w:t>
        </w:r>
        <w:r>
          <w:rPr>
            <w:color w:val="0000FF"/>
            <w:sz w:val="20"/>
            <w:u w:val="single" w:color="0000FF"/>
          </w:rPr>
          <w:t>Retirement</w:t>
        </w:r>
        <w:r>
          <w:rPr>
            <w:color w:val="0000FF"/>
            <w:spacing w:val="-5"/>
            <w:sz w:val="20"/>
            <w:u w:val="single" w:color="0000FF"/>
          </w:rPr>
          <w:t xml:space="preserve"> </w:t>
        </w:r>
        <w:r>
          <w:rPr>
            <w:color w:val="0000FF"/>
            <w:sz w:val="20"/>
            <w:u w:val="single" w:color="0000FF"/>
          </w:rPr>
          <w:t>Plan,</w:t>
        </w:r>
        <w:r>
          <w:rPr>
            <w:color w:val="0000FF"/>
            <w:spacing w:val="-4"/>
            <w:sz w:val="20"/>
            <w:u w:val="single" w:color="0000FF"/>
          </w:rPr>
          <w:t xml:space="preserve"> </w:t>
        </w:r>
        <w:r>
          <w:rPr>
            <w:color w:val="0000FF"/>
            <w:sz w:val="20"/>
            <w:u w:val="single" w:color="0000FF"/>
          </w:rPr>
          <w:t>dated</w:t>
        </w:r>
        <w:r>
          <w:rPr>
            <w:color w:val="0000FF"/>
            <w:spacing w:val="-4"/>
            <w:sz w:val="20"/>
            <w:u w:val="single" w:color="0000FF"/>
          </w:rPr>
          <w:t xml:space="preserve"> </w:t>
        </w:r>
        <w:r>
          <w:rPr>
            <w:color w:val="0000FF"/>
            <w:sz w:val="20"/>
            <w:u w:val="single" w:color="0000FF"/>
          </w:rPr>
          <w:t>October</w:t>
        </w:r>
        <w:r>
          <w:rPr>
            <w:color w:val="0000FF"/>
            <w:spacing w:val="-4"/>
            <w:sz w:val="20"/>
            <w:u w:val="single" w:color="0000FF"/>
          </w:rPr>
          <w:t xml:space="preserve"> </w:t>
        </w:r>
        <w:r>
          <w:rPr>
            <w:color w:val="0000FF"/>
            <w:sz w:val="20"/>
            <w:u w:val="single" w:color="0000FF"/>
          </w:rPr>
          <w:t>30,</w:t>
        </w:r>
        <w:r>
          <w:rPr>
            <w:color w:val="0000FF"/>
            <w:spacing w:val="-4"/>
            <w:sz w:val="20"/>
            <w:u w:val="single" w:color="0000FF"/>
          </w:rPr>
          <w:t xml:space="preserve"> </w:t>
        </w:r>
        <w:r>
          <w:rPr>
            <w:color w:val="0000FF"/>
            <w:sz w:val="20"/>
            <w:u w:val="single" w:color="0000FF"/>
          </w:rPr>
          <w:t>2018</w:t>
        </w:r>
      </w:hyperlink>
      <w:hyperlink r:id="rId100">
        <w:r>
          <w:rPr>
            <w:color w:val="0000FF"/>
            <w:sz w:val="20"/>
            <w:u w:val="single" w:color="0000FF"/>
          </w:rPr>
          <w:t xml:space="preserve"> (incorporated by reference to Exhibit 10.8 to the Company’s Annual Report on Form 10-K for the fiscal</w:t>
        </w:r>
      </w:hyperlink>
      <w:hyperlink r:id="rId101">
        <w:r>
          <w:rPr>
            <w:color w:val="0000FF"/>
            <w:sz w:val="20"/>
            <w:u w:val="single" w:color="0000FF"/>
          </w:rPr>
          <w:t xml:space="preserve"> year end</w:t>
        </w:r>
        <w:r>
          <w:rPr>
            <w:color w:val="0000FF"/>
            <w:sz w:val="20"/>
            <w:u w:val="single" w:color="0000FF"/>
          </w:rPr>
          <w:t>ed December 31, 2018, File No.</w:t>
        </w:r>
        <w:r>
          <w:rPr>
            <w:color w:val="0000FF"/>
            <w:spacing w:val="-3"/>
            <w:sz w:val="20"/>
            <w:u w:val="single" w:color="0000FF"/>
          </w:rPr>
          <w:t xml:space="preserve"> </w:t>
        </w:r>
        <w:r>
          <w:rPr>
            <w:color w:val="0000FF"/>
            <w:sz w:val="20"/>
            <w:u w:val="single" w:color="0000FF"/>
          </w:rPr>
          <w:t>001-09608).</w:t>
        </w:r>
      </w:hyperlink>
    </w:p>
    <w:p w14:paraId="7326D372" w14:textId="77777777" w:rsidR="00EF3DFB" w:rsidRDefault="00EF3DFB">
      <w:pPr>
        <w:pStyle w:val="BodyText"/>
        <w:spacing w:before="10"/>
        <w:rPr>
          <w:sz w:val="11"/>
        </w:rPr>
      </w:pPr>
    </w:p>
    <w:p w14:paraId="7326D373" w14:textId="77777777" w:rsidR="00EF3DFB" w:rsidRDefault="00D27C17">
      <w:pPr>
        <w:pStyle w:val="ListParagraph"/>
        <w:numPr>
          <w:ilvl w:val="1"/>
          <w:numId w:val="12"/>
        </w:numPr>
        <w:tabs>
          <w:tab w:val="left" w:pos="594"/>
          <w:tab w:val="left" w:pos="2207"/>
        </w:tabs>
        <w:spacing w:before="91" w:line="249" w:lineRule="auto"/>
        <w:ind w:right="650" w:hanging="1965"/>
        <w:rPr>
          <w:sz w:val="20"/>
        </w:rPr>
      </w:pPr>
      <w:r>
        <w:rPr>
          <w:sz w:val="20"/>
        </w:rPr>
        <w:t>*</w:t>
      </w:r>
      <w:r>
        <w:rPr>
          <w:sz w:val="20"/>
        </w:rPr>
        <w:tab/>
      </w:r>
      <w:hyperlink r:id="rId102">
        <w:r>
          <w:rPr>
            <w:color w:val="0000FF"/>
            <w:sz w:val="20"/>
            <w:u w:val="single" w:color="0000FF"/>
          </w:rPr>
          <w:t>Newell Rubbermaid Inc. Supplemental Executive Retirement Plan, effective January 1, 2008</w:t>
        </w:r>
      </w:hyperlink>
      <w:hyperlink r:id="rId103">
        <w:r>
          <w:rPr>
            <w:color w:val="0000FF"/>
            <w:sz w:val="20"/>
            <w:u w:val="single" w:color="0000FF"/>
          </w:rPr>
          <w:t xml:space="preserve"> (incorporated by reference to Exhibit 10.7 to the Company’s Repor</w:t>
        </w:r>
        <w:r>
          <w:rPr>
            <w:color w:val="0000FF"/>
            <w:sz w:val="20"/>
            <w:u w:val="single" w:color="0000FF"/>
          </w:rPr>
          <w:t>t on Form 10-K for the year</w:t>
        </w:r>
        <w:r>
          <w:rPr>
            <w:color w:val="0000FF"/>
            <w:spacing w:val="-33"/>
            <w:sz w:val="20"/>
            <w:u w:val="single" w:color="0000FF"/>
          </w:rPr>
          <w:t xml:space="preserve"> </w:t>
        </w:r>
        <w:r>
          <w:rPr>
            <w:color w:val="0000FF"/>
            <w:sz w:val="20"/>
            <w:u w:val="single" w:color="0000FF"/>
          </w:rPr>
          <w:t>ended</w:t>
        </w:r>
      </w:hyperlink>
      <w:hyperlink r:id="rId104">
        <w:r>
          <w:rPr>
            <w:color w:val="0000FF"/>
            <w:sz w:val="20"/>
            <w:u w:val="single" w:color="0000FF"/>
          </w:rPr>
          <w:t xml:space="preserve"> December 31, 2007, File No.</w:t>
        </w:r>
        <w:r>
          <w:rPr>
            <w:color w:val="0000FF"/>
            <w:spacing w:val="-2"/>
            <w:sz w:val="20"/>
            <w:u w:val="single" w:color="0000FF"/>
          </w:rPr>
          <w:t xml:space="preserve"> </w:t>
        </w:r>
        <w:r>
          <w:rPr>
            <w:color w:val="0000FF"/>
            <w:sz w:val="20"/>
            <w:u w:val="single" w:color="0000FF"/>
          </w:rPr>
          <w:t>001-09608).</w:t>
        </w:r>
      </w:hyperlink>
    </w:p>
    <w:p w14:paraId="7326D374" w14:textId="77777777" w:rsidR="00EF3DFB" w:rsidRDefault="00D27C17">
      <w:pPr>
        <w:pStyle w:val="ListParagraph"/>
        <w:numPr>
          <w:ilvl w:val="1"/>
          <w:numId w:val="12"/>
        </w:numPr>
        <w:tabs>
          <w:tab w:val="left" w:pos="694"/>
          <w:tab w:val="left" w:pos="2207"/>
        </w:tabs>
        <w:spacing w:before="153" w:line="249" w:lineRule="auto"/>
        <w:ind w:right="305" w:hanging="1965"/>
        <w:rPr>
          <w:sz w:val="20"/>
        </w:rPr>
      </w:pPr>
      <w:r>
        <w:rPr>
          <w:sz w:val="20"/>
        </w:rPr>
        <w:t>*</w:t>
      </w:r>
      <w:r>
        <w:rPr>
          <w:sz w:val="20"/>
        </w:rPr>
        <w:tab/>
      </w:r>
      <w:hyperlink r:id="rId105">
        <w:r>
          <w:rPr>
            <w:color w:val="0000FF"/>
            <w:sz w:val="20"/>
            <w:u w:val="single" w:color="0000FF"/>
          </w:rPr>
          <w:t>First Amendment to the Newell Rubbermaid Supplemental Executive Retirement Plan dated August 5,</w:t>
        </w:r>
      </w:hyperlink>
      <w:hyperlink r:id="rId106">
        <w:r>
          <w:rPr>
            <w:color w:val="0000FF"/>
            <w:sz w:val="20"/>
            <w:u w:val="single" w:color="0000FF"/>
          </w:rPr>
          <w:t xml:space="preserve"> 2013 (incorporated by reference to Exhibit 10.6 to the Company’s Quarterly Report on Form 10-Q for</w:t>
        </w:r>
        <w:r>
          <w:rPr>
            <w:color w:val="0000FF"/>
            <w:spacing w:val="-33"/>
            <w:sz w:val="20"/>
            <w:u w:val="single" w:color="0000FF"/>
          </w:rPr>
          <w:t xml:space="preserve"> </w:t>
        </w:r>
        <w:r>
          <w:rPr>
            <w:color w:val="0000FF"/>
            <w:sz w:val="20"/>
            <w:u w:val="single" w:color="0000FF"/>
          </w:rPr>
          <w:t>the</w:t>
        </w:r>
      </w:hyperlink>
      <w:hyperlink r:id="rId107">
        <w:r>
          <w:rPr>
            <w:color w:val="0000FF"/>
            <w:sz w:val="20"/>
            <w:u w:val="single" w:color="0000FF"/>
          </w:rPr>
          <w:t xml:space="preserve"> quarterly period ended June 30, 2013, File No.</w:t>
        </w:r>
        <w:r>
          <w:rPr>
            <w:color w:val="0000FF"/>
            <w:spacing w:val="45"/>
            <w:sz w:val="20"/>
            <w:u w:val="single" w:color="0000FF"/>
          </w:rPr>
          <w:t xml:space="preserve"> </w:t>
        </w:r>
        <w:r>
          <w:rPr>
            <w:color w:val="0000FF"/>
            <w:sz w:val="20"/>
            <w:u w:val="single" w:color="0000FF"/>
          </w:rPr>
          <w:t>001-09608).</w:t>
        </w:r>
      </w:hyperlink>
    </w:p>
    <w:p w14:paraId="7326D375" w14:textId="77777777" w:rsidR="00EF3DFB" w:rsidRDefault="00EF3DFB">
      <w:pPr>
        <w:pStyle w:val="BodyText"/>
        <w:rPr>
          <w:sz w:val="17"/>
        </w:rPr>
      </w:pPr>
    </w:p>
    <w:p w14:paraId="7326D376" w14:textId="77777777" w:rsidR="00EF3DFB" w:rsidRDefault="00D27C17">
      <w:pPr>
        <w:pStyle w:val="ListParagraph"/>
        <w:numPr>
          <w:ilvl w:val="1"/>
          <w:numId w:val="12"/>
        </w:numPr>
        <w:tabs>
          <w:tab w:val="left" w:pos="694"/>
          <w:tab w:val="left" w:pos="2207"/>
        </w:tabs>
        <w:spacing w:before="92" w:line="249" w:lineRule="auto"/>
        <w:ind w:right="518" w:hanging="1965"/>
        <w:jc w:val="both"/>
        <w:rPr>
          <w:sz w:val="20"/>
        </w:rPr>
      </w:pPr>
      <w:r>
        <w:rPr>
          <w:sz w:val="20"/>
        </w:rPr>
        <w:t>*</w:t>
      </w:r>
      <w:r>
        <w:rPr>
          <w:sz w:val="20"/>
        </w:rPr>
        <w:tab/>
      </w:r>
      <w:hyperlink r:id="rId108">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Supplemental</w:t>
        </w:r>
        <w:r>
          <w:rPr>
            <w:color w:val="0000FF"/>
            <w:spacing w:val="-4"/>
            <w:sz w:val="20"/>
            <w:u w:val="single" w:color="0000FF"/>
          </w:rPr>
          <w:t xml:space="preserve"> </w:t>
        </w:r>
        <w:r>
          <w:rPr>
            <w:color w:val="0000FF"/>
            <w:sz w:val="20"/>
            <w:u w:val="single" w:color="0000FF"/>
          </w:rPr>
          <w:t>Employee</w:t>
        </w:r>
        <w:r>
          <w:rPr>
            <w:color w:val="0000FF"/>
            <w:spacing w:val="-4"/>
            <w:sz w:val="20"/>
            <w:u w:val="single" w:color="0000FF"/>
          </w:rPr>
          <w:t xml:space="preserve"> </w:t>
        </w:r>
        <w:r>
          <w:rPr>
            <w:color w:val="0000FF"/>
            <w:sz w:val="20"/>
            <w:u w:val="single" w:color="0000FF"/>
          </w:rPr>
          <w:t>Savings</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January</w:t>
        </w:r>
        <w:r>
          <w:rPr>
            <w:color w:val="0000FF"/>
            <w:spacing w:val="-3"/>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2019</w:t>
        </w:r>
      </w:hyperlink>
      <w:hyperlink r:id="rId109">
        <w:r>
          <w:rPr>
            <w:color w:val="0000FF"/>
            <w:sz w:val="20"/>
            <w:u w:val="single" w:color="0000FF"/>
          </w:rPr>
          <w:t xml:space="preserve"> (incorporated by reference to Exhibit 10.11 to the Company’s Report on Form 10-K for th</w:t>
        </w:r>
        <w:r>
          <w:rPr>
            <w:color w:val="0000FF"/>
            <w:sz w:val="20"/>
            <w:u w:val="single" w:color="0000FF"/>
          </w:rPr>
          <w:t>e year ended</w:t>
        </w:r>
      </w:hyperlink>
      <w:hyperlink r:id="rId110">
        <w:r>
          <w:rPr>
            <w:color w:val="0000FF"/>
            <w:sz w:val="20"/>
            <w:u w:val="single" w:color="0000FF"/>
          </w:rPr>
          <w:t xml:space="preserve"> December 31, 2018, File No.</w:t>
        </w:r>
        <w:r>
          <w:rPr>
            <w:color w:val="0000FF"/>
            <w:spacing w:val="-2"/>
            <w:sz w:val="20"/>
            <w:u w:val="single" w:color="0000FF"/>
          </w:rPr>
          <w:t xml:space="preserve"> </w:t>
        </w:r>
        <w:r>
          <w:rPr>
            <w:color w:val="0000FF"/>
            <w:sz w:val="20"/>
            <w:u w:val="single" w:color="0000FF"/>
          </w:rPr>
          <w:t>006-09608).</w:t>
        </w:r>
      </w:hyperlink>
    </w:p>
    <w:p w14:paraId="7326D377" w14:textId="77777777" w:rsidR="00EF3DFB" w:rsidRDefault="00EF3DFB">
      <w:pPr>
        <w:pStyle w:val="BodyText"/>
        <w:spacing w:before="1"/>
        <w:rPr>
          <w:sz w:val="13"/>
        </w:rPr>
      </w:pPr>
    </w:p>
    <w:p w14:paraId="7326D378" w14:textId="77777777" w:rsidR="00EF3DFB" w:rsidRDefault="00D27C17">
      <w:pPr>
        <w:pStyle w:val="ListParagraph"/>
        <w:numPr>
          <w:ilvl w:val="1"/>
          <w:numId w:val="12"/>
        </w:numPr>
        <w:tabs>
          <w:tab w:val="left" w:pos="694"/>
          <w:tab w:val="left" w:pos="2207"/>
        </w:tabs>
        <w:spacing w:before="92" w:line="249" w:lineRule="auto"/>
        <w:ind w:right="550" w:hanging="1965"/>
        <w:rPr>
          <w:sz w:val="20"/>
        </w:rPr>
      </w:pPr>
      <w:r>
        <w:rPr>
          <w:sz w:val="20"/>
        </w:rPr>
        <w:t>*</w:t>
      </w:r>
      <w:r>
        <w:rPr>
          <w:sz w:val="20"/>
        </w:rPr>
        <w:tab/>
      </w:r>
      <w:hyperlink r:id="rId111">
        <w:r>
          <w:rPr>
            <w:color w:val="0000FF"/>
            <w:sz w:val="20"/>
            <w:u w:val="single" w:color="0000FF"/>
          </w:rPr>
          <w:t>Amendment to the Newell Brands Supplemental Employee Savings Plan, effective January 1, 2018</w:t>
        </w:r>
      </w:hyperlink>
      <w:hyperlink r:id="rId112">
        <w:r>
          <w:rPr>
            <w:color w:val="0000FF"/>
            <w:sz w:val="20"/>
            <w:u w:val="single" w:color="0000FF"/>
          </w:rPr>
          <w:t xml:space="preserve"> (incorporated by reference to Exhibit 10.12 to the Company’s Report on Form 10-K for the year</w:t>
        </w:r>
        <w:r>
          <w:rPr>
            <w:color w:val="0000FF"/>
            <w:spacing w:val="-33"/>
            <w:sz w:val="20"/>
            <w:u w:val="single" w:color="0000FF"/>
          </w:rPr>
          <w:t xml:space="preserve"> </w:t>
        </w:r>
        <w:r>
          <w:rPr>
            <w:color w:val="0000FF"/>
            <w:sz w:val="20"/>
            <w:u w:val="single" w:color="0000FF"/>
          </w:rPr>
          <w:t>ended</w:t>
        </w:r>
      </w:hyperlink>
      <w:hyperlink r:id="rId113">
        <w:r>
          <w:rPr>
            <w:color w:val="0000FF"/>
            <w:sz w:val="20"/>
            <w:u w:val="single" w:color="0000FF"/>
          </w:rPr>
          <w:t xml:space="preserve"> December 31,</w:t>
        </w:r>
        <w:r>
          <w:rPr>
            <w:color w:val="0000FF"/>
            <w:sz w:val="20"/>
            <w:u w:val="single" w:color="0000FF"/>
          </w:rPr>
          <w:t xml:space="preserve"> 2018, File No.</w:t>
        </w:r>
        <w:r>
          <w:rPr>
            <w:color w:val="0000FF"/>
            <w:spacing w:val="-2"/>
            <w:sz w:val="20"/>
            <w:u w:val="single" w:color="0000FF"/>
          </w:rPr>
          <w:t xml:space="preserve"> </w:t>
        </w:r>
        <w:r>
          <w:rPr>
            <w:color w:val="0000FF"/>
            <w:sz w:val="20"/>
            <w:u w:val="single" w:color="0000FF"/>
          </w:rPr>
          <w:t>006-09608).</w:t>
        </w:r>
      </w:hyperlink>
    </w:p>
    <w:p w14:paraId="7326D379" w14:textId="77777777" w:rsidR="00EF3DFB" w:rsidRDefault="00D27C17">
      <w:pPr>
        <w:pStyle w:val="ListParagraph"/>
        <w:numPr>
          <w:ilvl w:val="1"/>
          <w:numId w:val="12"/>
        </w:numPr>
        <w:tabs>
          <w:tab w:val="left" w:pos="694"/>
          <w:tab w:val="left" w:pos="2207"/>
        </w:tabs>
        <w:spacing w:before="122" w:line="249" w:lineRule="auto"/>
        <w:ind w:right="251" w:hanging="1965"/>
        <w:rPr>
          <w:sz w:val="20"/>
        </w:rPr>
      </w:pPr>
      <w:r>
        <w:rPr>
          <w:sz w:val="20"/>
        </w:rPr>
        <w:t>*</w:t>
      </w:r>
      <w:r>
        <w:rPr>
          <w:sz w:val="20"/>
        </w:rPr>
        <w:tab/>
      </w:r>
      <w:hyperlink r:id="rId114">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Supplemental</w:t>
        </w:r>
        <w:r>
          <w:rPr>
            <w:color w:val="0000FF"/>
            <w:spacing w:val="-4"/>
            <w:sz w:val="20"/>
            <w:u w:val="single" w:color="0000FF"/>
          </w:rPr>
          <w:t xml:space="preserve"> </w:t>
        </w:r>
        <w:r>
          <w:rPr>
            <w:color w:val="0000FF"/>
            <w:sz w:val="20"/>
            <w:u w:val="single" w:color="0000FF"/>
          </w:rPr>
          <w:t>Employee</w:t>
        </w:r>
        <w:r>
          <w:rPr>
            <w:color w:val="0000FF"/>
            <w:spacing w:val="-4"/>
            <w:sz w:val="20"/>
            <w:u w:val="single" w:color="0000FF"/>
          </w:rPr>
          <w:t xml:space="preserve"> </w:t>
        </w:r>
        <w:r>
          <w:rPr>
            <w:color w:val="0000FF"/>
            <w:sz w:val="20"/>
            <w:u w:val="single" w:color="0000FF"/>
          </w:rPr>
          <w:t>Savings</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January</w:t>
        </w:r>
        <w:r>
          <w:rPr>
            <w:color w:val="0000FF"/>
            <w:spacing w:val="-3"/>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2018</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hyperlink>
      <w:hyperlink r:id="rId115">
        <w:r>
          <w:rPr>
            <w:color w:val="0000FF"/>
            <w:sz w:val="20"/>
            <w:u w:val="single" w:color="0000FF"/>
          </w:rPr>
          <w:t xml:space="preserve"> Exhibit 10.7 to the Company’s Report on Form 10-K for the year ended December 31, 2017,</w:t>
        </w:r>
        <w:r>
          <w:rPr>
            <w:color w:val="0000FF"/>
            <w:spacing w:val="-20"/>
            <w:sz w:val="20"/>
            <w:u w:val="single" w:color="0000FF"/>
          </w:rPr>
          <w:t xml:space="preserve"> </w:t>
        </w:r>
        <w:r>
          <w:rPr>
            <w:color w:val="0000FF"/>
            <w:sz w:val="20"/>
            <w:u w:val="single" w:color="0000FF"/>
          </w:rPr>
          <w:t>File</w:t>
        </w:r>
      </w:hyperlink>
    </w:p>
    <w:p w14:paraId="7326D37A" w14:textId="77777777" w:rsidR="00EF3DFB" w:rsidRDefault="00D27C17">
      <w:pPr>
        <w:pStyle w:val="BodyText"/>
        <w:spacing w:before="2"/>
        <w:ind w:left="2207"/>
      </w:pPr>
      <w:hyperlink r:id="rId116">
        <w:r>
          <w:rPr>
            <w:color w:val="0000FF"/>
            <w:u w:val="single" w:color="0000FF"/>
          </w:rPr>
          <w:t>No. 001-09608).</w:t>
        </w:r>
      </w:hyperlink>
    </w:p>
    <w:p w14:paraId="7326D37B" w14:textId="77777777" w:rsidR="00EF3DFB" w:rsidRDefault="00D27C17">
      <w:pPr>
        <w:pStyle w:val="ListParagraph"/>
        <w:numPr>
          <w:ilvl w:val="1"/>
          <w:numId w:val="12"/>
        </w:numPr>
        <w:tabs>
          <w:tab w:val="left" w:pos="694"/>
          <w:tab w:val="left" w:pos="2207"/>
        </w:tabs>
        <w:spacing w:before="175"/>
        <w:ind w:right="372" w:hanging="1965"/>
        <w:rPr>
          <w:sz w:val="20"/>
        </w:rPr>
      </w:pPr>
      <w:r>
        <w:rPr>
          <w:sz w:val="20"/>
        </w:rPr>
        <w:t>*</w:t>
      </w:r>
      <w:r>
        <w:rPr>
          <w:sz w:val="20"/>
        </w:rPr>
        <w:tab/>
      </w:r>
      <w:hyperlink r:id="rId117">
        <w:r>
          <w:rPr>
            <w:color w:val="0000FF"/>
            <w:sz w:val="20"/>
            <w:u w:val="single" w:color="0000FF"/>
          </w:rPr>
          <w:t>Amendment No. 1 to the Newell Brands Employee Savings Plan, effective January 1, 2019 First</w:t>
        </w:r>
      </w:hyperlink>
      <w:hyperlink r:id="rId118">
        <w:r>
          <w:rPr>
            <w:color w:val="0000FF"/>
            <w:sz w:val="20"/>
            <w:u w:val="single" w:color="0000FF"/>
          </w:rPr>
          <w:t xml:space="preserve"> Amendment to the Newell Brands Employee Savings Plan, effective January 1, 2018 (incorporated by</w:t>
        </w:r>
      </w:hyperlink>
      <w:hyperlink r:id="rId119">
        <w:r>
          <w:rPr>
            <w:color w:val="0000FF"/>
            <w:sz w:val="20"/>
            <w:u w:val="single" w:color="0000FF"/>
          </w:rPr>
          <w:t xml:space="preserve"> reference to Exhibit 10.2 to the Company’s Report on Form 10-Q for the quarterly period ended June</w:t>
        </w:r>
        <w:r>
          <w:rPr>
            <w:color w:val="0000FF"/>
            <w:spacing w:val="-34"/>
            <w:sz w:val="20"/>
            <w:u w:val="single" w:color="0000FF"/>
          </w:rPr>
          <w:t xml:space="preserve"> </w:t>
        </w:r>
        <w:r>
          <w:rPr>
            <w:color w:val="0000FF"/>
            <w:sz w:val="20"/>
            <w:u w:val="single" w:color="0000FF"/>
          </w:rPr>
          <w:t>30,</w:t>
        </w:r>
      </w:hyperlink>
      <w:hyperlink r:id="rId120">
        <w:r>
          <w:rPr>
            <w:color w:val="0000FF"/>
            <w:sz w:val="20"/>
            <w:u w:val="single" w:color="0000FF"/>
          </w:rPr>
          <w:t xml:space="preserve"> 2020, File No.</w:t>
        </w:r>
        <w:r>
          <w:rPr>
            <w:color w:val="0000FF"/>
            <w:spacing w:val="-2"/>
            <w:sz w:val="20"/>
            <w:u w:val="single" w:color="0000FF"/>
          </w:rPr>
          <w:t xml:space="preserve"> </w:t>
        </w:r>
        <w:r>
          <w:rPr>
            <w:color w:val="0000FF"/>
            <w:sz w:val="20"/>
            <w:u w:val="single" w:color="0000FF"/>
          </w:rPr>
          <w:t>006-09608).</w:t>
        </w:r>
      </w:hyperlink>
    </w:p>
    <w:p w14:paraId="7326D37C" w14:textId="77777777" w:rsidR="00EF3DFB" w:rsidRDefault="00D27C17">
      <w:pPr>
        <w:pStyle w:val="ListParagraph"/>
        <w:numPr>
          <w:ilvl w:val="1"/>
          <w:numId w:val="12"/>
        </w:numPr>
        <w:tabs>
          <w:tab w:val="left" w:pos="694"/>
          <w:tab w:val="left" w:pos="2207"/>
        </w:tabs>
        <w:spacing w:before="130" w:line="249" w:lineRule="auto"/>
        <w:ind w:right="277" w:hanging="1965"/>
        <w:rPr>
          <w:sz w:val="20"/>
        </w:rPr>
      </w:pPr>
      <w:r>
        <w:rPr>
          <w:sz w:val="20"/>
        </w:rPr>
        <w:t>*</w:t>
      </w:r>
      <w:r>
        <w:rPr>
          <w:sz w:val="20"/>
        </w:rPr>
        <w:tab/>
      </w:r>
      <w:hyperlink r:id="rId121">
        <w:r>
          <w:rPr>
            <w:color w:val="0000FF"/>
            <w:sz w:val="20"/>
            <w:u w:val="single" w:color="0000FF"/>
          </w:rPr>
          <w:t>Newell Brands Employee Savings Plan, as amended and restated, effective January 1, 2018, as entered</w:t>
        </w:r>
      </w:hyperlink>
      <w:hyperlink r:id="rId122">
        <w:r>
          <w:rPr>
            <w:color w:val="0000FF"/>
            <w:sz w:val="20"/>
            <w:u w:val="single" w:color="0000FF"/>
          </w:rPr>
          <w:t xml:space="preserve"> into on December 20, 2018 (incorporated by reference to Exhibit 10.17 to the Company’s Report on</w:t>
        </w:r>
        <w:r>
          <w:rPr>
            <w:color w:val="0000FF"/>
            <w:spacing w:val="-33"/>
            <w:sz w:val="20"/>
            <w:u w:val="single" w:color="0000FF"/>
          </w:rPr>
          <w:t xml:space="preserve"> </w:t>
        </w:r>
        <w:r>
          <w:rPr>
            <w:color w:val="0000FF"/>
            <w:sz w:val="20"/>
            <w:u w:val="single" w:color="0000FF"/>
          </w:rPr>
          <w:t>Form</w:t>
        </w:r>
      </w:hyperlink>
      <w:hyperlink r:id="rId123">
        <w:r>
          <w:rPr>
            <w:color w:val="0000FF"/>
            <w:sz w:val="20"/>
            <w:u w:val="single" w:color="0000FF"/>
          </w:rPr>
          <w:t xml:space="preserve"> 1</w:t>
        </w:r>
        <w:r>
          <w:rPr>
            <w:color w:val="0000FF"/>
            <w:sz w:val="20"/>
            <w:u w:val="single" w:color="0000FF"/>
          </w:rPr>
          <w:t>0-K for the year ended December 31, 2018, File No.</w:t>
        </w:r>
        <w:r>
          <w:rPr>
            <w:color w:val="0000FF"/>
            <w:spacing w:val="-5"/>
            <w:sz w:val="20"/>
            <w:u w:val="single" w:color="0000FF"/>
          </w:rPr>
          <w:t xml:space="preserve"> </w:t>
        </w:r>
        <w:r>
          <w:rPr>
            <w:color w:val="0000FF"/>
            <w:sz w:val="20"/>
            <w:u w:val="single" w:color="0000FF"/>
          </w:rPr>
          <w:t>006-09608).</w:t>
        </w:r>
      </w:hyperlink>
    </w:p>
    <w:p w14:paraId="7326D37D" w14:textId="77777777" w:rsidR="00EF3DFB" w:rsidRDefault="00EF3DFB">
      <w:pPr>
        <w:spacing w:line="249" w:lineRule="auto"/>
        <w:rPr>
          <w:sz w:val="20"/>
        </w:rPr>
        <w:sectPr w:rsidR="00EF3DFB">
          <w:pgSz w:w="12240" w:h="15840"/>
          <w:pgMar w:top="660" w:right="640" w:bottom="480" w:left="620" w:header="0" w:footer="291" w:gutter="0"/>
          <w:cols w:space="720"/>
        </w:sectPr>
      </w:pPr>
    </w:p>
    <w:p w14:paraId="7326D37E" w14:textId="77777777" w:rsidR="00EF3DFB" w:rsidRDefault="00D27C17">
      <w:pPr>
        <w:pStyle w:val="ListParagraph"/>
        <w:numPr>
          <w:ilvl w:val="1"/>
          <w:numId w:val="12"/>
        </w:numPr>
        <w:tabs>
          <w:tab w:val="left" w:pos="694"/>
          <w:tab w:val="left" w:pos="2207"/>
        </w:tabs>
        <w:spacing w:before="64" w:line="249" w:lineRule="auto"/>
        <w:ind w:right="346" w:hanging="1965"/>
        <w:rPr>
          <w:sz w:val="20"/>
        </w:rPr>
      </w:pPr>
      <w:r>
        <w:rPr>
          <w:sz w:val="20"/>
        </w:rPr>
        <w:lastRenderedPageBreak/>
        <w:t>*</w:t>
      </w:r>
      <w:r>
        <w:rPr>
          <w:sz w:val="20"/>
        </w:rPr>
        <w:tab/>
      </w:r>
      <w:hyperlink r:id="rId124">
        <w:r>
          <w:rPr>
            <w:color w:val="0000FF"/>
            <w:sz w:val="20"/>
            <w:u w:val="single" w:color="0000FF"/>
          </w:rPr>
          <w:t>Newell</w:t>
        </w:r>
        <w:r>
          <w:rPr>
            <w:color w:val="0000FF"/>
            <w:spacing w:val="-5"/>
            <w:sz w:val="20"/>
            <w:u w:val="single" w:color="0000FF"/>
          </w:rPr>
          <w:t xml:space="preserve"> </w:t>
        </w:r>
        <w:r>
          <w:rPr>
            <w:color w:val="0000FF"/>
            <w:sz w:val="20"/>
            <w:u w:val="single" w:color="0000FF"/>
          </w:rPr>
          <w:t>Rubbermaid</w:t>
        </w:r>
        <w:r>
          <w:rPr>
            <w:color w:val="0000FF"/>
            <w:spacing w:val="-4"/>
            <w:sz w:val="20"/>
            <w:u w:val="single" w:color="0000FF"/>
          </w:rPr>
          <w:t xml:space="preserve"> </w:t>
        </w:r>
        <w:r>
          <w:rPr>
            <w:color w:val="0000FF"/>
            <w:sz w:val="20"/>
            <w:u w:val="single" w:color="0000FF"/>
          </w:rPr>
          <w:t>Severance</w:t>
        </w:r>
        <w:r>
          <w:rPr>
            <w:color w:val="0000FF"/>
            <w:spacing w:val="-5"/>
            <w:sz w:val="20"/>
            <w:u w:val="single" w:color="0000FF"/>
          </w:rPr>
          <w:t xml:space="preserve"> </w:t>
        </w:r>
        <w:r>
          <w:rPr>
            <w:color w:val="0000FF"/>
            <w:sz w:val="20"/>
            <w:u w:val="single" w:color="0000FF"/>
          </w:rPr>
          <w:t>Plan</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Summary</w:t>
        </w:r>
        <w:r>
          <w:rPr>
            <w:color w:val="0000FF"/>
            <w:spacing w:val="-4"/>
            <w:sz w:val="20"/>
            <w:u w:val="single" w:color="0000FF"/>
          </w:rPr>
          <w:t xml:space="preserve"> </w:t>
        </w:r>
        <w:r>
          <w:rPr>
            <w:color w:val="0000FF"/>
            <w:sz w:val="20"/>
            <w:u w:val="single" w:color="0000FF"/>
          </w:rPr>
          <w:t>Plan</w:t>
        </w:r>
        <w:r>
          <w:rPr>
            <w:color w:val="0000FF"/>
            <w:spacing w:val="-4"/>
            <w:sz w:val="20"/>
            <w:u w:val="single" w:color="0000FF"/>
          </w:rPr>
          <w:t xml:space="preserve"> </w:t>
        </w:r>
        <w:r>
          <w:rPr>
            <w:color w:val="0000FF"/>
            <w:sz w:val="20"/>
            <w:u w:val="single" w:color="0000FF"/>
          </w:rPr>
          <w:t>Description</w:t>
        </w:r>
        <w:r>
          <w:rPr>
            <w:color w:val="0000FF"/>
            <w:spacing w:val="-4"/>
            <w:sz w:val="20"/>
            <w:u w:val="single" w:color="0000FF"/>
          </w:rPr>
          <w:t xml:space="preserve"> </w:t>
        </w:r>
        <w:r>
          <w:rPr>
            <w:color w:val="0000FF"/>
            <w:sz w:val="20"/>
            <w:u w:val="single" w:color="0000FF"/>
          </w:rPr>
          <w:t>for</w:t>
        </w:r>
        <w:r>
          <w:rPr>
            <w:color w:val="0000FF"/>
            <w:spacing w:val="-4"/>
            <w:sz w:val="20"/>
            <w:u w:val="single" w:color="0000FF"/>
          </w:rPr>
          <w:t xml:space="preserve"> </w:t>
        </w:r>
        <w:r>
          <w:rPr>
            <w:color w:val="0000FF"/>
            <w:sz w:val="20"/>
            <w:u w:val="single" w:color="0000FF"/>
          </w:rPr>
          <w:t>Directors</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above,</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amended</w:t>
        </w:r>
      </w:hyperlink>
      <w:hyperlink r:id="rId125">
        <w:r>
          <w:rPr>
            <w:color w:val="0000FF"/>
            <w:sz w:val="20"/>
            <w:u w:val="single" w:color="0000FF"/>
          </w:rPr>
          <w:t xml:space="preserve"> and restated effective January 1, 2018 (incorporated by reference to Exhibit 10.18 to the Company’s</w:t>
        </w:r>
      </w:hyperlink>
      <w:hyperlink r:id="rId126">
        <w:r>
          <w:rPr>
            <w:color w:val="0000FF"/>
            <w:sz w:val="20"/>
            <w:u w:val="single" w:color="0000FF"/>
          </w:rPr>
          <w:t xml:space="preserve"> Report on Form 10-K for the year ended December 31, 2018, File No.</w:t>
        </w:r>
        <w:r>
          <w:rPr>
            <w:color w:val="0000FF"/>
            <w:spacing w:val="-10"/>
            <w:sz w:val="20"/>
            <w:u w:val="single" w:color="0000FF"/>
          </w:rPr>
          <w:t xml:space="preserve"> </w:t>
        </w:r>
        <w:r>
          <w:rPr>
            <w:color w:val="0000FF"/>
            <w:sz w:val="20"/>
            <w:u w:val="single" w:color="0000FF"/>
          </w:rPr>
          <w:t>006-09608).</w:t>
        </w:r>
      </w:hyperlink>
    </w:p>
    <w:p w14:paraId="7326D37F" w14:textId="77777777" w:rsidR="00EF3DFB" w:rsidRDefault="00D27C17">
      <w:pPr>
        <w:pStyle w:val="ListParagraph"/>
        <w:numPr>
          <w:ilvl w:val="1"/>
          <w:numId w:val="12"/>
        </w:numPr>
        <w:tabs>
          <w:tab w:val="left" w:pos="694"/>
          <w:tab w:val="left" w:pos="2207"/>
        </w:tabs>
        <w:spacing w:before="123" w:line="249" w:lineRule="auto"/>
        <w:ind w:right="556" w:hanging="1965"/>
        <w:rPr>
          <w:sz w:val="20"/>
        </w:rPr>
      </w:pPr>
      <w:r>
        <w:rPr>
          <w:sz w:val="20"/>
        </w:rPr>
        <w:t>*</w:t>
      </w:r>
      <w:r>
        <w:rPr>
          <w:sz w:val="20"/>
        </w:rPr>
        <w:tab/>
      </w:r>
      <w:hyperlink r:id="rId127">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2010</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hyperlink>
      <w:hyperlink r:id="rId128">
        <w:r>
          <w:rPr>
            <w:color w:val="0000FF"/>
            <w:sz w:val="20"/>
            <w:u w:val="single" w:color="0000FF"/>
          </w:rPr>
          <w:t xml:space="preserve"> Current Report on Form 8-K dated May 11, 2010, File No.</w:t>
        </w:r>
        <w:r>
          <w:rPr>
            <w:color w:val="0000FF"/>
            <w:spacing w:val="-8"/>
            <w:sz w:val="20"/>
            <w:u w:val="single" w:color="0000FF"/>
          </w:rPr>
          <w:t xml:space="preserve"> </w:t>
        </w:r>
        <w:r>
          <w:rPr>
            <w:color w:val="0000FF"/>
            <w:sz w:val="20"/>
            <w:u w:val="single" w:color="0000FF"/>
          </w:rPr>
          <w:t>001-09608).</w:t>
        </w:r>
      </w:hyperlink>
    </w:p>
    <w:p w14:paraId="7326D380" w14:textId="77777777" w:rsidR="00EF3DFB" w:rsidRDefault="00D27C17">
      <w:pPr>
        <w:pStyle w:val="ListParagraph"/>
        <w:numPr>
          <w:ilvl w:val="1"/>
          <w:numId w:val="12"/>
        </w:numPr>
        <w:tabs>
          <w:tab w:val="left" w:pos="694"/>
          <w:tab w:val="left" w:pos="2207"/>
        </w:tabs>
        <w:spacing w:before="166" w:line="249" w:lineRule="auto"/>
        <w:ind w:right="273" w:hanging="1965"/>
        <w:rPr>
          <w:sz w:val="20"/>
        </w:rPr>
      </w:pPr>
      <w:r>
        <w:rPr>
          <w:sz w:val="20"/>
        </w:rPr>
        <w:t>*</w:t>
      </w:r>
      <w:r>
        <w:rPr>
          <w:sz w:val="20"/>
        </w:rPr>
        <w:tab/>
      </w:r>
      <w:hyperlink r:id="rId129">
        <w:r>
          <w:rPr>
            <w:color w:val="0000FF"/>
            <w:sz w:val="20"/>
            <w:u w:val="single" w:color="0000FF"/>
          </w:rPr>
          <w:t>First Amendment to the Newell Rubbermaid Inc. 2010 Stock Plan dated July 1, 2011 (incorporated by</w:t>
        </w:r>
      </w:hyperlink>
      <w:hyperlink r:id="rId130">
        <w:r>
          <w:rPr>
            <w:color w:val="0000FF"/>
            <w:sz w:val="20"/>
            <w:u w:val="single" w:color="0000FF"/>
          </w:rPr>
          <w:t xml:space="preserve"> reference</w:t>
        </w:r>
        <w:r>
          <w:rPr>
            <w:color w:val="0000FF"/>
            <w:spacing w:val="-3"/>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10.3</w:t>
        </w:r>
        <w:r>
          <w:rPr>
            <w:color w:val="0000FF"/>
            <w:spacing w:val="-2"/>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Company’s</w:t>
        </w:r>
        <w:r>
          <w:rPr>
            <w:color w:val="0000FF"/>
            <w:spacing w:val="-3"/>
            <w:sz w:val="20"/>
            <w:u w:val="single" w:color="0000FF"/>
          </w:rPr>
          <w:t xml:space="preserve"> </w:t>
        </w:r>
        <w:r>
          <w:rPr>
            <w:color w:val="0000FF"/>
            <w:sz w:val="20"/>
            <w:u w:val="single" w:color="0000FF"/>
          </w:rPr>
          <w:t>Quarterly</w:t>
        </w:r>
        <w:r>
          <w:rPr>
            <w:color w:val="0000FF"/>
            <w:spacing w:val="-2"/>
            <w:sz w:val="20"/>
            <w:u w:val="single" w:color="0000FF"/>
          </w:rPr>
          <w:t xml:space="preserve"> </w:t>
        </w:r>
        <w:r>
          <w:rPr>
            <w:color w:val="0000FF"/>
            <w:sz w:val="20"/>
            <w:u w:val="single" w:color="0000FF"/>
          </w:rPr>
          <w:t>Report</w:t>
        </w:r>
        <w:r>
          <w:rPr>
            <w:color w:val="0000FF"/>
            <w:spacing w:val="-3"/>
            <w:sz w:val="20"/>
            <w:u w:val="single" w:color="0000FF"/>
          </w:rPr>
          <w:t xml:space="preserve"> </w:t>
        </w:r>
        <w:r>
          <w:rPr>
            <w:color w:val="0000FF"/>
            <w:sz w:val="20"/>
            <w:u w:val="single" w:color="0000FF"/>
          </w:rPr>
          <w:t>on</w:t>
        </w:r>
        <w:r>
          <w:rPr>
            <w:color w:val="0000FF"/>
            <w:spacing w:val="-2"/>
            <w:sz w:val="20"/>
            <w:u w:val="single" w:color="0000FF"/>
          </w:rPr>
          <w:t xml:space="preserve"> </w:t>
        </w:r>
        <w:r>
          <w:rPr>
            <w:color w:val="0000FF"/>
            <w:sz w:val="20"/>
            <w:u w:val="single" w:color="0000FF"/>
          </w:rPr>
          <w:t>Form</w:t>
        </w:r>
        <w:r>
          <w:rPr>
            <w:color w:val="0000FF"/>
            <w:spacing w:val="-3"/>
            <w:sz w:val="20"/>
            <w:u w:val="single" w:color="0000FF"/>
          </w:rPr>
          <w:t xml:space="preserve"> </w:t>
        </w:r>
        <w:r>
          <w:rPr>
            <w:color w:val="0000FF"/>
            <w:sz w:val="20"/>
            <w:u w:val="single" w:color="0000FF"/>
          </w:rPr>
          <w:t>10-Q</w:t>
        </w:r>
        <w:r>
          <w:rPr>
            <w:color w:val="0000FF"/>
            <w:spacing w:val="-3"/>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quarterly</w:t>
        </w:r>
        <w:r>
          <w:rPr>
            <w:color w:val="0000FF"/>
            <w:spacing w:val="-2"/>
            <w:sz w:val="20"/>
            <w:u w:val="single" w:color="0000FF"/>
          </w:rPr>
          <w:t xml:space="preserve"> </w:t>
        </w:r>
        <w:r>
          <w:rPr>
            <w:color w:val="0000FF"/>
            <w:sz w:val="20"/>
            <w:u w:val="single" w:color="0000FF"/>
          </w:rPr>
          <w:t>period</w:t>
        </w:r>
        <w:r>
          <w:rPr>
            <w:color w:val="0000FF"/>
            <w:spacing w:val="-2"/>
            <w:sz w:val="20"/>
            <w:u w:val="single" w:color="0000FF"/>
          </w:rPr>
          <w:t xml:space="preserve"> </w:t>
        </w:r>
        <w:r>
          <w:rPr>
            <w:color w:val="0000FF"/>
            <w:sz w:val="20"/>
            <w:u w:val="single" w:color="0000FF"/>
          </w:rPr>
          <w:t>ended</w:t>
        </w:r>
      </w:hyperlink>
      <w:hyperlink r:id="rId131">
        <w:r>
          <w:rPr>
            <w:color w:val="0000FF"/>
            <w:sz w:val="20"/>
            <w:u w:val="single" w:color="0000FF"/>
          </w:rPr>
          <w:t xml:space="preserve"> June 30, 20</w:t>
        </w:r>
        <w:r>
          <w:rPr>
            <w:color w:val="0000FF"/>
            <w:sz w:val="20"/>
            <w:u w:val="single" w:color="0000FF"/>
          </w:rPr>
          <w:t>11, File No.</w:t>
        </w:r>
        <w:r>
          <w:rPr>
            <w:color w:val="0000FF"/>
            <w:spacing w:val="46"/>
            <w:sz w:val="20"/>
            <w:u w:val="single" w:color="0000FF"/>
          </w:rPr>
          <w:t xml:space="preserve"> </w:t>
        </w:r>
        <w:r>
          <w:rPr>
            <w:color w:val="0000FF"/>
            <w:sz w:val="20"/>
            <w:u w:val="single" w:color="0000FF"/>
          </w:rPr>
          <w:t>001-09608).</w:t>
        </w:r>
      </w:hyperlink>
    </w:p>
    <w:p w14:paraId="7326D381" w14:textId="77777777" w:rsidR="00EF3DFB" w:rsidRDefault="00D27C17">
      <w:pPr>
        <w:pStyle w:val="ListParagraph"/>
        <w:numPr>
          <w:ilvl w:val="1"/>
          <w:numId w:val="12"/>
        </w:numPr>
        <w:tabs>
          <w:tab w:val="left" w:pos="694"/>
          <w:tab w:val="left" w:pos="2207"/>
        </w:tabs>
        <w:spacing w:before="168" w:line="249" w:lineRule="auto"/>
        <w:ind w:right="284" w:hanging="1965"/>
        <w:rPr>
          <w:sz w:val="20"/>
        </w:rPr>
      </w:pPr>
      <w:r>
        <w:rPr>
          <w:sz w:val="20"/>
        </w:rPr>
        <w:t>*</w:t>
      </w:r>
      <w:r>
        <w:rPr>
          <w:sz w:val="20"/>
        </w:rPr>
        <w:tab/>
      </w:r>
      <w:hyperlink r:id="rId132" w:anchor="toc466762_18">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Appendix</w:t>
        </w:r>
        <w:r>
          <w:rPr>
            <w:color w:val="0000FF"/>
            <w:spacing w:val="-3"/>
            <w:sz w:val="20"/>
            <w:u w:val="single" w:color="0000FF"/>
          </w:rPr>
          <w:t xml:space="preserve"> </w:t>
        </w:r>
        <w:r>
          <w:rPr>
            <w:color w:val="0000FF"/>
            <w:sz w:val="20"/>
            <w:u w:val="single" w:color="0000FF"/>
          </w:rPr>
          <w:t>B</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hyperlink>
      <w:hyperlink r:id="rId133" w:anchor="toc466762_18">
        <w:r>
          <w:rPr>
            <w:color w:val="0000FF"/>
            <w:sz w:val="20"/>
            <w:u w:val="single" w:color="0000FF"/>
          </w:rPr>
          <w:t xml:space="preserve"> Proxy Statement dated March 28, 2013, File No.</w:t>
        </w:r>
        <w:r>
          <w:rPr>
            <w:color w:val="0000FF"/>
            <w:spacing w:val="-4"/>
            <w:sz w:val="20"/>
            <w:u w:val="single" w:color="0000FF"/>
          </w:rPr>
          <w:t xml:space="preserve"> </w:t>
        </w:r>
        <w:r>
          <w:rPr>
            <w:color w:val="0000FF"/>
            <w:sz w:val="20"/>
            <w:u w:val="single" w:color="0000FF"/>
          </w:rPr>
          <w:t>001-09608).</w:t>
        </w:r>
      </w:hyperlink>
    </w:p>
    <w:p w14:paraId="7326D382" w14:textId="77777777" w:rsidR="00EF3DFB" w:rsidRDefault="00D27C17">
      <w:pPr>
        <w:pStyle w:val="ListParagraph"/>
        <w:numPr>
          <w:ilvl w:val="1"/>
          <w:numId w:val="12"/>
        </w:numPr>
        <w:tabs>
          <w:tab w:val="left" w:pos="694"/>
          <w:tab w:val="left" w:pos="2207"/>
        </w:tabs>
        <w:spacing w:before="181" w:line="249" w:lineRule="auto"/>
        <w:ind w:right="755" w:hanging="1965"/>
        <w:jc w:val="both"/>
        <w:rPr>
          <w:sz w:val="20"/>
        </w:rPr>
      </w:pPr>
      <w:r>
        <w:rPr>
          <w:sz w:val="20"/>
        </w:rPr>
        <w:t>*</w:t>
      </w:r>
      <w:r>
        <w:rPr>
          <w:sz w:val="20"/>
        </w:rPr>
        <w:tab/>
      </w:r>
      <w:hyperlink r:id="rId134">
        <w:r>
          <w:rPr>
            <w:color w:val="0000FF"/>
            <w:sz w:val="20"/>
            <w:u w:val="single" w:color="0000FF"/>
          </w:rPr>
          <w:t>First Amendment to the Newell Rubbermaid Inc. 2013 Incentive Plan dated as of February 14, 2018</w:t>
        </w:r>
      </w:hyperlink>
      <w:hyperlink r:id="rId135">
        <w:r>
          <w:rPr>
            <w:color w:val="0000FF"/>
            <w:sz w:val="20"/>
            <w:u w:val="single" w:color="0000FF"/>
          </w:rPr>
          <w:t xml:space="preserve"> (incorporated by ref</w:t>
        </w:r>
        <w:r>
          <w:rPr>
            <w:color w:val="0000FF"/>
            <w:sz w:val="20"/>
            <w:u w:val="single" w:color="0000FF"/>
          </w:rPr>
          <w:t>erence to Exhibit 10.4 to the Company’s Quarterly Report on Form 10-Q for</w:t>
        </w:r>
        <w:r>
          <w:rPr>
            <w:color w:val="0000FF"/>
            <w:spacing w:val="-33"/>
            <w:sz w:val="20"/>
            <w:u w:val="single" w:color="0000FF"/>
          </w:rPr>
          <w:t xml:space="preserve"> </w:t>
        </w:r>
        <w:r>
          <w:rPr>
            <w:color w:val="0000FF"/>
            <w:sz w:val="20"/>
            <w:u w:val="single" w:color="0000FF"/>
          </w:rPr>
          <w:t>the</w:t>
        </w:r>
      </w:hyperlink>
      <w:hyperlink r:id="rId136">
        <w:r>
          <w:rPr>
            <w:color w:val="0000FF"/>
            <w:sz w:val="20"/>
            <w:u w:val="single" w:color="0000FF"/>
          </w:rPr>
          <w:t xml:space="preserve"> quarterly period ended March 31, 2018, File No.</w:t>
        </w:r>
        <w:r>
          <w:rPr>
            <w:color w:val="0000FF"/>
            <w:spacing w:val="-3"/>
            <w:sz w:val="20"/>
            <w:u w:val="single" w:color="0000FF"/>
          </w:rPr>
          <w:t xml:space="preserve"> </w:t>
        </w:r>
        <w:r>
          <w:rPr>
            <w:color w:val="0000FF"/>
            <w:sz w:val="20"/>
            <w:u w:val="single" w:color="0000FF"/>
          </w:rPr>
          <w:t>001-09608).</w:t>
        </w:r>
      </w:hyperlink>
    </w:p>
    <w:p w14:paraId="7326D383" w14:textId="77777777" w:rsidR="00EF3DFB" w:rsidRDefault="00EF3DFB">
      <w:pPr>
        <w:pStyle w:val="BodyText"/>
        <w:spacing w:before="2"/>
        <w:rPr>
          <w:sz w:val="17"/>
        </w:rPr>
      </w:pPr>
    </w:p>
    <w:p w14:paraId="7326D384" w14:textId="77777777" w:rsidR="00EF3DFB" w:rsidRDefault="00D27C17">
      <w:pPr>
        <w:pStyle w:val="ListParagraph"/>
        <w:numPr>
          <w:ilvl w:val="1"/>
          <w:numId w:val="12"/>
        </w:numPr>
        <w:tabs>
          <w:tab w:val="left" w:pos="694"/>
          <w:tab w:val="left" w:pos="2207"/>
        </w:tabs>
        <w:spacing w:line="249" w:lineRule="auto"/>
        <w:ind w:right="613" w:hanging="1965"/>
        <w:rPr>
          <w:sz w:val="20"/>
        </w:rPr>
      </w:pPr>
      <w:r>
        <w:rPr>
          <w:sz w:val="20"/>
        </w:rPr>
        <w:t>*</w:t>
      </w:r>
      <w:r>
        <w:rPr>
          <w:sz w:val="20"/>
        </w:rPr>
        <w:tab/>
      </w:r>
      <w:hyperlink r:id="rId137">
        <w:r>
          <w:rPr>
            <w:color w:val="0000FF"/>
            <w:sz w:val="20"/>
            <w:u w:val="single" w:color="0000FF"/>
          </w:rPr>
          <w:t>Second</w:t>
        </w:r>
        <w:r>
          <w:rPr>
            <w:color w:val="0000FF"/>
            <w:spacing w:val="-3"/>
            <w:sz w:val="20"/>
            <w:u w:val="single" w:color="0000FF"/>
          </w:rPr>
          <w:t xml:space="preserve"> </w:t>
        </w:r>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July</w:t>
        </w:r>
        <w:r>
          <w:rPr>
            <w:color w:val="0000FF"/>
            <w:spacing w:val="-3"/>
            <w:sz w:val="20"/>
            <w:u w:val="single" w:color="0000FF"/>
          </w:rPr>
          <w:t xml:space="preserve"> </w:t>
        </w:r>
        <w:r>
          <w:rPr>
            <w:color w:val="0000FF"/>
            <w:sz w:val="20"/>
            <w:u w:val="single" w:color="0000FF"/>
          </w:rPr>
          <w:t>26,</w:t>
        </w:r>
        <w:r>
          <w:rPr>
            <w:color w:val="0000FF"/>
            <w:spacing w:val="-3"/>
            <w:sz w:val="20"/>
            <w:u w:val="single" w:color="0000FF"/>
          </w:rPr>
          <w:t xml:space="preserve"> </w:t>
        </w:r>
        <w:r>
          <w:rPr>
            <w:color w:val="0000FF"/>
            <w:sz w:val="20"/>
            <w:u w:val="single" w:color="0000FF"/>
          </w:rPr>
          <w:t>2019.</w:t>
        </w:r>
      </w:hyperlink>
      <w:hyperlink r:id="rId138">
        <w:r>
          <w:rPr>
            <w:color w:val="0000FF"/>
            <w:sz w:val="20"/>
            <w:u w:val="single" w:color="0000FF"/>
          </w:rPr>
          <w:t xml:space="preserve"> (incorporated by reference to Exhibit 10.1 to the Company’s Quarterly Report on Form 10-Q for the</w:t>
        </w:r>
      </w:hyperlink>
      <w:hyperlink r:id="rId139">
        <w:r>
          <w:rPr>
            <w:color w:val="0000FF"/>
            <w:sz w:val="20"/>
            <w:u w:val="single" w:color="0000FF"/>
          </w:rPr>
          <w:t xml:space="preserve"> quarterly period ended September 30, 2019, File No.</w:t>
        </w:r>
        <w:r>
          <w:rPr>
            <w:color w:val="0000FF"/>
            <w:spacing w:val="-4"/>
            <w:sz w:val="20"/>
            <w:u w:val="single" w:color="0000FF"/>
          </w:rPr>
          <w:t xml:space="preserve"> </w:t>
        </w:r>
        <w:r>
          <w:rPr>
            <w:color w:val="0000FF"/>
            <w:sz w:val="20"/>
            <w:u w:val="single" w:color="0000FF"/>
          </w:rPr>
          <w:t>001-09608).</w:t>
        </w:r>
      </w:hyperlink>
    </w:p>
    <w:p w14:paraId="7326D385" w14:textId="77777777" w:rsidR="00EF3DFB" w:rsidRDefault="00EF3DFB">
      <w:pPr>
        <w:pStyle w:val="BodyText"/>
        <w:spacing w:before="2"/>
        <w:rPr>
          <w:sz w:val="17"/>
        </w:rPr>
      </w:pPr>
    </w:p>
    <w:p w14:paraId="7326D386" w14:textId="77777777" w:rsidR="00EF3DFB" w:rsidRDefault="00D27C17">
      <w:pPr>
        <w:pStyle w:val="ListParagraph"/>
        <w:numPr>
          <w:ilvl w:val="1"/>
          <w:numId w:val="12"/>
        </w:numPr>
        <w:tabs>
          <w:tab w:val="left" w:pos="694"/>
          <w:tab w:val="left" w:pos="2207"/>
        </w:tabs>
        <w:spacing w:line="249" w:lineRule="auto"/>
        <w:ind w:right="328" w:hanging="1965"/>
        <w:rPr>
          <w:sz w:val="20"/>
        </w:rPr>
      </w:pPr>
      <w:r>
        <w:rPr>
          <w:sz w:val="20"/>
        </w:rPr>
        <w:t>*</w:t>
      </w:r>
      <w:r>
        <w:rPr>
          <w:sz w:val="20"/>
        </w:rPr>
        <w:tab/>
      </w:r>
      <w:hyperlink r:id="rId140">
        <w:r>
          <w:rPr>
            <w:color w:val="0000FF"/>
            <w:sz w:val="20"/>
            <w:u w:val="single" w:color="0000FF"/>
          </w:rPr>
          <w:t>2018</w:t>
        </w:r>
        <w:r>
          <w:rPr>
            <w:color w:val="0000FF"/>
            <w:spacing w:val="-3"/>
            <w:sz w:val="20"/>
            <w:u w:val="single" w:color="0000FF"/>
          </w:rPr>
          <w:t xml:space="preserve"> </w:t>
        </w:r>
        <w:r>
          <w:rPr>
            <w:color w:val="0000FF"/>
            <w:sz w:val="20"/>
            <w:u w:val="single" w:color="0000FF"/>
          </w:rPr>
          <w:t>Long</w:t>
        </w:r>
        <w:r>
          <w:rPr>
            <w:color w:val="0000FF"/>
            <w:spacing w:val="-3"/>
            <w:sz w:val="20"/>
            <w:u w:val="single" w:color="0000FF"/>
          </w:rPr>
          <w:t xml:space="preserve"> </w:t>
        </w:r>
        <w:r>
          <w:rPr>
            <w:color w:val="0000FF"/>
            <w:sz w:val="20"/>
            <w:u w:val="single" w:color="0000FF"/>
          </w:rPr>
          <w:t>Term</w:t>
        </w:r>
        <w:r>
          <w:rPr>
            <w:color w:val="0000FF"/>
            <w:spacing w:val="-4"/>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Terms</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Conditions</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41">
        <w:r>
          <w:rPr>
            <w:color w:val="0000FF"/>
            <w:sz w:val="20"/>
            <w:u w:val="single" w:color="0000FF"/>
          </w:rPr>
          <w:t xml:space="preserve"> Plan, as updated February 13, 2018 (incorporated by reference to Exhibit 10.1 t</w:t>
        </w:r>
        <w:r>
          <w:rPr>
            <w:color w:val="0000FF"/>
            <w:sz w:val="20"/>
            <w:u w:val="single" w:color="0000FF"/>
          </w:rPr>
          <w:t>o the Company’s Current</w:t>
        </w:r>
      </w:hyperlink>
      <w:hyperlink r:id="rId142">
        <w:r>
          <w:rPr>
            <w:color w:val="0000FF"/>
            <w:sz w:val="20"/>
            <w:u w:val="single" w:color="0000FF"/>
          </w:rPr>
          <w:t xml:space="preserve"> Report on Form 8-K dated February 13, 2018, File No.</w:t>
        </w:r>
        <w:r>
          <w:rPr>
            <w:color w:val="0000FF"/>
            <w:spacing w:val="-6"/>
            <w:sz w:val="20"/>
            <w:u w:val="single" w:color="0000FF"/>
          </w:rPr>
          <w:t xml:space="preserve"> </w:t>
        </w:r>
        <w:r>
          <w:rPr>
            <w:color w:val="0000FF"/>
            <w:sz w:val="20"/>
            <w:u w:val="single" w:color="0000FF"/>
          </w:rPr>
          <w:t>001-09608).</w:t>
        </w:r>
      </w:hyperlink>
    </w:p>
    <w:p w14:paraId="7326D387" w14:textId="77777777" w:rsidR="00EF3DFB" w:rsidRDefault="00EF3DFB">
      <w:pPr>
        <w:pStyle w:val="BodyText"/>
        <w:spacing w:before="10"/>
        <w:rPr>
          <w:sz w:val="11"/>
        </w:rPr>
      </w:pPr>
    </w:p>
    <w:p w14:paraId="7326D388" w14:textId="77777777" w:rsidR="00EF3DFB" w:rsidRDefault="00D27C17">
      <w:pPr>
        <w:pStyle w:val="ListParagraph"/>
        <w:numPr>
          <w:ilvl w:val="1"/>
          <w:numId w:val="12"/>
        </w:numPr>
        <w:tabs>
          <w:tab w:val="left" w:pos="694"/>
          <w:tab w:val="left" w:pos="2207"/>
        </w:tabs>
        <w:spacing w:before="91" w:line="249" w:lineRule="auto"/>
        <w:ind w:right="312" w:hanging="1965"/>
        <w:rPr>
          <w:sz w:val="20"/>
        </w:rPr>
      </w:pPr>
      <w:r>
        <w:rPr>
          <w:sz w:val="20"/>
        </w:rPr>
        <w:t>*</w:t>
      </w:r>
      <w:r>
        <w:rPr>
          <w:sz w:val="20"/>
        </w:rPr>
        <w:tab/>
      </w:r>
      <w:hyperlink r:id="rId143">
        <w:r>
          <w:rPr>
            <w:color w:val="0000FF"/>
            <w:sz w:val="20"/>
            <w:u w:val="single" w:color="0000FF"/>
          </w:rPr>
          <w:t>2019</w:t>
        </w:r>
        <w:r>
          <w:rPr>
            <w:color w:val="0000FF"/>
            <w:spacing w:val="-3"/>
            <w:sz w:val="20"/>
            <w:u w:val="single" w:color="0000FF"/>
          </w:rPr>
          <w:t xml:space="preserve"> </w:t>
        </w:r>
        <w:r>
          <w:rPr>
            <w:color w:val="0000FF"/>
            <w:sz w:val="20"/>
            <w:u w:val="single" w:color="0000FF"/>
          </w:rPr>
          <w:t>Long-Term</w:t>
        </w:r>
        <w:r>
          <w:rPr>
            <w:color w:val="0000FF"/>
            <w:spacing w:val="-4"/>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Terms</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Conditions</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44">
        <w:r>
          <w:rPr>
            <w:color w:val="0000FF"/>
            <w:sz w:val="20"/>
            <w:u w:val="single" w:color="0000FF"/>
          </w:rPr>
          <w:t xml:space="preserve"> Plan, as updated February 6, 2019 (incorporated by reference to Exhibit 10.1 to the Company’s Current</w:t>
        </w:r>
      </w:hyperlink>
      <w:hyperlink r:id="rId145">
        <w:r>
          <w:rPr>
            <w:color w:val="0000FF"/>
            <w:sz w:val="20"/>
            <w:u w:val="single" w:color="0000FF"/>
          </w:rPr>
          <w:t xml:space="preserve"> Report on Form 8-K dated February 12, 2019, File No.</w:t>
        </w:r>
        <w:r>
          <w:rPr>
            <w:color w:val="0000FF"/>
            <w:spacing w:val="-6"/>
            <w:sz w:val="20"/>
            <w:u w:val="single" w:color="0000FF"/>
          </w:rPr>
          <w:t xml:space="preserve"> </w:t>
        </w:r>
        <w:r>
          <w:rPr>
            <w:color w:val="0000FF"/>
            <w:sz w:val="20"/>
            <w:u w:val="single" w:color="0000FF"/>
          </w:rPr>
          <w:t>001-09608).</w:t>
        </w:r>
      </w:hyperlink>
    </w:p>
    <w:p w14:paraId="7326D389" w14:textId="77777777" w:rsidR="00EF3DFB" w:rsidRDefault="00D27C17">
      <w:pPr>
        <w:pStyle w:val="ListParagraph"/>
        <w:numPr>
          <w:ilvl w:val="1"/>
          <w:numId w:val="12"/>
        </w:numPr>
        <w:tabs>
          <w:tab w:val="left" w:pos="694"/>
          <w:tab w:val="left" w:pos="2207"/>
        </w:tabs>
        <w:spacing w:before="183"/>
        <w:ind w:right="328" w:hanging="1965"/>
        <w:rPr>
          <w:sz w:val="20"/>
        </w:rPr>
      </w:pPr>
      <w:r>
        <w:rPr>
          <w:sz w:val="20"/>
        </w:rPr>
        <w:t>*</w:t>
      </w:r>
      <w:r>
        <w:rPr>
          <w:sz w:val="20"/>
        </w:rPr>
        <w:tab/>
      </w:r>
      <w:hyperlink r:id="rId146">
        <w:r>
          <w:rPr>
            <w:color w:val="0000FF"/>
            <w:sz w:val="20"/>
            <w:u w:val="single" w:color="0000FF"/>
          </w:rPr>
          <w:t>2020</w:t>
        </w:r>
        <w:r>
          <w:rPr>
            <w:color w:val="0000FF"/>
            <w:spacing w:val="-3"/>
            <w:sz w:val="20"/>
            <w:u w:val="single" w:color="0000FF"/>
          </w:rPr>
          <w:t xml:space="preserve"> </w:t>
        </w:r>
        <w:r>
          <w:rPr>
            <w:color w:val="0000FF"/>
            <w:sz w:val="20"/>
            <w:u w:val="single" w:color="0000FF"/>
          </w:rPr>
          <w:t>Long</w:t>
        </w:r>
        <w:r>
          <w:rPr>
            <w:color w:val="0000FF"/>
            <w:spacing w:val="-3"/>
            <w:sz w:val="20"/>
            <w:u w:val="single" w:color="0000FF"/>
          </w:rPr>
          <w:t xml:space="preserve"> </w:t>
        </w:r>
        <w:r>
          <w:rPr>
            <w:color w:val="0000FF"/>
            <w:sz w:val="20"/>
            <w:u w:val="single" w:color="0000FF"/>
          </w:rPr>
          <w:t>Term</w:t>
        </w:r>
        <w:r>
          <w:rPr>
            <w:color w:val="0000FF"/>
            <w:spacing w:val="-4"/>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Terms</w:t>
        </w:r>
        <w:r>
          <w:rPr>
            <w:color w:val="0000FF"/>
            <w:spacing w:val="-4"/>
            <w:sz w:val="20"/>
            <w:u w:val="single" w:color="0000FF"/>
          </w:rPr>
          <w:t xml:space="preserve"> </w:t>
        </w:r>
        <w:r>
          <w:rPr>
            <w:color w:val="0000FF"/>
            <w:sz w:val="20"/>
            <w:u w:val="single" w:color="0000FF"/>
          </w:rPr>
          <w:t>a</w:t>
        </w:r>
        <w:r>
          <w:rPr>
            <w:color w:val="0000FF"/>
            <w:sz w:val="20"/>
            <w:u w:val="single" w:color="0000FF"/>
          </w:rPr>
          <w:t>nd</w:t>
        </w:r>
        <w:r>
          <w:rPr>
            <w:color w:val="0000FF"/>
            <w:spacing w:val="-3"/>
            <w:sz w:val="20"/>
            <w:u w:val="single" w:color="0000FF"/>
          </w:rPr>
          <w:t xml:space="preserve"> </w:t>
        </w:r>
        <w:r>
          <w:rPr>
            <w:color w:val="0000FF"/>
            <w:sz w:val="20"/>
            <w:u w:val="single" w:color="0000FF"/>
          </w:rPr>
          <w:t>Conditions</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47">
        <w:r>
          <w:rPr>
            <w:color w:val="0000FF"/>
            <w:sz w:val="20"/>
            <w:u w:val="single" w:color="0000FF"/>
          </w:rPr>
          <w:t xml:space="preserve"> Plan, as updated February 13, 2020 (incorporated by reference to Exhibit 10.1 to the Company’s Current</w:t>
        </w:r>
      </w:hyperlink>
      <w:hyperlink r:id="rId148">
        <w:r>
          <w:rPr>
            <w:color w:val="0000FF"/>
            <w:sz w:val="20"/>
            <w:u w:val="single" w:color="0000FF"/>
          </w:rPr>
          <w:t xml:space="preserve"> Report on Form 8-K dated February 20, 2020, File </w:t>
        </w:r>
        <w:r>
          <w:rPr>
            <w:color w:val="0000FF"/>
            <w:sz w:val="20"/>
            <w:u w:val="single" w:color="0000FF"/>
          </w:rPr>
          <w:t>No.</w:t>
        </w:r>
        <w:r>
          <w:rPr>
            <w:color w:val="0000FF"/>
            <w:spacing w:val="-6"/>
            <w:sz w:val="20"/>
            <w:u w:val="single" w:color="0000FF"/>
          </w:rPr>
          <w:t xml:space="preserve"> </w:t>
        </w:r>
        <w:r>
          <w:rPr>
            <w:color w:val="0000FF"/>
            <w:sz w:val="20"/>
            <w:u w:val="single" w:color="0000FF"/>
          </w:rPr>
          <w:t>001-09608).</w:t>
        </w:r>
      </w:hyperlink>
    </w:p>
    <w:p w14:paraId="7326D38A" w14:textId="77777777" w:rsidR="00EF3DFB" w:rsidRDefault="00D27C17">
      <w:pPr>
        <w:pStyle w:val="ListParagraph"/>
        <w:numPr>
          <w:ilvl w:val="1"/>
          <w:numId w:val="12"/>
        </w:numPr>
        <w:tabs>
          <w:tab w:val="left" w:pos="694"/>
          <w:tab w:val="left" w:pos="2207"/>
        </w:tabs>
        <w:spacing w:before="150" w:line="249" w:lineRule="auto"/>
        <w:ind w:right="346" w:hanging="1965"/>
        <w:rPr>
          <w:sz w:val="20"/>
        </w:rPr>
      </w:pPr>
      <w:r>
        <w:rPr>
          <w:sz w:val="20"/>
        </w:rPr>
        <w:t>*</w:t>
      </w:r>
      <w:r>
        <w:rPr>
          <w:sz w:val="20"/>
        </w:rPr>
        <w:tab/>
      </w:r>
      <w:hyperlink r:id="rId149">
        <w:r>
          <w:rPr>
            <w:color w:val="0000FF"/>
            <w:sz w:val="20"/>
            <w:u w:val="single" w:color="0000FF"/>
          </w:rPr>
          <w:t>Amended Exhibit A to 2020 Long Term Incentive Plan Terms and Conditions and 2020 Restricted Stock</w:t>
        </w:r>
      </w:hyperlink>
      <w:hyperlink r:id="rId150">
        <w:r>
          <w:rPr>
            <w:color w:val="0000FF"/>
            <w:sz w:val="20"/>
            <w:u w:val="single" w:color="0000FF"/>
          </w:rPr>
          <w:t xml:space="preserve"> Unit Award Agreements with the CEO and the Management Committee (incorporated by reference to</w:t>
        </w:r>
      </w:hyperlink>
      <w:hyperlink r:id="rId151">
        <w:r>
          <w:rPr>
            <w:color w:val="0000FF"/>
            <w:sz w:val="20"/>
            <w:u w:val="single" w:color="0000FF"/>
          </w:rPr>
          <w:t xml:space="preserve"> Exhibit 10.1 to the Company's Current Report on Form 8-K dated August 12, 2020, File No.</w:t>
        </w:r>
        <w:r>
          <w:rPr>
            <w:color w:val="0000FF"/>
            <w:spacing w:val="-32"/>
            <w:sz w:val="20"/>
            <w:u w:val="single" w:color="0000FF"/>
          </w:rPr>
          <w:t xml:space="preserve"> </w:t>
        </w:r>
        <w:r>
          <w:rPr>
            <w:color w:val="0000FF"/>
            <w:sz w:val="20"/>
            <w:u w:val="single" w:color="0000FF"/>
          </w:rPr>
          <w:t>001-09608).</w:t>
        </w:r>
      </w:hyperlink>
    </w:p>
    <w:p w14:paraId="7326D38B" w14:textId="77777777" w:rsidR="00EF3DFB" w:rsidRDefault="00D27C17">
      <w:pPr>
        <w:pStyle w:val="ListParagraph"/>
        <w:numPr>
          <w:ilvl w:val="1"/>
          <w:numId w:val="12"/>
        </w:numPr>
        <w:tabs>
          <w:tab w:val="left" w:pos="694"/>
          <w:tab w:val="left" w:pos="2207"/>
        </w:tabs>
        <w:spacing w:before="167" w:line="249" w:lineRule="auto"/>
        <w:ind w:right="279" w:hanging="1965"/>
        <w:rPr>
          <w:sz w:val="20"/>
        </w:rPr>
      </w:pPr>
      <w:r>
        <w:rPr>
          <w:sz w:val="20"/>
        </w:rPr>
        <w:t>*</w:t>
      </w:r>
      <w:r>
        <w:rPr>
          <w:sz w:val="20"/>
        </w:rPr>
        <w:tab/>
      </w:r>
      <w:hyperlink r:id="rId152">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Management</w:t>
        </w:r>
        <w:r>
          <w:rPr>
            <w:color w:val="0000FF"/>
            <w:spacing w:val="-4"/>
            <w:sz w:val="20"/>
            <w:u w:val="single" w:color="0000FF"/>
          </w:rPr>
          <w:t xml:space="preserve"> </w:t>
        </w:r>
        <w:r>
          <w:rPr>
            <w:color w:val="0000FF"/>
            <w:sz w:val="20"/>
            <w:u w:val="single" w:color="0000FF"/>
          </w:rPr>
          <w:t>Bo</w:t>
        </w:r>
        <w:r>
          <w:rPr>
            <w:color w:val="0000FF"/>
            <w:sz w:val="20"/>
            <w:u w:val="single" w:color="0000FF"/>
          </w:rPr>
          <w:t>nus</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10.3</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hyperlink>
      <w:hyperlink r:id="rId153">
        <w:r>
          <w:rPr>
            <w:color w:val="0000FF"/>
            <w:sz w:val="20"/>
            <w:u w:val="single" w:color="0000FF"/>
          </w:rPr>
          <w:t xml:space="preserve"> Current Report on Form 8-K dated February 8, 2017, File No.</w:t>
        </w:r>
        <w:r>
          <w:rPr>
            <w:color w:val="0000FF"/>
            <w:spacing w:val="-8"/>
            <w:sz w:val="20"/>
            <w:u w:val="single" w:color="0000FF"/>
          </w:rPr>
          <w:t xml:space="preserve"> </w:t>
        </w:r>
        <w:r>
          <w:rPr>
            <w:color w:val="0000FF"/>
            <w:sz w:val="20"/>
            <w:u w:val="single" w:color="0000FF"/>
          </w:rPr>
          <w:t>001-09608).</w:t>
        </w:r>
      </w:hyperlink>
    </w:p>
    <w:p w14:paraId="7326D38C" w14:textId="77777777" w:rsidR="00EF3DFB" w:rsidRDefault="00EF3DFB">
      <w:pPr>
        <w:pStyle w:val="BodyText"/>
        <w:spacing w:before="1"/>
        <w:rPr>
          <w:sz w:val="13"/>
        </w:rPr>
      </w:pPr>
    </w:p>
    <w:p w14:paraId="7326D38D" w14:textId="77777777" w:rsidR="00EF3DFB" w:rsidRDefault="00D27C17">
      <w:pPr>
        <w:pStyle w:val="ListParagraph"/>
        <w:numPr>
          <w:ilvl w:val="1"/>
          <w:numId w:val="12"/>
        </w:numPr>
        <w:tabs>
          <w:tab w:val="left" w:pos="694"/>
          <w:tab w:val="left" w:pos="2207"/>
        </w:tabs>
        <w:spacing w:before="91" w:line="249" w:lineRule="auto"/>
        <w:ind w:right="301" w:hanging="1965"/>
        <w:rPr>
          <w:sz w:val="20"/>
        </w:rPr>
      </w:pPr>
      <w:r>
        <w:rPr>
          <w:sz w:val="20"/>
        </w:rPr>
        <w:t>*</w:t>
      </w:r>
      <w:r>
        <w:rPr>
          <w:sz w:val="20"/>
        </w:rPr>
        <w:tab/>
      </w:r>
      <w:hyperlink r:id="rId154">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Management</w:t>
        </w:r>
        <w:r>
          <w:rPr>
            <w:color w:val="0000FF"/>
            <w:spacing w:val="-4"/>
            <w:sz w:val="20"/>
            <w:u w:val="single" w:color="0000FF"/>
          </w:rPr>
          <w:t xml:space="preserve"> </w:t>
        </w:r>
        <w:r>
          <w:rPr>
            <w:color w:val="0000FF"/>
            <w:sz w:val="20"/>
            <w:u w:val="single" w:color="0000FF"/>
          </w:rPr>
          <w:t>Bonus</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10.3</w:t>
        </w:r>
        <w:r>
          <w:rPr>
            <w:color w:val="0000FF"/>
            <w:spacing w:val="-3"/>
            <w:sz w:val="20"/>
            <w:u w:val="single" w:color="0000FF"/>
          </w:rPr>
          <w:t xml:space="preserve"> </w:t>
        </w:r>
        <w:r>
          <w:rPr>
            <w:color w:val="0000FF"/>
            <w:sz w:val="20"/>
            <w:u w:val="single" w:color="0000FF"/>
          </w:rPr>
          <w:t>to</w:t>
        </w:r>
      </w:hyperlink>
      <w:hyperlink r:id="rId155">
        <w:r>
          <w:rPr>
            <w:color w:val="0000FF"/>
            <w:sz w:val="20"/>
            <w:u w:val="single" w:color="0000FF"/>
          </w:rPr>
          <w:t xml:space="preserve"> the Company’s Current Report on Form 8-K dated February 13, 2018, File No.</w:t>
        </w:r>
        <w:r>
          <w:rPr>
            <w:color w:val="0000FF"/>
            <w:spacing w:val="-14"/>
            <w:sz w:val="20"/>
            <w:u w:val="single" w:color="0000FF"/>
          </w:rPr>
          <w:t xml:space="preserve"> </w:t>
        </w:r>
        <w:r>
          <w:rPr>
            <w:color w:val="0000FF"/>
            <w:sz w:val="20"/>
            <w:u w:val="single" w:color="0000FF"/>
          </w:rPr>
          <w:t>001-09608).</w:t>
        </w:r>
      </w:hyperlink>
    </w:p>
    <w:p w14:paraId="7326D38E" w14:textId="77777777" w:rsidR="00EF3DFB" w:rsidRDefault="00D27C17">
      <w:pPr>
        <w:pStyle w:val="ListParagraph"/>
        <w:numPr>
          <w:ilvl w:val="1"/>
          <w:numId w:val="12"/>
        </w:numPr>
        <w:tabs>
          <w:tab w:val="left" w:pos="694"/>
          <w:tab w:val="left" w:pos="2207"/>
        </w:tabs>
        <w:spacing w:before="182" w:line="249" w:lineRule="auto"/>
        <w:ind w:right="516" w:hanging="1965"/>
        <w:rPr>
          <w:sz w:val="20"/>
        </w:rPr>
      </w:pPr>
      <w:r>
        <w:rPr>
          <w:sz w:val="20"/>
        </w:rPr>
        <w:t>*</w:t>
      </w:r>
      <w:r>
        <w:rPr>
          <w:sz w:val="20"/>
        </w:rPr>
        <w:tab/>
      </w:r>
      <w:hyperlink r:id="rId156">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Option</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2003</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hyperlink>
      <w:hyperlink r:id="rId157">
        <w:r>
          <w:rPr>
            <w:color w:val="0000FF"/>
            <w:sz w:val="20"/>
            <w:u w:val="single" w:color="0000FF"/>
          </w:rPr>
          <w:t xml:space="preserve"> reference to Exhibit 10.9 to the Company’s Annual Report on Form 10-K for the year ended</w:t>
        </w:r>
      </w:hyperlink>
      <w:hyperlink r:id="rId158">
        <w:r>
          <w:rPr>
            <w:color w:val="0000FF"/>
            <w:sz w:val="20"/>
            <w:u w:val="single" w:color="0000FF"/>
          </w:rPr>
          <w:t xml:space="preserve"> December 31, 2008, File No.</w:t>
        </w:r>
        <w:r>
          <w:rPr>
            <w:color w:val="0000FF"/>
            <w:spacing w:val="-2"/>
            <w:sz w:val="20"/>
            <w:u w:val="single" w:color="0000FF"/>
          </w:rPr>
          <w:t xml:space="preserve"> </w:t>
        </w:r>
        <w:r>
          <w:rPr>
            <w:color w:val="0000FF"/>
            <w:sz w:val="20"/>
            <w:u w:val="single" w:color="0000FF"/>
          </w:rPr>
          <w:t>001-09608).</w:t>
        </w:r>
      </w:hyperlink>
    </w:p>
    <w:p w14:paraId="7326D38F" w14:textId="77777777" w:rsidR="00EF3DFB" w:rsidRDefault="00D27C17">
      <w:pPr>
        <w:pStyle w:val="ListParagraph"/>
        <w:numPr>
          <w:ilvl w:val="1"/>
          <w:numId w:val="12"/>
        </w:numPr>
        <w:tabs>
          <w:tab w:val="left" w:pos="694"/>
          <w:tab w:val="left" w:pos="2207"/>
        </w:tabs>
        <w:spacing w:before="183" w:line="249" w:lineRule="auto"/>
        <w:ind w:right="333" w:hanging="1965"/>
        <w:rPr>
          <w:sz w:val="20"/>
        </w:rPr>
      </w:pPr>
      <w:r>
        <w:rPr>
          <w:sz w:val="20"/>
        </w:rPr>
        <w:t>*</w:t>
      </w:r>
      <w:r>
        <w:rPr>
          <w:sz w:val="20"/>
        </w:rPr>
        <w:tab/>
      </w:r>
      <w:hyperlink r:id="rId159">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Michael</w:t>
        </w:r>
        <w:r>
          <w:rPr>
            <w:color w:val="0000FF"/>
            <w:spacing w:val="-4"/>
            <w:sz w:val="20"/>
            <w:u w:val="single" w:color="0000FF"/>
          </w:rPr>
          <w:t xml:space="preserve"> </w:t>
        </w:r>
        <w:r>
          <w:rPr>
            <w:color w:val="0000FF"/>
            <w:sz w:val="20"/>
            <w:u w:val="single" w:color="0000FF"/>
          </w:rPr>
          <w:t>B.</w:t>
        </w:r>
        <w:r>
          <w:rPr>
            <w:color w:val="0000FF"/>
            <w:spacing w:val="-3"/>
            <w:sz w:val="20"/>
            <w:u w:val="single" w:color="0000FF"/>
          </w:rPr>
          <w:t xml:space="preserve"> </w:t>
        </w:r>
        <w:r>
          <w:rPr>
            <w:color w:val="0000FF"/>
            <w:sz w:val="20"/>
            <w:u w:val="single" w:color="0000FF"/>
          </w:rPr>
          <w:t>Polk</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Option</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July</w:t>
        </w:r>
        <w:r>
          <w:rPr>
            <w:color w:val="0000FF"/>
            <w:spacing w:val="-3"/>
            <w:sz w:val="20"/>
            <w:u w:val="single" w:color="0000FF"/>
          </w:rPr>
          <w:t xml:space="preserve"> </w:t>
        </w:r>
        <w:r>
          <w:rPr>
            <w:color w:val="0000FF"/>
            <w:sz w:val="20"/>
            <w:u w:val="single" w:color="0000FF"/>
          </w:rPr>
          <w:t>18,</w:t>
        </w:r>
        <w:r>
          <w:rPr>
            <w:color w:val="0000FF"/>
            <w:spacing w:val="-3"/>
            <w:sz w:val="20"/>
            <w:u w:val="single" w:color="0000FF"/>
          </w:rPr>
          <w:t xml:space="preserve"> </w:t>
        </w:r>
        <w:r>
          <w:rPr>
            <w:color w:val="0000FF"/>
            <w:sz w:val="20"/>
            <w:u w:val="single" w:color="0000FF"/>
          </w:rPr>
          <w:t>2011</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hyperlink>
      <w:hyperlink r:id="rId160">
        <w:r>
          <w:rPr>
            <w:color w:val="0000FF"/>
            <w:sz w:val="20"/>
            <w:u w:val="single" w:color="0000FF"/>
          </w:rPr>
          <w:t xml:space="preserve"> Exhibit 10.2 to the Company’s Current Report on Form 8-K dated July 18, 2011, File No.</w:t>
        </w:r>
        <w:r>
          <w:rPr>
            <w:color w:val="0000FF"/>
            <w:spacing w:val="-25"/>
            <w:sz w:val="20"/>
            <w:u w:val="single" w:color="0000FF"/>
          </w:rPr>
          <w:t xml:space="preserve"> </w:t>
        </w:r>
        <w:r>
          <w:rPr>
            <w:color w:val="0000FF"/>
            <w:sz w:val="20"/>
            <w:u w:val="single" w:color="0000FF"/>
          </w:rPr>
          <w:t>001-09608).</w:t>
        </w:r>
      </w:hyperlink>
    </w:p>
    <w:p w14:paraId="7326D390" w14:textId="77777777" w:rsidR="00EF3DFB" w:rsidRDefault="00EF3DFB">
      <w:pPr>
        <w:pStyle w:val="BodyText"/>
        <w:spacing w:before="4"/>
        <w:rPr>
          <w:sz w:val="10"/>
        </w:rPr>
      </w:pPr>
    </w:p>
    <w:p w14:paraId="7326D391" w14:textId="77777777" w:rsidR="00EF3DFB" w:rsidRDefault="00D27C17">
      <w:pPr>
        <w:pStyle w:val="ListParagraph"/>
        <w:numPr>
          <w:ilvl w:val="1"/>
          <w:numId w:val="12"/>
        </w:numPr>
        <w:tabs>
          <w:tab w:val="left" w:pos="694"/>
          <w:tab w:val="left" w:pos="2207"/>
        </w:tabs>
        <w:spacing w:before="92" w:line="249" w:lineRule="auto"/>
        <w:ind w:right="755" w:hanging="1965"/>
        <w:rPr>
          <w:sz w:val="20"/>
        </w:rPr>
      </w:pPr>
      <w:r>
        <w:rPr>
          <w:sz w:val="20"/>
        </w:rPr>
        <w:t>*</w:t>
      </w:r>
      <w:r>
        <w:rPr>
          <w:sz w:val="20"/>
        </w:rPr>
        <w:tab/>
      </w:r>
      <w:hyperlink r:id="rId161">
        <w:r>
          <w:rPr>
            <w:color w:val="0000FF"/>
            <w:sz w:val="20"/>
            <w:u w:val="single" w:color="0000FF"/>
          </w:rPr>
          <w:t>Performance-Based Restricted Stock Unit Award Agreement of Ralph Nicoletti dated June 8, 2016</w:t>
        </w:r>
      </w:hyperlink>
      <w:hyperlink r:id="rId162">
        <w:r>
          <w:rPr>
            <w:color w:val="0000FF"/>
            <w:sz w:val="20"/>
            <w:u w:val="single" w:color="0000FF"/>
          </w:rPr>
          <w:t xml:space="preserve"> (incorporated by reference to Exhibit 10.8 to the Company’s Quarterly Report on Form 10-Q for</w:t>
        </w:r>
        <w:r>
          <w:rPr>
            <w:color w:val="0000FF"/>
            <w:spacing w:val="-33"/>
            <w:sz w:val="20"/>
            <w:u w:val="single" w:color="0000FF"/>
          </w:rPr>
          <w:t xml:space="preserve"> </w:t>
        </w:r>
        <w:r>
          <w:rPr>
            <w:color w:val="0000FF"/>
            <w:sz w:val="20"/>
            <w:u w:val="single" w:color="0000FF"/>
          </w:rPr>
          <w:t>the</w:t>
        </w:r>
      </w:hyperlink>
      <w:hyperlink r:id="rId163">
        <w:r>
          <w:rPr>
            <w:color w:val="0000FF"/>
            <w:sz w:val="20"/>
            <w:u w:val="single" w:color="0000FF"/>
          </w:rPr>
          <w:t xml:space="preserve"> q</w:t>
        </w:r>
        <w:r>
          <w:rPr>
            <w:color w:val="0000FF"/>
            <w:sz w:val="20"/>
            <w:u w:val="single" w:color="0000FF"/>
          </w:rPr>
          <w:t>uarterly period ended June 30, 2016, File No.</w:t>
        </w:r>
        <w:r>
          <w:rPr>
            <w:color w:val="0000FF"/>
            <w:spacing w:val="45"/>
            <w:sz w:val="20"/>
            <w:u w:val="single" w:color="0000FF"/>
          </w:rPr>
          <w:t xml:space="preserve"> </w:t>
        </w:r>
        <w:r>
          <w:rPr>
            <w:color w:val="0000FF"/>
            <w:sz w:val="20"/>
            <w:u w:val="single" w:color="0000FF"/>
          </w:rPr>
          <w:t>001-09608).</w:t>
        </w:r>
      </w:hyperlink>
    </w:p>
    <w:p w14:paraId="7326D392" w14:textId="77777777" w:rsidR="00EF3DFB" w:rsidRDefault="00EF3DFB">
      <w:pPr>
        <w:pStyle w:val="BodyText"/>
        <w:spacing w:before="6"/>
        <w:rPr>
          <w:sz w:val="10"/>
        </w:rPr>
      </w:pPr>
    </w:p>
    <w:p w14:paraId="7326D393" w14:textId="77777777" w:rsidR="00EF3DFB" w:rsidRDefault="00D27C17">
      <w:pPr>
        <w:pStyle w:val="ListParagraph"/>
        <w:numPr>
          <w:ilvl w:val="1"/>
          <w:numId w:val="12"/>
        </w:numPr>
        <w:tabs>
          <w:tab w:val="left" w:pos="694"/>
          <w:tab w:val="left" w:pos="2207"/>
        </w:tabs>
        <w:spacing w:before="92" w:line="249" w:lineRule="auto"/>
        <w:ind w:right="302" w:hanging="1965"/>
        <w:rPr>
          <w:sz w:val="20"/>
        </w:rPr>
      </w:pPr>
      <w:r>
        <w:rPr>
          <w:sz w:val="20"/>
        </w:rPr>
        <w:t>*</w:t>
      </w:r>
      <w:r>
        <w:rPr>
          <w:sz w:val="20"/>
        </w:rPr>
        <w:tab/>
      </w:r>
      <w:hyperlink r:id="rId164">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(awarding</w:t>
        </w:r>
        <w:r>
          <w:rPr>
            <w:color w:val="0000FF"/>
            <w:spacing w:val="-3"/>
            <w:sz w:val="20"/>
            <w:u w:val="single" w:color="0000FF"/>
          </w:rPr>
          <w:t xml:space="preserve"> </w:t>
        </w:r>
        <w:r>
          <w:rPr>
            <w:color w:val="0000FF"/>
            <w:sz w:val="20"/>
            <w:u w:val="single" w:color="0000FF"/>
          </w:rPr>
          <w:t>restricted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units)</w:t>
        </w:r>
        <w:r>
          <w:rPr>
            <w:color w:val="0000FF"/>
            <w:spacing w:val="-3"/>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Br</w:t>
        </w:r>
        <w:r>
          <w:rPr>
            <w:color w:val="0000FF"/>
            <w:sz w:val="20"/>
            <w:u w:val="single" w:color="0000FF"/>
          </w:rPr>
          <w:t>adford</w:t>
        </w:r>
        <w:r>
          <w:rPr>
            <w:color w:val="0000FF"/>
            <w:spacing w:val="-3"/>
            <w:sz w:val="20"/>
            <w:u w:val="single" w:color="0000FF"/>
          </w:rPr>
          <w:t xml:space="preserve"> </w:t>
        </w:r>
        <w:r>
          <w:rPr>
            <w:color w:val="0000FF"/>
            <w:sz w:val="20"/>
            <w:u w:val="single" w:color="0000FF"/>
          </w:rPr>
          <w:t>R.</w:t>
        </w:r>
      </w:hyperlink>
      <w:hyperlink r:id="rId165">
        <w:r>
          <w:rPr>
            <w:color w:val="0000FF"/>
            <w:sz w:val="20"/>
            <w:u w:val="single" w:color="0000FF"/>
          </w:rPr>
          <w:t xml:space="preserve"> Turner (incorporated by referenced to Exhibit 99.2 to the Company’s Current Report on Form 8-K dated</w:t>
        </w:r>
      </w:hyperlink>
      <w:hyperlink r:id="rId166">
        <w:r>
          <w:rPr>
            <w:color w:val="0000FF"/>
            <w:sz w:val="20"/>
            <w:u w:val="single" w:color="0000FF"/>
          </w:rPr>
          <w:t xml:space="preserve"> May 18, 2018, File No.</w:t>
        </w:r>
        <w:r>
          <w:rPr>
            <w:color w:val="0000FF"/>
            <w:spacing w:val="-2"/>
            <w:sz w:val="20"/>
            <w:u w:val="single" w:color="0000FF"/>
          </w:rPr>
          <w:t xml:space="preserve"> </w:t>
        </w:r>
        <w:r>
          <w:rPr>
            <w:color w:val="0000FF"/>
            <w:sz w:val="20"/>
            <w:u w:val="single" w:color="0000FF"/>
          </w:rPr>
          <w:t>001-09608).</w:t>
        </w:r>
      </w:hyperlink>
    </w:p>
    <w:p w14:paraId="7326D394" w14:textId="77777777" w:rsidR="00EF3DFB" w:rsidRDefault="00EF3DFB">
      <w:pPr>
        <w:pStyle w:val="BodyText"/>
        <w:spacing w:before="9"/>
        <w:rPr>
          <w:sz w:val="11"/>
        </w:rPr>
      </w:pPr>
    </w:p>
    <w:p w14:paraId="7326D395" w14:textId="77777777" w:rsidR="00EF3DFB" w:rsidRDefault="00D27C17">
      <w:pPr>
        <w:pStyle w:val="ListParagraph"/>
        <w:numPr>
          <w:ilvl w:val="1"/>
          <w:numId w:val="12"/>
        </w:numPr>
        <w:tabs>
          <w:tab w:val="left" w:pos="694"/>
          <w:tab w:val="left" w:pos="2207"/>
        </w:tabs>
        <w:spacing w:before="92" w:line="249" w:lineRule="auto"/>
        <w:ind w:right="273" w:hanging="1965"/>
        <w:rPr>
          <w:sz w:val="20"/>
        </w:rPr>
      </w:pPr>
      <w:r>
        <w:rPr>
          <w:sz w:val="20"/>
        </w:rPr>
        <w:t>*</w:t>
      </w:r>
      <w:r>
        <w:rPr>
          <w:sz w:val="20"/>
        </w:rPr>
        <w:tab/>
      </w:r>
      <w:hyperlink r:id="rId167">
        <w:r>
          <w:rPr>
            <w:color w:val="0000FF"/>
            <w:sz w:val="20"/>
            <w:u w:val="single" w:color="0000FF"/>
          </w:rPr>
          <w:t>Form of Stock Option Agreement under the Newell Rubbermaid Inc. 2010 Stock Plan (incorporated by</w:t>
        </w:r>
      </w:hyperlink>
      <w:hyperlink r:id="rId168">
        <w:r>
          <w:rPr>
            <w:color w:val="0000FF"/>
            <w:sz w:val="20"/>
            <w:u w:val="single" w:color="0000FF"/>
          </w:rPr>
          <w:t xml:space="preserve"> reference</w:t>
        </w:r>
        <w:r>
          <w:rPr>
            <w:color w:val="0000FF"/>
            <w:spacing w:val="-3"/>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10.6</w:t>
        </w:r>
        <w:r>
          <w:rPr>
            <w:color w:val="0000FF"/>
            <w:spacing w:val="-2"/>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Company’s</w:t>
        </w:r>
        <w:r>
          <w:rPr>
            <w:color w:val="0000FF"/>
            <w:spacing w:val="-3"/>
            <w:sz w:val="20"/>
            <w:u w:val="single" w:color="0000FF"/>
          </w:rPr>
          <w:t xml:space="preserve"> </w:t>
        </w:r>
        <w:r>
          <w:rPr>
            <w:color w:val="0000FF"/>
            <w:sz w:val="20"/>
            <w:u w:val="single" w:color="0000FF"/>
          </w:rPr>
          <w:t>Quarterly</w:t>
        </w:r>
        <w:r>
          <w:rPr>
            <w:color w:val="0000FF"/>
            <w:spacing w:val="-2"/>
            <w:sz w:val="20"/>
            <w:u w:val="single" w:color="0000FF"/>
          </w:rPr>
          <w:t xml:space="preserve"> </w:t>
        </w:r>
        <w:r>
          <w:rPr>
            <w:color w:val="0000FF"/>
            <w:sz w:val="20"/>
            <w:u w:val="single" w:color="0000FF"/>
          </w:rPr>
          <w:t>Report</w:t>
        </w:r>
        <w:r>
          <w:rPr>
            <w:color w:val="0000FF"/>
            <w:spacing w:val="-3"/>
            <w:sz w:val="20"/>
            <w:u w:val="single" w:color="0000FF"/>
          </w:rPr>
          <w:t xml:space="preserve"> </w:t>
        </w:r>
        <w:r>
          <w:rPr>
            <w:color w:val="0000FF"/>
            <w:sz w:val="20"/>
            <w:u w:val="single" w:color="0000FF"/>
          </w:rPr>
          <w:t>on</w:t>
        </w:r>
        <w:r>
          <w:rPr>
            <w:color w:val="0000FF"/>
            <w:spacing w:val="-2"/>
            <w:sz w:val="20"/>
            <w:u w:val="single" w:color="0000FF"/>
          </w:rPr>
          <w:t xml:space="preserve"> </w:t>
        </w:r>
        <w:r>
          <w:rPr>
            <w:color w:val="0000FF"/>
            <w:sz w:val="20"/>
            <w:u w:val="single" w:color="0000FF"/>
          </w:rPr>
          <w:t>Form</w:t>
        </w:r>
        <w:r>
          <w:rPr>
            <w:color w:val="0000FF"/>
            <w:spacing w:val="-3"/>
            <w:sz w:val="20"/>
            <w:u w:val="single" w:color="0000FF"/>
          </w:rPr>
          <w:t xml:space="preserve"> </w:t>
        </w:r>
        <w:r>
          <w:rPr>
            <w:color w:val="0000FF"/>
            <w:sz w:val="20"/>
            <w:u w:val="single" w:color="0000FF"/>
          </w:rPr>
          <w:t>10-Q</w:t>
        </w:r>
        <w:r>
          <w:rPr>
            <w:color w:val="0000FF"/>
            <w:spacing w:val="-3"/>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quarterly</w:t>
        </w:r>
        <w:r>
          <w:rPr>
            <w:color w:val="0000FF"/>
            <w:spacing w:val="-2"/>
            <w:sz w:val="20"/>
            <w:u w:val="single" w:color="0000FF"/>
          </w:rPr>
          <w:t xml:space="preserve"> </w:t>
        </w:r>
        <w:r>
          <w:rPr>
            <w:color w:val="0000FF"/>
            <w:sz w:val="20"/>
            <w:u w:val="single" w:color="0000FF"/>
          </w:rPr>
          <w:t>period</w:t>
        </w:r>
        <w:r>
          <w:rPr>
            <w:color w:val="0000FF"/>
            <w:spacing w:val="-2"/>
            <w:sz w:val="20"/>
            <w:u w:val="single" w:color="0000FF"/>
          </w:rPr>
          <w:t xml:space="preserve"> </w:t>
        </w:r>
        <w:r>
          <w:rPr>
            <w:color w:val="0000FF"/>
            <w:sz w:val="20"/>
            <w:u w:val="single" w:color="0000FF"/>
          </w:rPr>
          <w:t>ended</w:t>
        </w:r>
      </w:hyperlink>
      <w:hyperlink r:id="rId169">
        <w:r>
          <w:rPr>
            <w:color w:val="0000FF"/>
            <w:sz w:val="20"/>
            <w:u w:val="single" w:color="0000FF"/>
          </w:rPr>
          <w:t xml:space="preserve"> June 30, 2010, File No.</w:t>
        </w:r>
        <w:r>
          <w:rPr>
            <w:color w:val="0000FF"/>
            <w:spacing w:val="-3"/>
            <w:sz w:val="20"/>
            <w:u w:val="single" w:color="0000FF"/>
          </w:rPr>
          <w:t xml:space="preserve"> </w:t>
        </w:r>
        <w:r>
          <w:rPr>
            <w:color w:val="0000FF"/>
            <w:sz w:val="20"/>
            <w:u w:val="single" w:color="0000FF"/>
          </w:rPr>
          <w:t>001-</w:t>
        </w:r>
        <w:r>
          <w:rPr>
            <w:color w:val="0000FF"/>
            <w:sz w:val="20"/>
            <w:u w:val="single" w:color="0000FF"/>
          </w:rPr>
          <w:t>09608).</w:t>
        </w:r>
      </w:hyperlink>
    </w:p>
    <w:p w14:paraId="7326D396" w14:textId="77777777" w:rsidR="00EF3DFB" w:rsidRDefault="00EF3DFB">
      <w:pPr>
        <w:spacing w:line="249" w:lineRule="auto"/>
        <w:rPr>
          <w:sz w:val="20"/>
        </w:rPr>
        <w:sectPr w:rsidR="00EF3DFB">
          <w:pgSz w:w="12240" w:h="15840"/>
          <w:pgMar w:top="660" w:right="640" w:bottom="480" w:left="620" w:header="0" w:footer="291" w:gutter="0"/>
          <w:cols w:space="720"/>
        </w:sectPr>
      </w:pPr>
    </w:p>
    <w:p w14:paraId="7326D397" w14:textId="77777777" w:rsidR="00EF3DFB" w:rsidRDefault="00D27C17">
      <w:pPr>
        <w:pStyle w:val="ListParagraph"/>
        <w:numPr>
          <w:ilvl w:val="1"/>
          <w:numId w:val="12"/>
        </w:numPr>
        <w:tabs>
          <w:tab w:val="left" w:pos="694"/>
          <w:tab w:val="left" w:pos="2207"/>
        </w:tabs>
        <w:spacing w:before="64" w:line="249" w:lineRule="auto"/>
        <w:ind w:right="344" w:hanging="1965"/>
        <w:rPr>
          <w:sz w:val="20"/>
        </w:rPr>
      </w:pPr>
      <w:r>
        <w:rPr>
          <w:sz w:val="20"/>
        </w:rPr>
        <w:lastRenderedPageBreak/>
        <w:t>*</w:t>
      </w:r>
      <w:r>
        <w:rPr>
          <w:sz w:val="20"/>
        </w:rPr>
        <w:tab/>
      </w:r>
      <w:hyperlink r:id="rId170">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Non-Qualified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Option</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71">
        <w:r>
          <w:rPr>
            <w:color w:val="0000FF"/>
            <w:sz w:val="20"/>
            <w:u w:val="single" w:color="0000FF"/>
          </w:rPr>
          <w:t xml:space="preserve"> Plan, as amended, for Awards to Employees (Management Committee) (incorporated by reference to</w:t>
        </w:r>
      </w:hyperlink>
      <w:hyperlink r:id="rId172">
        <w:r>
          <w:rPr>
            <w:color w:val="0000FF"/>
            <w:sz w:val="20"/>
            <w:u w:val="single" w:color="0000FF"/>
          </w:rPr>
          <w:t xml:space="preserve"> Exhibit 10.4 to the Company’s Quarterly Report on Form 10-Q for the quarterly period ended March 31,</w:t>
        </w:r>
      </w:hyperlink>
      <w:hyperlink r:id="rId173">
        <w:r>
          <w:rPr>
            <w:color w:val="0000FF"/>
            <w:sz w:val="20"/>
            <w:u w:val="single" w:color="0000FF"/>
          </w:rPr>
          <w:t xml:space="preserve"> 2020, File No.</w:t>
        </w:r>
        <w:r>
          <w:rPr>
            <w:color w:val="0000FF"/>
            <w:spacing w:val="-2"/>
            <w:sz w:val="20"/>
            <w:u w:val="single" w:color="0000FF"/>
          </w:rPr>
          <w:t xml:space="preserve"> </w:t>
        </w:r>
        <w:r>
          <w:rPr>
            <w:color w:val="0000FF"/>
            <w:sz w:val="20"/>
            <w:u w:val="single" w:color="0000FF"/>
          </w:rPr>
          <w:t>001-09608).</w:t>
        </w:r>
      </w:hyperlink>
    </w:p>
    <w:p w14:paraId="7326D398" w14:textId="77777777" w:rsidR="00EF3DFB" w:rsidRDefault="00D27C17">
      <w:pPr>
        <w:pStyle w:val="ListParagraph"/>
        <w:numPr>
          <w:ilvl w:val="1"/>
          <w:numId w:val="12"/>
        </w:numPr>
        <w:tabs>
          <w:tab w:val="left" w:pos="694"/>
          <w:tab w:val="left" w:pos="2207"/>
        </w:tabs>
        <w:spacing w:before="168" w:line="249" w:lineRule="auto"/>
        <w:ind w:right="285" w:hanging="1965"/>
        <w:rPr>
          <w:sz w:val="20"/>
        </w:rPr>
      </w:pPr>
      <w:r>
        <w:rPr>
          <w:sz w:val="20"/>
        </w:rPr>
        <w:t>*</w:t>
      </w:r>
      <w:r>
        <w:rPr>
          <w:sz w:val="20"/>
        </w:rPr>
        <w:tab/>
      </w:r>
      <w:hyperlink r:id="rId174">
        <w:r>
          <w:rPr>
            <w:color w:val="0000FF"/>
            <w:sz w:val="20"/>
            <w:u w:val="single" w:color="0000FF"/>
          </w:rPr>
          <w:t>Form of 2020 Non-Qualified Stock Option Agreement under the Newell Rubbermaid Inc. 2013 Incentiv</w:t>
        </w:r>
        <w:r>
          <w:rPr>
            <w:color w:val="0000FF"/>
            <w:sz w:val="20"/>
            <w:u w:val="single" w:color="0000FF"/>
          </w:rPr>
          <w:t>e</w:t>
        </w:r>
      </w:hyperlink>
      <w:hyperlink r:id="rId175">
        <w:r>
          <w:rPr>
            <w:color w:val="0000FF"/>
            <w:sz w:val="20"/>
            <w:u w:val="single" w:color="0000FF"/>
          </w:rPr>
          <w:t xml:space="preserve"> Plan,</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amended,</w:t>
        </w:r>
        <w:r>
          <w:rPr>
            <w:color w:val="0000FF"/>
            <w:spacing w:val="-3"/>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Awards</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10.5</w:t>
        </w:r>
        <w:r>
          <w:rPr>
            <w:color w:val="0000FF"/>
            <w:spacing w:val="-3"/>
            <w:sz w:val="20"/>
            <w:u w:val="single" w:color="0000FF"/>
          </w:rPr>
          <w:t xml:space="preserve"> </w:t>
        </w:r>
        <w:r>
          <w:rPr>
            <w:color w:val="0000FF"/>
            <w:sz w:val="20"/>
            <w:u w:val="single" w:color="0000FF"/>
          </w:rPr>
          <w:t>to</w:t>
        </w:r>
      </w:hyperlink>
      <w:hyperlink r:id="rId176">
        <w:r>
          <w:rPr>
            <w:color w:val="0000FF"/>
            <w:sz w:val="20"/>
            <w:u w:val="single" w:color="0000FF"/>
          </w:rPr>
          <w:t xml:space="preserve"> the Company’s Quarterly Report on Form 10-Q for the quarterly period ended March 31, 2020, File No.</w:t>
        </w:r>
      </w:hyperlink>
      <w:hyperlink r:id="rId177">
        <w:r>
          <w:rPr>
            <w:color w:val="0000FF"/>
            <w:sz w:val="20"/>
            <w:u w:val="single" w:color="0000FF"/>
          </w:rPr>
          <w:t xml:space="preserve"> 001-09608).</w:t>
        </w:r>
      </w:hyperlink>
    </w:p>
    <w:p w14:paraId="7326D399" w14:textId="77777777" w:rsidR="00EF3DFB" w:rsidRDefault="00EF3DFB">
      <w:pPr>
        <w:pStyle w:val="BodyText"/>
        <w:spacing w:before="11"/>
        <w:rPr>
          <w:sz w:val="11"/>
        </w:rPr>
      </w:pPr>
    </w:p>
    <w:p w14:paraId="7326D39A" w14:textId="77777777" w:rsidR="00EF3DFB" w:rsidRDefault="00D27C17">
      <w:pPr>
        <w:pStyle w:val="ListParagraph"/>
        <w:numPr>
          <w:ilvl w:val="1"/>
          <w:numId w:val="12"/>
        </w:numPr>
        <w:tabs>
          <w:tab w:val="left" w:pos="694"/>
          <w:tab w:val="left" w:pos="2207"/>
        </w:tabs>
        <w:spacing w:before="91" w:line="249" w:lineRule="auto"/>
        <w:ind w:right="341" w:hanging="1965"/>
        <w:rPr>
          <w:sz w:val="20"/>
        </w:rPr>
      </w:pPr>
      <w:r>
        <w:rPr>
          <w:sz w:val="20"/>
        </w:rPr>
        <w:t>*</w:t>
      </w:r>
      <w:r>
        <w:rPr>
          <w:sz w:val="20"/>
        </w:rPr>
        <w:tab/>
      </w:r>
      <w:hyperlink r:id="rId178">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Non-Qualified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Option</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79">
        <w:r>
          <w:rPr>
            <w:color w:val="0000FF"/>
            <w:sz w:val="20"/>
            <w:u w:val="single" w:color="0000FF"/>
          </w:rPr>
          <w:t xml:space="preserve"> Plan,</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amended,</w:t>
        </w:r>
        <w:r>
          <w:rPr>
            <w:color w:val="0000FF"/>
            <w:spacing w:val="-3"/>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Awards</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Financial</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10.6</w:t>
        </w:r>
        <w:r>
          <w:rPr>
            <w:color w:val="0000FF"/>
            <w:spacing w:val="-3"/>
            <w:sz w:val="20"/>
            <w:u w:val="single" w:color="0000FF"/>
          </w:rPr>
          <w:t xml:space="preserve"> </w:t>
        </w:r>
        <w:r>
          <w:rPr>
            <w:color w:val="0000FF"/>
            <w:sz w:val="20"/>
            <w:u w:val="single" w:color="0000FF"/>
          </w:rPr>
          <w:t>to</w:t>
        </w:r>
      </w:hyperlink>
      <w:hyperlink r:id="rId180">
        <w:r>
          <w:rPr>
            <w:color w:val="0000FF"/>
            <w:sz w:val="20"/>
            <w:u w:val="single" w:color="0000FF"/>
          </w:rPr>
          <w:t xml:space="preserve"> the Company’s Quarterly Report on Form 10-Q for the quarterly period ended March 31, 2020, File No.</w:t>
        </w:r>
      </w:hyperlink>
      <w:hyperlink r:id="rId181">
        <w:r>
          <w:rPr>
            <w:color w:val="0000FF"/>
            <w:sz w:val="20"/>
            <w:u w:val="single" w:color="0000FF"/>
          </w:rPr>
          <w:t xml:space="preserve"> 001-09608).</w:t>
        </w:r>
      </w:hyperlink>
    </w:p>
    <w:p w14:paraId="7326D39B" w14:textId="77777777" w:rsidR="00EF3DFB" w:rsidRDefault="00D27C17">
      <w:pPr>
        <w:pStyle w:val="ListParagraph"/>
        <w:numPr>
          <w:ilvl w:val="1"/>
          <w:numId w:val="12"/>
        </w:numPr>
        <w:tabs>
          <w:tab w:val="left" w:pos="694"/>
          <w:tab w:val="left" w:pos="2207"/>
        </w:tabs>
        <w:spacing w:before="184" w:line="249" w:lineRule="auto"/>
        <w:ind w:right="422" w:hanging="1965"/>
        <w:rPr>
          <w:sz w:val="20"/>
        </w:rPr>
      </w:pPr>
      <w:r>
        <w:rPr>
          <w:sz w:val="20"/>
        </w:rPr>
        <w:t>*†</w:t>
      </w:r>
      <w:r>
        <w:rPr>
          <w:sz w:val="20"/>
        </w:rPr>
        <w:tab/>
      </w:r>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Non-Employee</w:t>
      </w:r>
      <w:r>
        <w:rPr>
          <w:color w:val="0000FF"/>
          <w:spacing w:val="-4"/>
          <w:sz w:val="20"/>
          <w:u w:val="single" w:color="0000FF"/>
        </w:rPr>
        <w:t xml:space="preserve"> </w:t>
      </w:r>
      <w:r>
        <w:rPr>
          <w:color w:val="0000FF"/>
          <w:sz w:val="20"/>
          <w:u w:val="single" w:color="0000FF"/>
        </w:rPr>
        <w:t>Director</w:t>
      </w:r>
      <w:r>
        <w:rPr>
          <w:color w:val="0000FF"/>
          <w:spacing w:val="-4"/>
          <w:sz w:val="20"/>
          <w:u w:val="single" w:color="0000FF"/>
        </w:rPr>
        <w:t xml:space="preserve"> </w:t>
      </w:r>
      <w:r>
        <w:rPr>
          <w:color w:val="0000FF"/>
          <w:sz w:val="20"/>
          <w:u w:val="single" w:color="0000FF"/>
        </w:rPr>
        <w:t>Restricted</w:t>
      </w:r>
      <w:r>
        <w:rPr>
          <w:color w:val="0000FF"/>
          <w:spacing w:val="-4"/>
          <w:sz w:val="20"/>
          <w:u w:val="single" w:color="0000FF"/>
        </w:rPr>
        <w:t xml:space="preserve"> </w:t>
      </w:r>
      <w:r>
        <w:rPr>
          <w:color w:val="0000FF"/>
          <w:sz w:val="20"/>
          <w:u w:val="single" w:color="0000FF"/>
        </w:rPr>
        <w:t>Stock</w:t>
      </w:r>
      <w:r>
        <w:rPr>
          <w:color w:val="0000FF"/>
          <w:spacing w:val="-4"/>
          <w:sz w:val="20"/>
          <w:u w:val="single" w:color="0000FF"/>
        </w:rPr>
        <w:t xml:space="preserve"> </w:t>
      </w:r>
      <w:r>
        <w:rPr>
          <w:color w:val="0000FF"/>
          <w:sz w:val="20"/>
          <w:u w:val="single" w:color="0000FF"/>
        </w:rPr>
        <w:t>Unit</w:t>
      </w:r>
      <w:r>
        <w:rPr>
          <w:color w:val="0000FF"/>
          <w:spacing w:val="-4"/>
          <w:sz w:val="20"/>
          <w:u w:val="single" w:color="0000FF"/>
        </w:rPr>
        <w:t xml:space="preserve"> </w:t>
      </w:r>
      <w:r>
        <w:rPr>
          <w:color w:val="0000FF"/>
          <w:sz w:val="20"/>
          <w:u w:val="single" w:color="0000FF"/>
        </w:rPr>
        <w:t>Award</w:t>
      </w:r>
      <w:r>
        <w:rPr>
          <w:color w:val="0000FF"/>
          <w:spacing w:val="-4"/>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for</w:t>
      </w:r>
      <w:r>
        <w:rPr>
          <w:color w:val="0000FF"/>
          <w:spacing w:val="-4"/>
          <w:sz w:val="20"/>
          <w:u w:val="single" w:color="0000FF"/>
        </w:rPr>
        <w:t xml:space="preserve"> </w:t>
      </w:r>
      <w:r>
        <w:rPr>
          <w:color w:val="0000FF"/>
          <w:sz w:val="20"/>
          <w:u w:val="single" w:color="0000FF"/>
        </w:rPr>
        <w:t>Annual</w:t>
      </w:r>
      <w:r>
        <w:rPr>
          <w:color w:val="0000FF"/>
          <w:spacing w:val="-4"/>
          <w:sz w:val="20"/>
          <w:u w:val="single" w:color="0000FF"/>
        </w:rPr>
        <w:t xml:space="preserve"> </w:t>
      </w:r>
      <w:r>
        <w:rPr>
          <w:color w:val="0000FF"/>
          <w:sz w:val="20"/>
          <w:u w:val="single" w:color="0000FF"/>
        </w:rPr>
        <w:t>Awards</w:t>
      </w:r>
      <w:r>
        <w:rPr>
          <w:color w:val="0000FF"/>
          <w:spacing w:val="-4"/>
          <w:sz w:val="20"/>
          <w:u w:val="single" w:color="0000FF"/>
        </w:rPr>
        <w:t xml:space="preserve"> </w:t>
      </w:r>
      <w:r>
        <w:rPr>
          <w:color w:val="0000FF"/>
          <w:sz w:val="20"/>
          <w:u w:val="single" w:color="0000FF"/>
        </w:rPr>
        <w:t>Issued</w:t>
      </w:r>
      <w:r>
        <w:rPr>
          <w:color w:val="0000FF"/>
          <w:spacing w:val="-4"/>
          <w:sz w:val="20"/>
          <w:u w:val="single" w:color="0000FF"/>
        </w:rPr>
        <w:t xml:space="preserve"> </w:t>
      </w:r>
      <w:r>
        <w:rPr>
          <w:color w:val="0000FF"/>
          <w:sz w:val="20"/>
          <w:u w:val="single" w:color="0000FF"/>
        </w:rPr>
        <w:t>to Non-Employee Directors under the Newell Rubbermaid Inc. 2013 Incentive Plan, as amended May 7, 2019,</w:t>
      </w:r>
    </w:p>
    <w:p w14:paraId="7326D39C" w14:textId="77777777" w:rsidR="00EF3DFB" w:rsidRDefault="00D27C17">
      <w:pPr>
        <w:pStyle w:val="ListParagraph"/>
        <w:numPr>
          <w:ilvl w:val="1"/>
          <w:numId w:val="12"/>
        </w:numPr>
        <w:tabs>
          <w:tab w:val="left" w:pos="694"/>
          <w:tab w:val="left" w:pos="2207"/>
        </w:tabs>
        <w:spacing w:before="152" w:line="249" w:lineRule="auto"/>
        <w:ind w:right="306" w:hanging="1965"/>
        <w:rPr>
          <w:sz w:val="20"/>
        </w:rPr>
      </w:pPr>
      <w:r>
        <w:rPr>
          <w:sz w:val="20"/>
        </w:rPr>
        <w:t>*</w:t>
      </w:r>
      <w:r>
        <w:rPr>
          <w:sz w:val="20"/>
        </w:rPr>
        <w:tab/>
      </w:r>
      <w:hyperlink r:id="rId182">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2018</w:t>
        </w:r>
        <w:r>
          <w:rPr>
            <w:color w:val="0000FF"/>
            <w:spacing w:val="-3"/>
            <w:sz w:val="20"/>
            <w:u w:val="single" w:color="0000FF"/>
          </w:rPr>
          <w:t xml:space="preserve"> </w:t>
        </w:r>
        <w:r>
          <w:rPr>
            <w:color w:val="0000FF"/>
            <w:sz w:val="20"/>
            <w:u w:val="single" w:color="0000FF"/>
          </w:rPr>
          <w:t>Restricted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Unit</w:t>
        </w:r>
        <w:r>
          <w:rPr>
            <w:color w:val="0000FF"/>
            <w:spacing w:val="-4"/>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83">
        <w:r>
          <w:rPr>
            <w:color w:val="0000FF"/>
            <w:sz w:val="20"/>
            <w:u w:val="single" w:color="0000FF"/>
          </w:rPr>
          <w:t xml:space="preserve"> Plan for </w:t>
        </w:r>
        <w:r>
          <w:rPr>
            <w:color w:val="0000FF"/>
            <w:sz w:val="20"/>
            <w:u w:val="single" w:color="0000FF"/>
          </w:rPr>
          <w:t>Employees, as amended February 13, 2018 (incorporated by reference to Exhibit 10.2 to the</w:t>
        </w:r>
      </w:hyperlink>
      <w:hyperlink r:id="rId184">
        <w:r>
          <w:rPr>
            <w:color w:val="0000FF"/>
            <w:sz w:val="20"/>
            <w:u w:val="single" w:color="0000FF"/>
          </w:rPr>
          <w:t xml:space="preserve"> Company’s Current Report on Form 8-K dated February 13, 2018, Fi</w:t>
        </w:r>
        <w:r>
          <w:rPr>
            <w:color w:val="0000FF"/>
            <w:sz w:val="20"/>
            <w:u w:val="single" w:color="0000FF"/>
          </w:rPr>
          <w:t>le No.</w:t>
        </w:r>
        <w:r>
          <w:rPr>
            <w:color w:val="0000FF"/>
            <w:spacing w:val="-12"/>
            <w:sz w:val="20"/>
            <w:u w:val="single" w:color="0000FF"/>
          </w:rPr>
          <w:t xml:space="preserve"> </w:t>
        </w:r>
        <w:r>
          <w:rPr>
            <w:color w:val="0000FF"/>
            <w:sz w:val="20"/>
            <w:u w:val="single" w:color="0000FF"/>
          </w:rPr>
          <w:t>001-09608).</w:t>
        </w:r>
      </w:hyperlink>
    </w:p>
    <w:p w14:paraId="7326D39D" w14:textId="77777777" w:rsidR="00EF3DFB" w:rsidRDefault="00D27C17">
      <w:pPr>
        <w:pStyle w:val="ListParagraph"/>
        <w:numPr>
          <w:ilvl w:val="1"/>
          <w:numId w:val="12"/>
        </w:numPr>
        <w:tabs>
          <w:tab w:val="left" w:pos="694"/>
          <w:tab w:val="left" w:pos="2207"/>
        </w:tabs>
        <w:spacing w:before="137" w:line="249" w:lineRule="auto"/>
        <w:ind w:right="306" w:hanging="1965"/>
        <w:rPr>
          <w:sz w:val="20"/>
        </w:rPr>
      </w:pPr>
      <w:r>
        <w:rPr>
          <w:sz w:val="20"/>
        </w:rPr>
        <w:t>*</w:t>
      </w:r>
      <w:r>
        <w:rPr>
          <w:sz w:val="20"/>
        </w:rPr>
        <w:tab/>
      </w:r>
      <w:hyperlink r:id="rId185">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2019</w:t>
        </w:r>
        <w:r>
          <w:rPr>
            <w:color w:val="0000FF"/>
            <w:spacing w:val="-3"/>
            <w:sz w:val="20"/>
            <w:u w:val="single" w:color="0000FF"/>
          </w:rPr>
          <w:t xml:space="preserve"> </w:t>
        </w:r>
        <w:r>
          <w:rPr>
            <w:color w:val="0000FF"/>
            <w:sz w:val="20"/>
            <w:u w:val="single" w:color="0000FF"/>
          </w:rPr>
          <w:t>Restricted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Unit</w:t>
        </w:r>
        <w:r>
          <w:rPr>
            <w:color w:val="0000FF"/>
            <w:spacing w:val="-4"/>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86">
        <w:r>
          <w:rPr>
            <w:color w:val="0000FF"/>
            <w:sz w:val="20"/>
            <w:u w:val="single" w:color="0000FF"/>
          </w:rPr>
          <w:t xml:space="preserve"> Plan for Employees, as amended February 14, 2018 (incorporated by reference to Exhibit 10.1 to the</w:t>
        </w:r>
      </w:hyperlink>
      <w:hyperlink r:id="rId187">
        <w:r>
          <w:rPr>
            <w:color w:val="0000FF"/>
            <w:sz w:val="20"/>
            <w:u w:val="single" w:color="0000FF"/>
          </w:rPr>
          <w:t xml:space="preserve"> Company’s Current Report on Form 8-K dated February 20, 2019, File No.</w:t>
        </w:r>
        <w:r>
          <w:rPr>
            <w:color w:val="0000FF"/>
            <w:spacing w:val="-12"/>
            <w:sz w:val="20"/>
            <w:u w:val="single" w:color="0000FF"/>
          </w:rPr>
          <w:t xml:space="preserve"> </w:t>
        </w:r>
        <w:r>
          <w:rPr>
            <w:color w:val="0000FF"/>
            <w:sz w:val="20"/>
            <w:u w:val="single" w:color="0000FF"/>
          </w:rPr>
          <w:t>001-09608).</w:t>
        </w:r>
      </w:hyperlink>
    </w:p>
    <w:p w14:paraId="7326D39E" w14:textId="77777777" w:rsidR="00EF3DFB" w:rsidRDefault="00D27C17">
      <w:pPr>
        <w:pStyle w:val="ListParagraph"/>
        <w:numPr>
          <w:ilvl w:val="1"/>
          <w:numId w:val="12"/>
        </w:numPr>
        <w:tabs>
          <w:tab w:val="left" w:pos="694"/>
          <w:tab w:val="left" w:pos="2207"/>
        </w:tabs>
        <w:spacing w:before="138"/>
        <w:ind w:right="306" w:hanging="1965"/>
        <w:rPr>
          <w:sz w:val="20"/>
        </w:rPr>
      </w:pPr>
      <w:r>
        <w:rPr>
          <w:sz w:val="20"/>
        </w:rPr>
        <w:t>*</w:t>
      </w:r>
      <w:r>
        <w:rPr>
          <w:sz w:val="20"/>
        </w:rPr>
        <w:tab/>
      </w:r>
      <w:hyperlink r:id="rId188">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Restricted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Unit</w:t>
        </w:r>
        <w:r>
          <w:rPr>
            <w:color w:val="0000FF"/>
            <w:spacing w:val="-4"/>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89">
        <w:r>
          <w:rPr>
            <w:color w:val="0000FF"/>
            <w:sz w:val="20"/>
            <w:u w:val="single" w:color="0000FF"/>
          </w:rPr>
          <w:t xml:space="preserve"> Plan (as amended February 14, 2018, and July 26, 2019) for Awards to Employees (Management</w:t>
        </w:r>
      </w:hyperlink>
      <w:hyperlink r:id="rId190">
        <w:r>
          <w:rPr>
            <w:color w:val="0000FF"/>
            <w:sz w:val="20"/>
            <w:u w:val="single" w:color="0000FF"/>
          </w:rPr>
          <w:t xml:space="preserve"> Committee) (incorporated by reference to Exhibit 10.2 to the Company’s Quarterly Report on Form 10-Q</w:t>
        </w:r>
      </w:hyperlink>
      <w:hyperlink r:id="rId191">
        <w:r>
          <w:rPr>
            <w:color w:val="0000FF"/>
            <w:sz w:val="20"/>
            <w:u w:val="single" w:color="0000FF"/>
          </w:rPr>
          <w:t xml:space="preserve"> for the quarterly period ended March 31, 2020, File No.</w:t>
        </w:r>
        <w:r>
          <w:rPr>
            <w:color w:val="0000FF"/>
            <w:spacing w:val="-5"/>
            <w:sz w:val="20"/>
            <w:u w:val="single" w:color="0000FF"/>
          </w:rPr>
          <w:t xml:space="preserve"> </w:t>
        </w:r>
        <w:r>
          <w:rPr>
            <w:color w:val="0000FF"/>
            <w:sz w:val="20"/>
            <w:u w:val="single" w:color="0000FF"/>
          </w:rPr>
          <w:t>001-09608).</w:t>
        </w:r>
      </w:hyperlink>
    </w:p>
    <w:p w14:paraId="7326D39F" w14:textId="77777777" w:rsidR="00EF3DFB" w:rsidRDefault="00EF3DFB">
      <w:pPr>
        <w:pStyle w:val="BodyText"/>
        <w:spacing w:before="9"/>
        <w:rPr>
          <w:sz w:val="17"/>
        </w:rPr>
      </w:pPr>
    </w:p>
    <w:p w14:paraId="7326D3A0" w14:textId="77777777" w:rsidR="00EF3DFB" w:rsidRDefault="00D27C17">
      <w:pPr>
        <w:pStyle w:val="ListParagraph"/>
        <w:numPr>
          <w:ilvl w:val="1"/>
          <w:numId w:val="12"/>
        </w:numPr>
        <w:tabs>
          <w:tab w:val="left" w:pos="694"/>
          <w:tab w:val="left" w:pos="2207"/>
        </w:tabs>
        <w:spacing w:before="1"/>
        <w:ind w:right="285" w:hanging="1965"/>
        <w:rPr>
          <w:sz w:val="20"/>
        </w:rPr>
      </w:pPr>
      <w:r>
        <w:rPr>
          <w:sz w:val="20"/>
        </w:rPr>
        <w:t>*</w:t>
      </w:r>
      <w:r>
        <w:rPr>
          <w:sz w:val="20"/>
        </w:rPr>
        <w:tab/>
      </w:r>
      <w:hyperlink r:id="rId192">
        <w:r>
          <w:rPr>
            <w:color w:val="0000FF"/>
            <w:sz w:val="20"/>
            <w:u w:val="single" w:color="0000FF"/>
          </w:rPr>
          <w:t>Form of 2020 Restricted Stock Unit Award Agreement under the Newell Rubbermaid Inc. 2013 Incentive</w:t>
        </w:r>
      </w:hyperlink>
      <w:hyperlink r:id="rId193">
        <w:r>
          <w:rPr>
            <w:color w:val="0000FF"/>
            <w:sz w:val="20"/>
            <w:u w:val="single" w:color="0000FF"/>
          </w:rPr>
          <w:t xml:space="preserve"> Plan,</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amended,</w:t>
        </w:r>
        <w:r>
          <w:rPr>
            <w:color w:val="0000FF"/>
            <w:spacing w:val="-3"/>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Awards</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10.3</w:t>
        </w:r>
        <w:r>
          <w:rPr>
            <w:color w:val="0000FF"/>
            <w:spacing w:val="-3"/>
            <w:sz w:val="20"/>
            <w:u w:val="single" w:color="0000FF"/>
          </w:rPr>
          <w:t xml:space="preserve"> </w:t>
        </w:r>
        <w:r>
          <w:rPr>
            <w:color w:val="0000FF"/>
            <w:sz w:val="20"/>
            <w:u w:val="single" w:color="0000FF"/>
          </w:rPr>
          <w:t>to</w:t>
        </w:r>
      </w:hyperlink>
      <w:hyperlink r:id="rId194">
        <w:r>
          <w:rPr>
            <w:color w:val="0000FF"/>
            <w:sz w:val="20"/>
            <w:u w:val="single" w:color="0000FF"/>
          </w:rPr>
          <w:t xml:space="preserve"> the Company’s Quarterly Report on Form 10-Q for the quarterly period ended March 31, 2020, File No.</w:t>
        </w:r>
      </w:hyperlink>
      <w:hyperlink r:id="rId195">
        <w:r>
          <w:rPr>
            <w:color w:val="0000FF"/>
            <w:sz w:val="20"/>
            <w:u w:val="single" w:color="0000FF"/>
          </w:rPr>
          <w:t xml:space="preserve"> 001-09608).</w:t>
        </w:r>
      </w:hyperlink>
    </w:p>
    <w:p w14:paraId="7326D3A1" w14:textId="77777777" w:rsidR="00EF3DFB" w:rsidRDefault="00D27C17">
      <w:pPr>
        <w:pStyle w:val="ListParagraph"/>
        <w:numPr>
          <w:ilvl w:val="1"/>
          <w:numId w:val="12"/>
        </w:numPr>
        <w:tabs>
          <w:tab w:val="left" w:pos="694"/>
          <w:tab w:val="left" w:pos="2207"/>
        </w:tabs>
        <w:spacing w:before="100" w:line="290" w:lineRule="auto"/>
        <w:ind w:right="390" w:hanging="1965"/>
        <w:rPr>
          <w:sz w:val="20"/>
        </w:rPr>
      </w:pPr>
      <w:r>
        <w:rPr>
          <w:sz w:val="20"/>
        </w:rPr>
        <w:t>*</w:t>
      </w:r>
      <w:r>
        <w:rPr>
          <w:sz w:val="20"/>
        </w:rPr>
        <w:tab/>
      </w:r>
      <w:hyperlink r:id="rId196">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Non-Employee</w:t>
        </w:r>
        <w:r>
          <w:rPr>
            <w:color w:val="0000FF"/>
            <w:spacing w:val="-4"/>
            <w:sz w:val="20"/>
            <w:u w:val="single" w:color="0000FF"/>
          </w:rPr>
          <w:t xml:space="preserve"> </w:t>
        </w:r>
        <w:r>
          <w:rPr>
            <w:color w:val="0000FF"/>
            <w:sz w:val="20"/>
            <w:u w:val="single" w:color="0000FF"/>
          </w:rPr>
          <w:t>Director</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under</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3"/>
            <w:sz w:val="20"/>
            <w:u w:val="single" w:color="0000FF"/>
          </w:rPr>
          <w:t xml:space="preserve"> </w:t>
        </w:r>
        <w:r>
          <w:rPr>
            <w:color w:val="0000FF"/>
            <w:sz w:val="20"/>
            <w:u w:val="single" w:color="0000FF"/>
          </w:rPr>
          <w:t>2013</w:t>
        </w:r>
        <w:r>
          <w:rPr>
            <w:color w:val="0000FF"/>
            <w:spacing w:val="-3"/>
            <w:sz w:val="20"/>
            <w:u w:val="single" w:color="0000FF"/>
          </w:rPr>
          <w:t xml:space="preserve"> </w:t>
        </w:r>
        <w:r>
          <w:rPr>
            <w:color w:val="0000FF"/>
            <w:sz w:val="20"/>
            <w:u w:val="single" w:color="0000FF"/>
          </w:rPr>
          <w:t>Incentive</w:t>
        </w:r>
      </w:hyperlink>
      <w:hyperlink r:id="rId197">
        <w:r>
          <w:rPr>
            <w:color w:val="0000FF"/>
            <w:sz w:val="20"/>
            <w:u w:val="single" w:color="0000FF"/>
          </w:rPr>
          <w:t xml:space="preserve"> Plan, for Shares Granted Quarterly to Directors Electing Fee Payments in Stock in Lieu of Cash</w:t>
        </w:r>
      </w:hyperlink>
      <w:hyperlink r:id="rId198">
        <w:r>
          <w:rPr>
            <w:color w:val="0000FF"/>
            <w:sz w:val="20"/>
            <w:u w:val="single" w:color="0000FF"/>
          </w:rPr>
          <w:t xml:space="preserve"> (incorporated by reference to Exhibit 10.1 to the Company’s Quarterly Report on Form 10-Q for the</w:t>
        </w:r>
      </w:hyperlink>
      <w:hyperlink r:id="rId199">
        <w:r>
          <w:rPr>
            <w:color w:val="0000FF"/>
            <w:sz w:val="20"/>
            <w:u w:val="single" w:color="0000FF"/>
          </w:rPr>
          <w:t xml:space="preserve"> quarterly peri</w:t>
        </w:r>
        <w:r>
          <w:rPr>
            <w:color w:val="0000FF"/>
            <w:sz w:val="20"/>
            <w:u w:val="single" w:color="0000FF"/>
          </w:rPr>
          <w:t>od ended September 30, 2018, File No.</w:t>
        </w:r>
        <w:r>
          <w:rPr>
            <w:color w:val="0000FF"/>
            <w:spacing w:val="-4"/>
            <w:sz w:val="20"/>
            <w:u w:val="single" w:color="0000FF"/>
          </w:rPr>
          <w:t xml:space="preserve"> </w:t>
        </w:r>
        <w:r>
          <w:rPr>
            <w:color w:val="0000FF"/>
            <w:sz w:val="20"/>
            <w:u w:val="single" w:color="0000FF"/>
          </w:rPr>
          <w:t>001-09608).</w:t>
        </w:r>
      </w:hyperlink>
    </w:p>
    <w:p w14:paraId="7326D3A2" w14:textId="77777777" w:rsidR="00EF3DFB" w:rsidRDefault="00D27C17">
      <w:pPr>
        <w:pStyle w:val="ListParagraph"/>
        <w:numPr>
          <w:ilvl w:val="1"/>
          <w:numId w:val="12"/>
        </w:numPr>
        <w:tabs>
          <w:tab w:val="left" w:pos="694"/>
          <w:tab w:val="left" w:pos="2207"/>
        </w:tabs>
        <w:spacing w:before="71" w:line="290" w:lineRule="auto"/>
        <w:ind w:right="346" w:hanging="1965"/>
        <w:rPr>
          <w:sz w:val="20"/>
        </w:rPr>
      </w:pPr>
      <w:r>
        <w:rPr>
          <w:sz w:val="20"/>
        </w:rPr>
        <w:t>*</w:t>
      </w:r>
      <w:r>
        <w:rPr>
          <w:sz w:val="20"/>
        </w:rPr>
        <w:tab/>
      </w:r>
      <w:hyperlink r:id="rId200">
        <w:r>
          <w:rPr>
            <w:color w:val="0000FF"/>
            <w:sz w:val="20"/>
            <w:u w:val="single" w:color="0000FF"/>
          </w:rPr>
          <w:t>Form</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Employment</w:t>
        </w:r>
        <w:r>
          <w:rPr>
            <w:color w:val="0000FF"/>
            <w:spacing w:val="-4"/>
            <w:sz w:val="20"/>
            <w:u w:val="single" w:color="0000FF"/>
          </w:rPr>
          <w:t xml:space="preserve"> </w:t>
        </w:r>
        <w:r>
          <w:rPr>
            <w:color w:val="0000FF"/>
            <w:sz w:val="20"/>
            <w:u w:val="single" w:color="0000FF"/>
          </w:rPr>
          <w:t>Security</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between</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named</w:t>
        </w:r>
        <w:r>
          <w:rPr>
            <w:color w:val="0000FF"/>
            <w:spacing w:val="-3"/>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officers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the</w:t>
        </w:r>
      </w:hyperlink>
      <w:hyperlink r:id="rId201">
        <w:r>
          <w:rPr>
            <w:color w:val="0000FF"/>
            <w:sz w:val="20"/>
            <w:u w:val="single" w:color="0000FF"/>
          </w:rPr>
          <w:t xml:space="preserve"> Company other than the Chief Executive Officer (incorporated by reference to Exhibit 10.39 to the</w:t>
        </w:r>
      </w:hyperlink>
      <w:hyperlink r:id="rId202">
        <w:r>
          <w:rPr>
            <w:color w:val="0000FF"/>
            <w:sz w:val="20"/>
            <w:u w:val="single" w:color="0000FF"/>
          </w:rPr>
          <w:t xml:space="preserve"> Company’s Annual Report on Form 10-K for the year ended December 31, 2014, File No.</w:t>
        </w:r>
        <w:r>
          <w:rPr>
            <w:color w:val="0000FF"/>
            <w:spacing w:val="-26"/>
            <w:sz w:val="20"/>
            <w:u w:val="single" w:color="0000FF"/>
          </w:rPr>
          <w:t xml:space="preserve"> </w:t>
        </w:r>
        <w:r>
          <w:rPr>
            <w:color w:val="0000FF"/>
            <w:sz w:val="20"/>
            <w:u w:val="single" w:color="0000FF"/>
          </w:rPr>
          <w:t>001-09608).</w:t>
        </w:r>
      </w:hyperlink>
    </w:p>
    <w:p w14:paraId="7326D3A3" w14:textId="77777777" w:rsidR="00EF3DFB" w:rsidRDefault="00D27C17">
      <w:pPr>
        <w:pStyle w:val="ListParagraph"/>
        <w:numPr>
          <w:ilvl w:val="1"/>
          <w:numId w:val="12"/>
        </w:numPr>
        <w:tabs>
          <w:tab w:val="left" w:pos="694"/>
          <w:tab w:val="left" w:pos="2207"/>
        </w:tabs>
        <w:spacing w:before="156" w:line="290" w:lineRule="auto"/>
        <w:ind w:right="465" w:hanging="1965"/>
        <w:rPr>
          <w:sz w:val="20"/>
        </w:rPr>
      </w:pPr>
      <w:r>
        <w:rPr>
          <w:sz w:val="20"/>
        </w:rPr>
        <w:t>*</w:t>
      </w:r>
      <w:r>
        <w:rPr>
          <w:sz w:val="20"/>
        </w:rPr>
        <w:tab/>
      </w:r>
      <w:hyperlink r:id="rId203">
        <w:r>
          <w:rPr>
            <w:color w:val="0000FF"/>
            <w:sz w:val="20"/>
            <w:u w:val="single" w:color="0000FF"/>
          </w:rPr>
          <w:t>Form</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Waiver</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Termination</w:t>
        </w:r>
        <w:r>
          <w:rPr>
            <w:color w:val="0000FF"/>
            <w:spacing w:val="-4"/>
            <w:sz w:val="20"/>
            <w:u w:val="single" w:color="0000FF"/>
          </w:rPr>
          <w:t xml:space="preserve"> </w:t>
        </w:r>
        <w:r>
          <w:rPr>
            <w:color w:val="0000FF"/>
            <w:sz w:val="20"/>
            <w:u w:val="single" w:color="0000FF"/>
          </w:rPr>
          <w:t>Agreement</w:t>
        </w:r>
        <w:r>
          <w:rPr>
            <w:color w:val="0000FF"/>
            <w:spacing w:val="-5"/>
            <w:sz w:val="20"/>
            <w:u w:val="single" w:color="0000FF"/>
          </w:rPr>
          <w:t xml:space="preserve"> </w:t>
        </w:r>
        <w:r>
          <w:rPr>
            <w:color w:val="0000FF"/>
            <w:sz w:val="20"/>
            <w:u w:val="single" w:color="0000FF"/>
          </w:rPr>
          <w:t>between</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r>
          <w:rPr>
            <w:color w:val="0000FF"/>
            <w:spacing w:val="-5"/>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Executives</w:t>
        </w:r>
        <w:r>
          <w:rPr>
            <w:color w:val="0000FF"/>
            <w:spacing w:val="-5"/>
            <w:sz w:val="20"/>
            <w:u w:val="single" w:color="0000FF"/>
          </w:rPr>
          <w:t xml:space="preserve"> </w:t>
        </w:r>
        <w:r>
          <w:rPr>
            <w:color w:val="0000FF"/>
            <w:sz w:val="20"/>
            <w:u w:val="single" w:color="0000FF"/>
          </w:rPr>
          <w:t>(incorporated</w:t>
        </w:r>
      </w:hyperlink>
      <w:hyperlink r:id="rId204">
        <w:r>
          <w:rPr>
            <w:color w:val="0000FF"/>
            <w:sz w:val="20"/>
            <w:u w:val="single" w:color="0000FF"/>
          </w:rPr>
          <w:t xml:space="preserve"> by reference to Exhibit 10.3 to the Company’s Quarterly Report on Form 10-Q for the quarterly period</w:t>
        </w:r>
      </w:hyperlink>
      <w:hyperlink r:id="rId205">
        <w:r>
          <w:rPr>
            <w:color w:val="0000FF"/>
            <w:sz w:val="20"/>
            <w:u w:val="single" w:color="0000FF"/>
          </w:rPr>
          <w:t xml:space="preserve"> ended June 30, 2020, File No.</w:t>
        </w:r>
        <w:r>
          <w:rPr>
            <w:color w:val="0000FF"/>
            <w:spacing w:val="46"/>
            <w:sz w:val="20"/>
            <w:u w:val="single" w:color="0000FF"/>
          </w:rPr>
          <w:t xml:space="preserve"> </w:t>
        </w:r>
        <w:r>
          <w:rPr>
            <w:color w:val="0000FF"/>
            <w:sz w:val="20"/>
            <w:u w:val="single" w:color="0000FF"/>
          </w:rPr>
          <w:t>0</w:t>
        </w:r>
        <w:r>
          <w:rPr>
            <w:color w:val="0000FF"/>
            <w:sz w:val="20"/>
            <w:u w:val="single" w:color="0000FF"/>
          </w:rPr>
          <w:t>01-09608).</w:t>
        </w:r>
      </w:hyperlink>
    </w:p>
    <w:p w14:paraId="7326D3A4" w14:textId="77777777" w:rsidR="00EF3DFB" w:rsidRDefault="00EF3DFB">
      <w:pPr>
        <w:pStyle w:val="BodyText"/>
        <w:spacing w:before="4"/>
        <w:rPr>
          <w:sz w:val="13"/>
        </w:rPr>
      </w:pPr>
    </w:p>
    <w:p w14:paraId="7326D3A5" w14:textId="77777777" w:rsidR="00EF3DFB" w:rsidRDefault="00D27C17">
      <w:pPr>
        <w:pStyle w:val="ListParagraph"/>
        <w:numPr>
          <w:ilvl w:val="1"/>
          <w:numId w:val="12"/>
        </w:numPr>
        <w:tabs>
          <w:tab w:val="left" w:pos="694"/>
          <w:tab w:val="left" w:pos="2207"/>
        </w:tabs>
        <w:spacing w:before="91" w:line="290" w:lineRule="auto"/>
        <w:ind w:right="281" w:hanging="1965"/>
        <w:rPr>
          <w:sz w:val="20"/>
        </w:rPr>
      </w:pPr>
      <w:r>
        <w:rPr>
          <w:sz w:val="20"/>
        </w:rPr>
        <w:t>*</w:t>
      </w:r>
      <w:r>
        <w:rPr>
          <w:sz w:val="20"/>
        </w:rPr>
        <w:tab/>
      </w:r>
      <w:hyperlink r:id="rId206">
        <w:r>
          <w:rPr>
            <w:color w:val="0000FF"/>
            <w:sz w:val="20"/>
            <w:u w:val="single" w:color="0000FF"/>
          </w:rPr>
          <w:t>Newell</w:t>
        </w:r>
        <w:r>
          <w:rPr>
            <w:color w:val="0000FF"/>
            <w:spacing w:val="-4"/>
            <w:sz w:val="20"/>
            <w:u w:val="single" w:color="0000FF"/>
          </w:rPr>
          <w:t xml:space="preserve"> </w:t>
        </w:r>
        <w:r>
          <w:rPr>
            <w:color w:val="0000FF"/>
            <w:sz w:val="20"/>
            <w:u w:val="single" w:color="0000FF"/>
          </w:rPr>
          <w:t>Rubbermaid</w:t>
        </w:r>
        <w:r>
          <w:rPr>
            <w:color w:val="0000FF"/>
            <w:spacing w:val="-4"/>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Employment</w:t>
        </w:r>
        <w:r>
          <w:rPr>
            <w:color w:val="0000FF"/>
            <w:spacing w:val="-4"/>
            <w:sz w:val="20"/>
            <w:u w:val="single" w:color="0000FF"/>
          </w:rPr>
          <w:t xml:space="preserve"> </w:t>
        </w:r>
        <w:r>
          <w:rPr>
            <w:color w:val="0000FF"/>
            <w:sz w:val="20"/>
            <w:u w:val="single" w:color="0000FF"/>
          </w:rPr>
          <w:t>Security</w:t>
        </w:r>
        <w:r>
          <w:rPr>
            <w:color w:val="0000FF"/>
            <w:spacing w:val="-4"/>
            <w:sz w:val="20"/>
            <w:u w:val="single" w:color="0000FF"/>
          </w:rPr>
          <w:t xml:space="preserve"> </w:t>
        </w:r>
        <w:r>
          <w:rPr>
            <w:color w:val="0000FF"/>
            <w:sz w:val="20"/>
            <w:u w:val="single" w:color="0000FF"/>
          </w:rPr>
          <w:t>Agreements</w:t>
        </w:r>
        <w:r>
          <w:rPr>
            <w:color w:val="0000FF"/>
            <w:spacing w:val="-4"/>
            <w:sz w:val="20"/>
            <w:u w:val="single" w:color="0000FF"/>
          </w:rPr>
          <w:t xml:space="preserve"> </w:t>
        </w:r>
        <w:r>
          <w:rPr>
            <w:color w:val="0000FF"/>
            <w:sz w:val="20"/>
            <w:u w:val="single" w:color="0000FF"/>
          </w:rPr>
          <w:t>Trust</w:t>
        </w:r>
        <w:r>
          <w:rPr>
            <w:color w:val="0000FF"/>
            <w:spacing w:val="-4"/>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June</w:t>
        </w:r>
        <w:r>
          <w:rPr>
            <w:color w:val="0000FF"/>
            <w:spacing w:val="-4"/>
            <w:sz w:val="20"/>
            <w:u w:val="single" w:color="0000FF"/>
          </w:rPr>
          <w:t xml:space="preserve"> </w:t>
        </w:r>
        <w:r>
          <w:rPr>
            <w:color w:val="0000FF"/>
            <w:sz w:val="20"/>
            <w:u w:val="single" w:color="0000FF"/>
          </w:rPr>
          <w:t>1,</w:t>
        </w:r>
        <w:r>
          <w:rPr>
            <w:color w:val="0000FF"/>
            <w:spacing w:val="-4"/>
            <w:sz w:val="20"/>
            <w:u w:val="single" w:color="0000FF"/>
          </w:rPr>
          <w:t xml:space="preserve"> </w:t>
        </w:r>
        <w:r>
          <w:rPr>
            <w:color w:val="0000FF"/>
            <w:sz w:val="20"/>
            <w:u w:val="single" w:color="0000FF"/>
          </w:rPr>
          <w:t>2013</w:t>
        </w:r>
      </w:hyperlink>
      <w:hyperlink r:id="rId207">
        <w:r>
          <w:rPr>
            <w:color w:val="0000FF"/>
            <w:sz w:val="20"/>
            <w:u w:val="single" w:color="0000FF"/>
          </w:rPr>
          <w:t xml:space="preserve"> (incorporated by reference to Exhibit 10.2 to the Company’s Quarterly Report on Form 10-Q for the</w:t>
        </w:r>
      </w:hyperlink>
      <w:hyperlink r:id="rId208">
        <w:r>
          <w:rPr>
            <w:color w:val="0000FF"/>
            <w:sz w:val="20"/>
            <w:u w:val="single" w:color="0000FF"/>
          </w:rPr>
          <w:t xml:space="preserve"> quarterly period ended June 30, 2013, File No.</w:t>
        </w:r>
        <w:r>
          <w:rPr>
            <w:color w:val="0000FF"/>
            <w:spacing w:val="45"/>
            <w:sz w:val="20"/>
            <w:u w:val="single" w:color="0000FF"/>
          </w:rPr>
          <w:t xml:space="preserve"> </w:t>
        </w:r>
        <w:r>
          <w:rPr>
            <w:color w:val="0000FF"/>
            <w:sz w:val="20"/>
            <w:u w:val="single" w:color="0000FF"/>
          </w:rPr>
          <w:t>001-09608).</w:t>
        </w:r>
      </w:hyperlink>
    </w:p>
    <w:p w14:paraId="7326D3A6" w14:textId="77777777" w:rsidR="00EF3DFB" w:rsidRDefault="00D27C17">
      <w:pPr>
        <w:pStyle w:val="ListParagraph"/>
        <w:numPr>
          <w:ilvl w:val="1"/>
          <w:numId w:val="12"/>
        </w:numPr>
        <w:tabs>
          <w:tab w:val="left" w:pos="694"/>
          <w:tab w:val="left" w:pos="2207"/>
        </w:tabs>
        <w:spacing w:before="141" w:line="249" w:lineRule="auto"/>
        <w:ind w:right="417" w:hanging="1965"/>
        <w:rPr>
          <w:sz w:val="20"/>
        </w:rPr>
      </w:pPr>
      <w:r>
        <w:rPr>
          <w:sz w:val="20"/>
        </w:rPr>
        <w:t>*</w:t>
      </w:r>
      <w:r>
        <w:rPr>
          <w:sz w:val="20"/>
        </w:rPr>
        <w:tab/>
      </w:r>
      <w:hyperlink r:id="rId209">
        <w:r>
          <w:rPr>
            <w:color w:val="0000FF"/>
            <w:sz w:val="20"/>
            <w:u w:val="single" w:color="0000FF"/>
          </w:rPr>
          <w:t>Compensation Arrangement with Christo</w:t>
        </w:r>
        <w:r>
          <w:rPr>
            <w:color w:val="0000FF"/>
            <w:sz w:val="20"/>
            <w:u w:val="single" w:color="0000FF"/>
          </w:rPr>
          <w:t>pher H. Peterson, dated November 21, 2018 (incorporated by</w:t>
        </w:r>
      </w:hyperlink>
      <w:hyperlink r:id="rId210">
        <w:r>
          <w:rPr>
            <w:color w:val="0000FF"/>
            <w:sz w:val="20"/>
            <w:u w:val="single" w:color="0000FF"/>
          </w:rPr>
          <w:t xml:space="preserve"> reference</w:t>
        </w:r>
        <w:r>
          <w:rPr>
            <w:color w:val="0000FF"/>
            <w:spacing w:val="-3"/>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10.61</w:t>
        </w:r>
        <w:r>
          <w:rPr>
            <w:color w:val="0000FF"/>
            <w:spacing w:val="-2"/>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Company’s</w:t>
        </w:r>
        <w:r>
          <w:rPr>
            <w:color w:val="0000FF"/>
            <w:spacing w:val="-3"/>
            <w:sz w:val="20"/>
            <w:u w:val="single" w:color="0000FF"/>
          </w:rPr>
          <w:t xml:space="preserve"> </w:t>
        </w:r>
        <w:r>
          <w:rPr>
            <w:color w:val="0000FF"/>
            <w:sz w:val="20"/>
            <w:u w:val="single" w:color="0000FF"/>
          </w:rPr>
          <w:t>Annual</w:t>
        </w:r>
        <w:r>
          <w:rPr>
            <w:color w:val="0000FF"/>
            <w:spacing w:val="-3"/>
            <w:sz w:val="20"/>
            <w:u w:val="single" w:color="0000FF"/>
          </w:rPr>
          <w:t xml:space="preserve"> </w:t>
        </w:r>
        <w:r>
          <w:rPr>
            <w:color w:val="0000FF"/>
            <w:sz w:val="20"/>
            <w:u w:val="single" w:color="0000FF"/>
          </w:rPr>
          <w:t>Report</w:t>
        </w:r>
        <w:r>
          <w:rPr>
            <w:color w:val="0000FF"/>
            <w:spacing w:val="-3"/>
            <w:sz w:val="20"/>
            <w:u w:val="single" w:color="0000FF"/>
          </w:rPr>
          <w:t xml:space="preserve"> </w:t>
        </w:r>
        <w:r>
          <w:rPr>
            <w:color w:val="0000FF"/>
            <w:sz w:val="20"/>
            <w:u w:val="single" w:color="0000FF"/>
          </w:rPr>
          <w:t>on</w:t>
        </w:r>
        <w:r>
          <w:rPr>
            <w:color w:val="0000FF"/>
            <w:spacing w:val="-2"/>
            <w:sz w:val="20"/>
            <w:u w:val="single" w:color="0000FF"/>
          </w:rPr>
          <w:t xml:space="preserve"> </w:t>
        </w:r>
        <w:r>
          <w:rPr>
            <w:color w:val="0000FF"/>
            <w:sz w:val="20"/>
            <w:u w:val="single" w:color="0000FF"/>
          </w:rPr>
          <w:t>Form</w:t>
        </w:r>
        <w:r>
          <w:rPr>
            <w:color w:val="0000FF"/>
            <w:spacing w:val="-3"/>
            <w:sz w:val="20"/>
            <w:u w:val="single" w:color="0000FF"/>
          </w:rPr>
          <w:t xml:space="preserve"> </w:t>
        </w:r>
        <w:r>
          <w:rPr>
            <w:color w:val="0000FF"/>
            <w:sz w:val="20"/>
            <w:u w:val="single" w:color="0000FF"/>
          </w:rPr>
          <w:t>10-K</w:t>
        </w:r>
        <w:r>
          <w:rPr>
            <w:color w:val="0000FF"/>
            <w:spacing w:val="-3"/>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year</w:t>
        </w:r>
        <w:r>
          <w:rPr>
            <w:color w:val="0000FF"/>
            <w:spacing w:val="-2"/>
            <w:sz w:val="20"/>
            <w:u w:val="single" w:color="0000FF"/>
          </w:rPr>
          <w:t xml:space="preserve"> </w:t>
        </w:r>
        <w:r>
          <w:rPr>
            <w:color w:val="0000FF"/>
            <w:sz w:val="20"/>
            <w:u w:val="single" w:color="0000FF"/>
          </w:rPr>
          <w:t>ended</w:t>
        </w:r>
        <w:r>
          <w:rPr>
            <w:color w:val="0000FF"/>
            <w:spacing w:val="-2"/>
            <w:sz w:val="20"/>
            <w:u w:val="single" w:color="0000FF"/>
          </w:rPr>
          <w:t xml:space="preserve"> </w:t>
        </w:r>
        <w:r>
          <w:rPr>
            <w:color w:val="0000FF"/>
            <w:sz w:val="20"/>
            <w:u w:val="single" w:color="0000FF"/>
          </w:rPr>
          <w:t>Dece</w:t>
        </w:r>
        <w:r>
          <w:rPr>
            <w:color w:val="0000FF"/>
            <w:sz w:val="20"/>
            <w:u w:val="single" w:color="0000FF"/>
          </w:rPr>
          <w:t>mber</w:t>
        </w:r>
      </w:hyperlink>
      <w:hyperlink r:id="rId211">
        <w:r>
          <w:rPr>
            <w:color w:val="0000FF"/>
            <w:sz w:val="20"/>
            <w:u w:val="single" w:color="0000FF"/>
          </w:rPr>
          <w:t xml:space="preserve"> 31, 2018, File No.</w:t>
        </w:r>
        <w:r>
          <w:rPr>
            <w:color w:val="0000FF"/>
            <w:spacing w:val="-2"/>
            <w:sz w:val="20"/>
            <w:u w:val="single" w:color="0000FF"/>
          </w:rPr>
          <w:t xml:space="preserve"> </w:t>
        </w:r>
        <w:r>
          <w:rPr>
            <w:color w:val="0000FF"/>
            <w:sz w:val="20"/>
            <w:u w:val="single" w:color="0000FF"/>
          </w:rPr>
          <w:t>001-09608).</w:t>
        </w:r>
      </w:hyperlink>
    </w:p>
    <w:p w14:paraId="7326D3A7" w14:textId="77777777" w:rsidR="00EF3DFB" w:rsidRDefault="00EF3DFB">
      <w:pPr>
        <w:pStyle w:val="BodyText"/>
        <w:spacing w:before="1"/>
        <w:rPr>
          <w:sz w:val="13"/>
        </w:rPr>
      </w:pPr>
    </w:p>
    <w:p w14:paraId="7326D3A8" w14:textId="77777777" w:rsidR="00EF3DFB" w:rsidRDefault="00D27C17">
      <w:pPr>
        <w:pStyle w:val="ListParagraph"/>
        <w:numPr>
          <w:ilvl w:val="1"/>
          <w:numId w:val="12"/>
        </w:numPr>
        <w:tabs>
          <w:tab w:val="left" w:pos="694"/>
          <w:tab w:val="left" w:pos="2207"/>
        </w:tabs>
        <w:spacing w:before="91" w:line="290" w:lineRule="auto"/>
        <w:ind w:right="395" w:hanging="1965"/>
        <w:jc w:val="both"/>
        <w:rPr>
          <w:sz w:val="20"/>
        </w:rPr>
      </w:pPr>
      <w:r>
        <w:rPr>
          <w:sz w:val="20"/>
        </w:rPr>
        <w:t>*</w:t>
      </w:r>
      <w:r>
        <w:rPr>
          <w:sz w:val="20"/>
        </w:rPr>
        <w:tab/>
      </w:r>
      <w:hyperlink r:id="rId212">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2019</w:t>
        </w:r>
        <w:r>
          <w:rPr>
            <w:color w:val="0000FF"/>
            <w:spacing w:val="-3"/>
            <w:sz w:val="20"/>
            <w:u w:val="single" w:color="0000FF"/>
          </w:rPr>
          <w:t xml:space="preserve"> </w:t>
        </w:r>
        <w:r>
          <w:rPr>
            <w:color w:val="0000FF"/>
            <w:sz w:val="20"/>
            <w:u w:val="single" w:color="0000FF"/>
          </w:rPr>
          <w:t>Offer</w:t>
        </w:r>
        <w:r>
          <w:rPr>
            <w:color w:val="0000FF"/>
            <w:spacing w:val="-3"/>
            <w:sz w:val="20"/>
            <w:u w:val="single" w:color="0000FF"/>
          </w:rPr>
          <w:t xml:space="preserve"> </w:t>
        </w:r>
        <w:r>
          <w:rPr>
            <w:color w:val="0000FF"/>
            <w:sz w:val="20"/>
            <w:u w:val="single" w:color="0000FF"/>
          </w:rPr>
          <w:t>Letter</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Christopher</w:t>
        </w:r>
        <w:r>
          <w:rPr>
            <w:color w:val="0000FF"/>
            <w:spacing w:val="-3"/>
            <w:sz w:val="20"/>
            <w:u w:val="single" w:color="0000FF"/>
          </w:rPr>
          <w:t xml:space="preserve"> </w:t>
        </w:r>
        <w:r>
          <w:rPr>
            <w:color w:val="0000FF"/>
            <w:sz w:val="20"/>
            <w:u w:val="single" w:color="0000FF"/>
          </w:rPr>
          <w:t>H.</w:t>
        </w:r>
        <w:r>
          <w:rPr>
            <w:color w:val="0000FF"/>
            <w:spacing w:val="-3"/>
            <w:sz w:val="20"/>
            <w:u w:val="single" w:color="0000FF"/>
          </w:rPr>
          <w:t xml:space="preserve"> </w:t>
        </w:r>
        <w:r>
          <w:rPr>
            <w:color w:val="0000FF"/>
            <w:sz w:val="20"/>
            <w:u w:val="single" w:color="0000FF"/>
          </w:rPr>
          <w:t>Peterson,</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December</w:t>
        </w:r>
        <w:r>
          <w:rPr>
            <w:color w:val="0000FF"/>
            <w:spacing w:val="-3"/>
            <w:sz w:val="20"/>
            <w:u w:val="single" w:color="0000FF"/>
          </w:rPr>
          <w:t xml:space="preserve"> </w:t>
        </w:r>
        <w:r>
          <w:rPr>
            <w:color w:val="0000FF"/>
            <w:sz w:val="20"/>
            <w:u w:val="single" w:color="0000FF"/>
          </w:rPr>
          <w:t>28,</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hyperlink>
      <w:hyperlink r:id="rId213">
        <w:r>
          <w:rPr>
            <w:color w:val="0000FF"/>
            <w:sz w:val="20"/>
            <w:u w:val="single" w:color="0000FF"/>
          </w:rPr>
          <w:t xml:space="preserve"> reference to Exhibit 10.1 to the Company’s Current Report on Form 8-K dated December 30, 2020, File</w:t>
        </w:r>
      </w:hyperlink>
      <w:hyperlink r:id="rId214">
        <w:r>
          <w:rPr>
            <w:color w:val="0000FF"/>
            <w:sz w:val="20"/>
            <w:u w:val="single" w:color="0000FF"/>
          </w:rPr>
          <w:t xml:space="preserve"> No.</w:t>
        </w:r>
        <w:r>
          <w:rPr>
            <w:color w:val="0000FF"/>
            <w:spacing w:val="-1"/>
            <w:sz w:val="20"/>
            <w:u w:val="single" w:color="0000FF"/>
          </w:rPr>
          <w:t xml:space="preserve"> </w:t>
        </w:r>
        <w:r>
          <w:rPr>
            <w:color w:val="0000FF"/>
            <w:sz w:val="20"/>
            <w:u w:val="single" w:color="0000FF"/>
          </w:rPr>
          <w:t>001-</w:t>
        </w:r>
        <w:r>
          <w:rPr>
            <w:color w:val="0000FF"/>
            <w:sz w:val="20"/>
            <w:u w:val="single" w:color="0000FF"/>
          </w:rPr>
          <w:t>09608).</w:t>
        </w:r>
      </w:hyperlink>
    </w:p>
    <w:p w14:paraId="7326D3A9" w14:textId="77777777" w:rsidR="00EF3DFB" w:rsidRDefault="00EF3DFB">
      <w:pPr>
        <w:spacing w:line="290" w:lineRule="auto"/>
        <w:jc w:val="both"/>
        <w:rPr>
          <w:sz w:val="20"/>
        </w:rPr>
        <w:sectPr w:rsidR="00EF3DFB">
          <w:pgSz w:w="12240" w:h="15840"/>
          <w:pgMar w:top="660" w:right="640" w:bottom="480" w:left="620" w:header="0" w:footer="291" w:gutter="0"/>
          <w:cols w:space="720"/>
        </w:sectPr>
      </w:pPr>
    </w:p>
    <w:p w14:paraId="7326D3AA" w14:textId="77777777" w:rsidR="00EF3DFB" w:rsidRDefault="00D27C17">
      <w:pPr>
        <w:pStyle w:val="ListParagraph"/>
        <w:numPr>
          <w:ilvl w:val="1"/>
          <w:numId w:val="12"/>
        </w:numPr>
        <w:tabs>
          <w:tab w:val="left" w:pos="694"/>
          <w:tab w:val="left" w:pos="2207"/>
        </w:tabs>
        <w:spacing w:before="64" w:line="290" w:lineRule="auto"/>
        <w:ind w:right="229" w:hanging="1965"/>
        <w:rPr>
          <w:sz w:val="20"/>
        </w:rPr>
      </w:pPr>
      <w:r>
        <w:rPr>
          <w:sz w:val="20"/>
        </w:rPr>
        <w:lastRenderedPageBreak/>
        <w:t>*</w:t>
      </w:r>
      <w:r>
        <w:rPr>
          <w:sz w:val="20"/>
        </w:rPr>
        <w:tab/>
      </w:r>
      <w:hyperlink r:id="rId215">
        <w:r>
          <w:rPr>
            <w:color w:val="0000FF"/>
            <w:sz w:val="20"/>
            <w:u w:val="single" w:color="0000FF"/>
          </w:rPr>
          <w:t>Letter</w:t>
        </w:r>
        <w:r>
          <w:rPr>
            <w:color w:val="0000FF"/>
            <w:spacing w:val="-3"/>
            <w:sz w:val="20"/>
            <w:u w:val="single" w:color="0000FF"/>
          </w:rPr>
          <w:t xml:space="preserve"> </w:t>
        </w:r>
        <w:r>
          <w:rPr>
            <w:color w:val="0000FF"/>
            <w:sz w:val="20"/>
            <w:u w:val="single" w:color="0000FF"/>
          </w:rPr>
          <w:t>Agreement,</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May</w:t>
        </w:r>
        <w:r>
          <w:rPr>
            <w:color w:val="0000FF"/>
            <w:spacing w:val="-3"/>
            <w:sz w:val="20"/>
            <w:u w:val="single" w:color="0000FF"/>
          </w:rPr>
          <w:t xml:space="preserve"> </w:t>
        </w:r>
        <w:r>
          <w:rPr>
            <w:color w:val="0000FF"/>
            <w:sz w:val="20"/>
            <w:u w:val="single" w:color="0000FF"/>
          </w:rPr>
          <w:t>16,</w:t>
        </w:r>
        <w:r>
          <w:rPr>
            <w:color w:val="0000FF"/>
            <w:spacing w:val="-3"/>
            <w:sz w:val="20"/>
            <w:u w:val="single" w:color="0000FF"/>
          </w:rPr>
          <w:t xml:space="preserve"> </w:t>
        </w:r>
        <w:r>
          <w:rPr>
            <w:color w:val="0000FF"/>
            <w:sz w:val="20"/>
            <w:u w:val="single" w:color="0000FF"/>
          </w:rPr>
          <w:t>2018,</w:t>
        </w:r>
        <w:r>
          <w:rPr>
            <w:color w:val="0000FF"/>
            <w:spacing w:val="-3"/>
            <w:sz w:val="20"/>
            <w:u w:val="single" w:color="0000FF"/>
          </w:rPr>
          <w:t xml:space="preserve"> </w:t>
        </w:r>
        <w:r>
          <w:rPr>
            <w:color w:val="0000FF"/>
            <w:sz w:val="20"/>
            <w:u w:val="single" w:color="0000FF"/>
          </w:rPr>
          <w:t>between</w:t>
        </w:r>
        <w:r>
          <w:rPr>
            <w:color w:val="0000FF"/>
            <w:spacing w:val="-3"/>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Bradford</w:t>
        </w:r>
        <w:r>
          <w:rPr>
            <w:color w:val="0000FF"/>
            <w:spacing w:val="-3"/>
            <w:sz w:val="20"/>
            <w:u w:val="single" w:color="0000FF"/>
          </w:rPr>
          <w:t xml:space="preserve"> </w:t>
        </w:r>
        <w:r>
          <w:rPr>
            <w:color w:val="0000FF"/>
            <w:sz w:val="20"/>
            <w:u w:val="single" w:color="0000FF"/>
          </w:rPr>
          <w:t>R.</w:t>
        </w:r>
        <w:r>
          <w:rPr>
            <w:color w:val="0000FF"/>
            <w:spacing w:val="-3"/>
            <w:sz w:val="20"/>
            <w:u w:val="single" w:color="0000FF"/>
          </w:rPr>
          <w:t xml:space="preserve"> </w:t>
        </w:r>
        <w:r>
          <w:rPr>
            <w:color w:val="0000FF"/>
            <w:sz w:val="20"/>
            <w:u w:val="single" w:color="0000FF"/>
          </w:rPr>
          <w:t>Turner</w:t>
        </w:r>
        <w:r>
          <w:rPr>
            <w:color w:val="0000FF"/>
            <w:spacing w:val="-3"/>
            <w:sz w:val="20"/>
            <w:u w:val="single" w:color="0000FF"/>
          </w:rPr>
          <w:t xml:space="preserve"> </w:t>
        </w:r>
        <w:r>
          <w:rPr>
            <w:color w:val="0000FF"/>
            <w:sz w:val="20"/>
            <w:u w:val="single" w:color="0000FF"/>
          </w:rPr>
          <w:t>(incorporated</w:t>
        </w:r>
      </w:hyperlink>
      <w:hyperlink r:id="rId216">
        <w:r>
          <w:rPr>
            <w:color w:val="0000FF"/>
            <w:sz w:val="20"/>
            <w:u w:val="single" w:color="0000FF"/>
          </w:rPr>
          <w:t xml:space="preserve"> by reference to Exhibit 99.1 to the Company’s Current Report on Form 8-K dated May 18, 2018, File</w:t>
        </w:r>
      </w:hyperlink>
      <w:hyperlink r:id="rId217">
        <w:r>
          <w:rPr>
            <w:color w:val="0000FF"/>
            <w:sz w:val="20"/>
            <w:u w:val="single" w:color="0000FF"/>
          </w:rPr>
          <w:t xml:space="preserve">   No.</w:t>
        </w:r>
        <w:r>
          <w:rPr>
            <w:color w:val="0000FF"/>
            <w:spacing w:val="-1"/>
            <w:sz w:val="20"/>
            <w:u w:val="single" w:color="0000FF"/>
          </w:rPr>
          <w:t xml:space="preserve"> </w:t>
        </w:r>
        <w:r>
          <w:rPr>
            <w:color w:val="0000FF"/>
            <w:sz w:val="20"/>
            <w:u w:val="single" w:color="0000FF"/>
          </w:rPr>
          <w:t>001-09608).</w:t>
        </w:r>
      </w:hyperlink>
    </w:p>
    <w:p w14:paraId="7326D3AB" w14:textId="77777777" w:rsidR="00EF3DFB" w:rsidRDefault="00D27C17">
      <w:pPr>
        <w:pStyle w:val="ListParagraph"/>
        <w:numPr>
          <w:ilvl w:val="1"/>
          <w:numId w:val="12"/>
        </w:numPr>
        <w:tabs>
          <w:tab w:val="left" w:pos="694"/>
          <w:tab w:val="left" w:pos="2207"/>
        </w:tabs>
        <w:spacing w:before="125" w:line="290" w:lineRule="auto"/>
        <w:ind w:right="363" w:hanging="1965"/>
        <w:rPr>
          <w:sz w:val="20"/>
        </w:rPr>
      </w:pPr>
      <w:r>
        <w:rPr>
          <w:sz w:val="20"/>
        </w:rPr>
        <w:t>*</w:t>
      </w:r>
      <w:r>
        <w:rPr>
          <w:sz w:val="20"/>
        </w:rPr>
        <w:tab/>
      </w:r>
      <w:hyperlink r:id="rId218">
        <w:r>
          <w:rPr>
            <w:color w:val="0000FF"/>
            <w:sz w:val="20"/>
            <w:u w:val="single" w:color="0000FF"/>
          </w:rPr>
          <w:t>Form of Restricted Stock Award Agreement under the 2013 Incentive Plan dated May 15, 201</w:t>
        </w:r>
        <w:r>
          <w:rPr>
            <w:color w:val="0000FF"/>
            <w:sz w:val="20"/>
            <w:u w:val="single" w:color="0000FF"/>
          </w:rPr>
          <w:t>8 between</w:t>
        </w:r>
      </w:hyperlink>
      <w:hyperlink r:id="rId219">
        <w:r>
          <w:rPr>
            <w:color w:val="0000FF"/>
            <w:sz w:val="20"/>
            <w:u w:val="single" w:color="0000FF"/>
          </w:rPr>
          <w:t xml:space="preserve"> Newell Brands Inc. and Bradford R. Turner for One-Time Special Equity Award (incorporated by</w:t>
        </w:r>
      </w:hyperlink>
      <w:hyperlink r:id="rId220">
        <w:r>
          <w:rPr>
            <w:color w:val="0000FF"/>
            <w:sz w:val="20"/>
            <w:u w:val="single" w:color="0000FF"/>
          </w:rPr>
          <w:t xml:space="preserve"> reference to Exhibit 99.2 to the Company's Current Report on Form 8-K dated May 18, 2018, File</w:t>
        </w:r>
      </w:hyperlink>
      <w:hyperlink r:id="rId221">
        <w:r>
          <w:rPr>
            <w:color w:val="0000FF"/>
            <w:sz w:val="20"/>
            <w:u w:val="single" w:color="0000FF"/>
          </w:rPr>
          <w:t xml:space="preserve">      </w:t>
        </w:r>
        <w:r>
          <w:rPr>
            <w:color w:val="0000FF"/>
            <w:sz w:val="20"/>
            <w:u w:val="single" w:color="0000FF"/>
          </w:rPr>
          <w:t>No.</w:t>
        </w:r>
        <w:r>
          <w:rPr>
            <w:color w:val="0000FF"/>
            <w:spacing w:val="-1"/>
            <w:sz w:val="20"/>
            <w:u w:val="single" w:color="0000FF"/>
          </w:rPr>
          <w:t xml:space="preserve"> </w:t>
        </w:r>
        <w:r>
          <w:rPr>
            <w:color w:val="0000FF"/>
            <w:sz w:val="20"/>
            <w:u w:val="single" w:color="0000FF"/>
          </w:rPr>
          <w:t>001-09608).</w:t>
        </w:r>
      </w:hyperlink>
    </w:p>
    <w:p w14:paraId="7326D3AC" w14:textId="77777777" w:rsidR="00EF3DFB" w:rsidRDefault="00EF3DFB">
      <w:pPr>
        <w:pStyle w:val="BodyText"/>
        <w:rPr>
          <w:sz w:val="14"/>
        </w:rPr>
      </w:pPr>
    </w:p>
    <w:p w14:paraId="7326D3AD" w14:textId="77777777" w:rsidR="00EF3DFB" w:rsidRDefault="00D27C17">
      <w:pPr>
        <w:pStyle w:val="ListParagraph"/>
        <w:numPr>
          <w:ilvl w:val="1"/>
          <w:numId w:val="12"/>
        </w:numPr>
        <w:tabs>
          <w:tab w:val="left" w:pos="694"/>
          <w:tab w:val="left" w:pos="2207"/>
        </w:tabs>
        <w:spacing w:before="91" w:line="290" w:lineRule="auto"/>
        <w:ind w:right="323" w:hanging="1965"/>
        <w:rPr>
          <w:sz w:val="20"/>
        </w:rPr>
      </w:pPr>
      <w:r>
        <w:rPr>
          <w:sz w:val="20"/>
        </w:rPr>
        <w:t>*</w:t>
      </w:r>
      <w:r>
        <w:rPr>
          <w:sz w:val="20"/>
        </w:rPr>
        <w:tab/>
      </w:r>
      <w:hyperlink r:id="rId222">
        <w:r>
          <w:rPr>
            <w:color w:val="0000FF"/>
            <w:sz w:val="20"/>
            <w:u w:val="single" w:color="0000FF"/>
          </w:rPr>
          <w:t>Settlement Agreement, dated September 14, 2018, by and between Newell Rubbermaid Global Limited</w:t>
        </w:r>
      </w:hyperlink>
      <w:hyperlink r:id="rId223">
        <w:r>
          <w:rPr>
            <w:color w:val="0000FF"/>
            <w:sz w:val="20"/>
            <w:u w:val="single" w:color="0000FF"/>
          </w:rPr>
          <w:t xml:space="preserve"> and</w:t>
        </w:r>
        <w:r>
          <w:rPr>
            <w:color w:val="0000FF"/>
            <w:spacing w:val="-3"/>
            <w:sz w:val="20"/>
            <w:u w:val="single" w:color="0000FF"/>
          </w:rPr>
          <w:t xml:space="preserve"> </w:t>
        </w:r>
        <w:r>
          <w:rPr>
            <w:color w:val="0000FF"/>
            <w:sz w:val="20"/>
            <w:u w:val="single" w:color="0000FF"/>
          </w:rPr>
          <w:t>Richard</w:t>
        </w:r>
        <w:r>
          <w:rPr>
            <w:color w:val="0000FF"/>
            <w:spacing w:val="-3"/>
            <w:sz w:val="20"/>
            <w:u w:val="single" w:color="0000FF"/>
          </w:rPr>
          <w:t xml:space="preserve"> </w:t>
        </w:r>
        <w:r>
          <w:rPr>
            <w:color w:val="0000FF"/>
            <w:sz w:val="20"/>
            <w:u w:val="single" w:color="0000FF"/>
          </w:rPr>
          <w:t>Davies</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r>
          <w:rPr>
            <w:color w:val="0000FF"/>
            <w:spacing w:val="-4"/>
            <w:sz w:val="20"/>
            <w:u w:val="single" w:color="0000FF"/>
          </w:rPr>
          <w:t xml:space="preserve"> </w:t>
        </w:r>
        <w:r>
          <w:rPr>
            <w:color w:val="0000FF"/>
            <w:sz w:val="20"/>
            <w:u w:val="single" w:color="0000FF"/>
          </w:rPr>
          <w:t>Current</w:t>
        </w:r>
        <w:r>
          <w:rPr>
            <w:color w:val="0000FF"/>
            <w:spacing w:val="-4"/>
            <w:sz w:val="20"/>
            <w:u w:val="single" w:color="0000FF"/>
          </w:rPr>
          <w:t xml:space="preserve"> </w:t>
        </w:r>
        <w:r>
          <w:rPr>
            <w:color w:val="0000FF"/>
            <w:sz w:val="20"/>
            <w:u w:val="single" w:color="0000FF"/>
          </w:rPr>
          <w:t>Report</w:t>
        </w:r>
        <w:r>
          <w:rPr>
            <w:color w:val="0000FF"/>
            <w:spacing w:val="-4"/>
            <w:sz w:val="20"/>
            <w:u w:val="single" w:color="0000FF"/>
          </w:rPr>
          <w:t xml:space="preserve"> </w:t>
        </w:r>
        <w:r>
          <w:rPr>
            <w:color w:val="0000FF"/>
            <w:sz w:val="20"/>
            <w:u w:val="single" w:color="0000FF"/>
          </w:rPr>
          <w:t>on</w:t>
        </w:r>
        <w:r>
          <w:rPr>
            <w:color w:val="0000FF"/>
            <w:spacing w:val="-3"/>
            <w:sz w:val="20"/>
            <w:u w:val="single" w:color="0000FF"/>
          </w:rPr>
          <w:t xml:space="preserve"> </w:t>
        </w:r>
        <w:r>
          <w:rPr>
            <w:color w:val="0000FF"/>
            <w:sz w:val="20"/>
            <w:u w:val="single" w:color="0000FF"/>
          </w:rPr>
          <w:t>Form</w:t>
        </w:r>
      </w:hyperlink>
      <w:hyperlink r:id="rId224">
        <w:r>
          <w:rPr>
            <w:color w:val="0000FF"/>
            <w:sz w:val="20"/>
            <w:u w:val="single" w:color="0000FF"/>
          </w:rPr>
          <w:t xml:space="preserve"> 8-K dated September 14, 2018, File No.</w:t>
        </w:r>
        <w:r>
          <w:rPr>
            <w:color w:val="0000FF"/>
            <w:spacing w:val="-3"/>
            <w:sz w:val="20"/>
            <w:u w:val="single" w:color="0000FF"/>
          </w:rPr>
          <w:t xml:space="preserve"> </w:t>
        </w:r>
        <w:r>
          <w:rPr>
            <w:color w:val="0000FF"/>
            <w:sz w:val="20"/>
            <w:u w:val="single" w:color="0000FF"/>
          </w:rPr>
          <w:t>001-09608).</w:t>
        </w:r>
      </w:hyperlink>
    </w:p>
    <w:p w14:paraId="7326D3AE" w14:textId="77777777" w:rsidR="00EF3DFB" w:rsidRDefault="00D27C17">
      <w:pPr>
        <w:pStyle w:val="ListParagraph"/>
        <w:numPr>
          <w:ilvl w:val="1"/>
          <w:numId w:val="12"/>
        </w:numPr>
        <w:tabs>
          <w:tab w:val="left" w:pos="694"/>
          <w:tab w:val="left" w:pos="2207"/>
        </w:tabs>
        <w:spacing w:before="170" w:line="249" w:lineRule="auto"/>
        <w:ind w:right="479" w:hanging="1965"/>
        <w:rPr>
          <w:sz w:val="20"/>
        </w:rPr>
      </w:pPr>
      <w:r>
        <w:rPr>
          <w:sz w:val="20"/>
        </w:rPr>
        <w:t>*</w:t>
      </w:r>
      <w:r>
        <w:rPr>
          <w:sz w:val="20"/>
        </w:rPr>
        <w:tab/>
      </w:r>
      <w:hyperlink r:id="rId225">
        <w:r>
          <w:rPr>
            <w:color w:val="0000FF"/>
            <w:sz w:val="20"/>
            <w:u w:val="single" w:color="0000FF"/>
          </w:rPr>
          <w:t>Retirement Agreement and General Release, dated as of February 18, 2019, by and between Newell</w:t>
        </w:r>
      </w:hyperlink>
      <w:hyperlink r:id="rId226">
        <w:r>
          <w:rPr>
            <w:color w:val="0000FF"/>
            <w:sz w:val="20"/>
            <w:u w:val="single" w:color="0000FF"/>
          </w:rPr>
          <w:t xml:space="preserve"> Brands</w:t>
        </w:r>
        <w:r>
          <w:rPr>
            <w:color w:val="0000FF"/>
            <w:spacing w:val="-4"/>
            <w:sz w:val="20"/>
            <w:u w:val="single" w:color="0000FF"/>
          </w:rPr>
          <w:t xml:space="preserve"> </w:t>
        </w:r>
        <w:r>
          <w:rPr>
            <w:color w:val="0000FF"/>
            <w:sz w:val="20"/>
            <w:u w:val="single" w:color="0000FF"/>
          </w:rPr>
          <w:t>Inc.</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William</w:t>
        </w:r>
        <w:r>
          <w:rPr>
            <w:color w:val="0000FF"/>
            <w:spacing w:val="-4"/>
            <w:sz w:val="20"/>
            <w:u w:val="single" w:color="0000FF"/>
          </w:rPr>
          <w:t xml:space="preserve"> </w:t>
        </w:r>
        <w:r>
          <w:rPr>
            <w:color w:val="0000FF"/>
            <w:sz w:val="20"/>
            <w:u w:val="single" w:color="0000FF"/>
          </w:rPr>
          <w:t>A.</w:t>
        </w:r>
        <w:r>
          <w:rPr>
            <w:color w:val="0000FF"/>
            <w:spacing w:val="-3"/>
            <w:sz w:val="20"/>
            <w:u w:val="single" w:color="0000FF"/>
          </w:rPr>
          <w:t xml:space="preserve"> </w:t>
        </w:r>
        <w:r>
          <w:rPr>
            <w:color w:val="0000FF"/>
            <w:sz w:val="20"/>
            <w:u w:val="single" w:color="0000FF"/>
          </w:rPr>
          <w:t>Burke</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r>
          <w:rPr>
            <w:color w:val="0000FF"/>
            <w:spacing w:val="-4"/>
            <w:sz w:val="20"/>
            <w:u w:val="single" w:color="0000FF"/>
          </w:rPr>
          <w:t xml:space="preserve"> </w:t>
        </w:r>
        <w:r>
          <w:rPr>
            <w:color w:val="0000FF"/>
            <w:sz w:val="20"/>
            <w:u w:val="single" w:color="0000FF"/>
          </w:rPr>
          <w:t>Current</w:t>
        </w:r>
      </w:hyperlink>
      <w:hyperlink r:id="rId227">
        <w:r>
          <w:rPr>
            <w:color w:val="0000FF"/>
            <w:sz w:val="20"/>
            <w:u w:val="single" w:color="0000FF"/>
          </w:rPr>
          <w:t xml:space="preserve"> Report on Form 8-K dated February 18, 2019, File No.</w:t>
        </w:r>
        <w:r>
          <w:rPr>
            <w:color w:val="0000FF"/>
            <w:spacing w:val="-6"/>
            <w:sz w:val="20"/>
            <w:u w:val="single" w:color="0000FF"/>
          </w:rPr>
          <w:t xml:space="preserve"> </w:t>
        </w:r>
        <w:r>
          <w:rPr>
            <w:color w:val="0000FF"/>
            <w:sz w:val="20"/>
            <w:u w:val="single" w:color="0000FF"/>
          </w:rPr>
          <w:t>001-09608).</w:t>
        </w:r>
      </w:hyperlink>
    </w:p>
    <w:p w14:paraId="7326D3AF" w14:textId="77777777" w:rsidR="00EF3DFB" w:rsidRDefault="00EF3DFB">
      <w:pPr>
        <w:pStyle w:val="BodyText"/>
        <w:spacing w:before="6"/>
        <w:rPr>
          <w:sz w:val="10"/>
        </w:rPr>
      </w:pPr>
    </w:p>
    <w:p w14:paraId="7326D3B0" w14:textId="77777777" w:rsidR="00EF3DFB" w:rsidRDefault="00D27C17">
      <w:pPr>
        <w:pStyle w:val="ListParagraph"/>
        <w:numPr>
          <w:ilvl w:val="1"/>
          <w:numId w:val="12"/>
        </w:numPr>
        <w:tabs>
          <w:tab w:val="left" w:pos="694"/>
          <w:tab w:val="left" w:pos="2207"/>
        </w:tabs>
        <w:spacing w:before="92" w:line="249" w:lineRule="auto"/>
        <w:ind w:right="251" w:hanging="1965"/>
        <w:rPr>
          <w:sz w:val="20"/>
        </w:rPr>
      </w:pPr>
      <w:r>
        <w:rPr>
          <w:sz w:val="20"/>
        </w:rPr>
        <w:t>*</w:t>
      </w:r>
      <w:r>
        <w:rPr>
          <w:sz w:val="20"/>
        </w:rPr>
        <w:tab/>
      </w:r>
      <w:hyperlink r:id="rId228">
        <w:r>
          <w:rPr>
            <w:color w:val="0000FF"/>
            <w:sz w:val="20"/>
            <w:u w:val="single" w:color="0000FF"/>
          </w:rPr>
          <w:t>Form of Award Agreement (awarding restricted stock units) under the 2013 Incentive Plan to Russell</w:t>
        </w:r>
      </w:hyperlink>
      <w:hyperlink r:id="rId229">
        <w:r>
          <w:rPr>
            <w:color w:val="0000FF"/>
            <w:sz w:val="20"/>
            <w:u w:val="single" w:color="0000FF"/>
          </w:rPr>
          <w:t xml:space="preserve"> Torres</w:t>
        </w:r>
        <w:r>
          <w:rPr>
            <w:color w:val="0000FF"/>
            <w:spacing w:val="-4"/>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March</w:t>
        </w:r>
        <w:r>
          <w:rPr>
            <w:color w:val="0000FF"/>
            <w:spacing w:val="-3"/>
            <w:sz w:val="20"/>
            <w:u w:val="single" w:color="0000FF"/>
          </w:rPr>
          <w:t xml:space="preserve"> </w:t>
        </w:r>
        <w:r>
          <w:rPr>
            <w:color w:val="0000FF"/>
            <w:sz w:val="20"/>
            <w:u w:val="single" w:color="0000FF"/>
          </w:rPr>
          <w:t>8,</w:t>
        </w:r>
        <w:r>
          <w:rPr>
            <w:color w:val="0000FF"/>
            <w:spacing w:val="-3"/>
            <w:sz w:val="20"/>
            <w:u w:val="single" w:color="0000FF"/>
          </w:rPr>
          <w:t xml:space="preserve"> </w:t>
        </w:r>
        <w:r>
          <w:rPr>
            <w:color w:val="0000FF"/>
            <w:sz w:val="20"/>
            <w:u w:val="single" w:color="0000FF"/>
          </w:rPr>
          <w:t>2019</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10.4</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r>
          <w:rPr>
            <w:color w:val="0000FF"/>
            <w:spacing w:val="-4"/>
            <w:sz w:val="20"/>
            <w:u w:val="single" w:color="0000FF"/>
          </w:rPr>
          <w:t xml:space="preserve"> </w:t>
        </w:r>
        <w:r>
          <w:rPr>
            <w:color w:val="0000FF"/>
            <w:sz w:val="20"/>
            <w:u w:val="single" w:color="0000FF"/>
          </w:rPr>
          <w:t>Quarterly</w:t>
        </w:r>
        <w:r>
          <w:rPr>
            <w:color w:val="0000FF"/>
            <w:spacing w:val="-3"/>
            <w:sz w:val="20"/>
            <w:u w:val="single" w:color="0000FF"/>
          </w:rPr>
          <w:t xml:space="preserve"> </w:t>
        </w:r>
        <w:r>
          <w:rPr>
            <w:color w:val="0000FF"/>
            <w:sz w:val="20"/>
            <w:u w:val="single" w:color="0000FF"/>
          </w:rPr>
          <w:t>Report</w:t>
        </w:r>
      </w:hyperlink>
      <w:hyperlink r:id="rId230">
        <w:r>
          <w:rPr>
            <w:color w:val="0000FF"/>
            <w:sz w:val="20"/>
            <w:u w:val="single" w:color="0000FF"/>
          </w:rPr>
          <w:t xml:space="preserve"> on Form 10-Q for the quarterly period ended March 31, 2019, File No.</w:t>
        </w:r>
        <w:r>
          <w:rPr>
            <w:color w:val="0000FF"/>
            <w:spacing w:val="-9"/>
            <w:sz w:val="20"/>
            <w:u w:val="single" w:color="0000FF"/>
          </w:rPr>
          <w:t xml:space="preserve"> </w:t>
        </w:r>
        <w:r>
          <w:rPr>
            <w:color w:val="0000FF"/>
            <w:sz w:val="20"/>
            <w:u w:val="single" w:color="0000FF"/>
          </w:rPr>
          <w:t>001-09608).</w:t>
        </w:r>
      </w:hyperlink>
    </w:p>
    <w:p w14:paraId="7326D3B1" w14:textId="77777777" w:rsidR="00EF3DFB" w:rsidRDefault="00D27C17">
      <w:pPr>
        <w:pStyle w:val="ListParagraph"/>
        <w:numPr>
          <w:ilvl w:val="1"/>
          <w:numId w:val="12"/>
        </w:numPr>
        <w:tabs>
          <w:tab w:val="left" w:pos="694"/>
          <w:tab w:val="left" w:pos="2207"/>
        </w:tabs>
        <w:spacing w:before="197" w:line="249" w:lineRule="auto"/>
        <w:ind w:right="442" w:hanging="1965"/>
        <w:rPr>
          <w:sz w:val="20"/>
        </w:rPr>
      </w:pPr>
      <w:r>
        <w:rPr>
          <w:sz w:val="20"/>
        </w:rPr>
        <w:t>*</w:t>
      </w:r>
      <w:r>
        <w:rPr>
          <w:sz w:val="20"/>
        </w:rPr>
        <w:tab/>
      </w:r>
      <w:hyperlink r:id="rId231">
        <w:r>
          <w:rPr>
            <w:color w:val="0000FF"/>
            <w:sz w:val="20"/>
            <w:u w:val="single" w:color="0000FF"/>
          </w:rPr>
          <w:t>Relocation</w:t>
        </w:r>
        <w:r>
          <w:rPr>
            <w:color w:val="0000FF"/>
            <w:spacing w:val="-4"/>
            <w:sz w:val="20"/>
            <w:u w:val="single" w:color="0000FF"/>
          </w:rPr>
          <w:t xml:space="preserve"> </w:t>
        </w:r>
        <w:r>
          <w:rPr>
            <w:color w:val="0000FF"/>
            <w:sz w:val="20"/>
            <w:u w:val="single" w:color="0000FF"/>
          </w:rPr>
          <w:t>Repayment</w:t>
        </w:r>
        <w:r>
          <w:rPr>
            <w:color w:val="0000FF"/>
            <w:spacing w:val="-5"/>
            <w:sz w:val="20"/>
            <w:u w:val="single" w:color="0000FF"/>
          </w:rPr>
          <w:t xml:space="preserve"> </w:t>
        </w:r>
        <w:r>
          <w:rPr>
            <w:color w:val="0000FF"/>
            <w:sz w:val="20"/>
            <w:u w:val="single" w:color="0000FF"/>
          </w:rPr>
          <w:t>Agreement</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Letter</w:t>
        </w:r>
        <w:r>
          <w:rPr>
            <w:color w:val="0000FF"/>
            <w:spacing w:val="-4"/>
            <w:sz w:val="20"/>
            <w:u w:val="single" w:color="0000FF"/>
          </w:rPr>
          <w:t xml:space="preserve"> </w:t>
        </w:r>
        <w:r>
          <w:rPr>
            <w:color w:val="0000FF"/>
            <w:sz w:val="20"/>
            <w:u w:val="single" w:color="0000FF"/>
          </w:rPr>
          <w:t>Agreement</w:t>
        </w:r>
        <w:r>
          <w:rPr>
            <w:color w:val="0000FF"/>
            <w:spacing w:val="-5"/>
            <w:sz w:val="20"/>
            <w:u w:val="single" w:color="0000FF"/>
          </w:rPr>
          <w:t xml:space="preserve"> </w:t>
        </w:r>
        <w:r>
          <w:rPr>
            <w:color w:val="0000FF"/>
            <w:sz w:val="20"/>
            <w:u w:val="single" w:color="0000FF"/>
          </w:rPr>
          <w:t>dated</w:t>
        </w:r>
        <w:r>
          <w:rPr>
            <w:color w:val="0000FF"/>
            <w:spacing w:val="-4"/>
            <w:sz w:val="20"/>
            <w:u w:val="single" w:color="0000FF"/>
          </w:rPr>
          <w:t xml:space="preserve"> </w:t>
        </w:r>
        <w:r>
          <w:rPr>
            <w:color w:val="0000FF"/>
            <w:sz w:val="20"/>
            <w:u w:val="single" w:color="0000FF"/>
          </w:rPr>
          <w:t>March</w:t>
        </w:r>
        <w:r>
          <w:rPr>
            <w:color w:val="0000FF"/>
            <w:spacing w:val="-4"/>
            <w:sz w:val="20"/>
            <w:u w:val="single" w:color="0000FF"/>
          </w:rPr>
          <w:t xml:space="preserve"> </w:t>
        </w:r>
        <w:r>
          <w:rPr>
            <w:color w:val="0000FF"/>
            <w:sz w:val="20"/>
            <w:u w:val="single" w:color="0000FF"/>
          </w:rPr>
          <w:t>13,</w:t>
        </w:r>
        <w:r>
          <w:rPr>
            <w:color w:val="0000FF"/>
            <w:spacing w:val="-4"/>
            <w:sz w:val="20"/>
            <w:u w:val="single" w:color="0000FF"/>
          </w:rPr>
          <w:t xml:space="preserve"> </w:t>
        </w:r>
        <w:r>
          <w:rPr>
            <w:color w:val="0000FF"/>
            <w:sz w:val="20"/>
            <w:u w:val="single" w:color="0000FF"/>
          </w:rPr>
          <w:t>2019</w:t>
        </w:r>
        <w:r>
          <w:rPr>
            <w:color w:val="0000FF"/>
            <w:spacing w:val="-4"/>
            <w:sz w:val="20"/>
            <w:u w:val="single" w:color="0000FF"/>
          </w:rPr>
          <w:t xml:space="preserve"> </w:t>
        </w:r>
        <w:r>
          <w:rPr>
            <w:color w:val="0000FF"/>
            <w:sz w:val="20"/>
            <w:u w:val="single" w:color="0000FF"/>
          </w:rPr>
          <w:t>between</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hyperlink>
      <w:hyperlink r:id="rId232">
        <w:r>
          <w:rPr>
            <w:color w:val="0000FF"/>
            <w:sz w:val="20"/>
            <w:u w:val="single" w:color="0000FF"/>
          </w:rPr>
          <w:t xml:space="preserve"> Inc. and Bradford R. Turner. (incorporated by reference to Exhibit 10.5 to the Company’s Quarterly</w:t>
        </w:r>
      </w:hyperlink>
      <w:hyperlink r:id="rId233">
        <w:r>
          <w:rPr>
            <w:color w:val="0000FF"/>
            <w:sz w:val="20"/>
            <w:u w:val="single" w:color="0000FF"/>
          </w:rPr>
          <w:t xml:space="preserve"> Report on Form 10-Q for the quarterly period ended March 31, 2019, File No.</w:t>
        </w:r>
        <w:r>
          <w:rPr>
            <w:color w:val="0000FF"/>
            <w:spacing w:val="-13"/>
            <w:sz w:val="20"/>
            <w:u w:val="single" w:color="0000FF"/>
          </w:rPr>
          <w:t xml:space="preserve"> </w:t>
        </w:r>
        <w:r>
          <w:rPr>
            <w:color w:val="0000FF"/>
            <w:sz w:val="20"/>
            <w:u w:val="single" w:color="0000FF"/>
          </w:rPr>
          <w:t>001-09608).</w:t>
        </w:r>
      </w:hyperlink>
    </w:p>
    <w:p w14:paraId="7326D3B2" w14:textId="77777777" w:rsidR="00EF3DFB" w:rsidRDefault="00D27C17">
      <w:pPr>
        <w:pStyle w:val="ListParagraph"/>
        <w:numPr>
          <w:ilvl w:val="1"/>
          <w:numId w:val="12"/>
        </w:numPr>
        <w:tabs>
          <w:tab w:val="left" w:pos="694"/>
          <w:tab w:val="left" w:pos="2207"/>
        </w:tabs>
        <w:spacing w:before="183" w:line="249" w:lineRule="auto"/>
        <w:ind w:right="369" w:hanging="1965"/>
        <w:jc w:val="both"/>
        <w:rPr>
          <w:sz w:val="20"/>
        </w:rPr>
      </w:pPr>
      <w:r>
        <w:rPr>
          <w:sz w:val="20"/>
        </w:rPr>
        <w:t>*</w:t>
      </w:r>
      <w:r>
        <w:rPr>
          <w:sz w:val="20"/>
        </w:rPr>
        <w:tab/>
      </w:r>
      <w:hyperlink r:id="rId234">
        <w:r>
          <w:rPr>
            <w:color w:val="0000FF"/>
            <w:sz w:val="20"/>
            <w:u w:val="single" w:color="0000FF"/>
          </w:rPr>
          <w:t>Retirement</w:t>
        </w:r>
        <w:r>
          <w:rPr>
            <w:color w:val="0000FF"/>
            <w:spacing w:val="-4"/>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General</w:t>
        </w:r>
        <w:r>
          <w:rPr>
            <w:color w:val="0000FF"/>
            <w:spacing w:val="-4"/>
            <w:sz w:val="20"/>
            <w:u w:val="single" w:color="0000FF"/>
          </w:rPr>
          <w:t xml:space="preserve"> </w:t>
        </w:r>
        <w:r>
          <w:rPr>
            <w:color w:val="0000FF"/>
            <w:sz w:val="20"/>
            <w:u w:val="single" w:color="0000FF"/>
          </w:rPr>
          <w:t>Release,</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March</w:t>
        </w:r>
        <w:r>
          <w:rPr>
            <w:color w:val="0000FF"/>
            <w:spacing w:val="-3"/>
            <w:sz w:val="20"/>
            <w:u w:val="single" w:color="0000FF"/>
          </w:rPr>
          <w:t xml:space="preserve"> </w:t>
        </w:r>
        <w:r>
          <w:rPr>
            <w:color w:val="0000FF"/>
            <w:sz w:val="20"/>
            <w:u w:val="single" w:color="0000FF"/>
          </w:rPr>
          <w:t>21,</w:t>
        </w:r>
        <w:r>
          <w:rPr>
            <w:color w:val="0000FF"/>
            <w:spacing w:val="-3"/>
            <w:sz w:val="20"/>
            <w:u w:val="single" w:color="0000FF"/>
          </w:rPr>
          <w:t xml:space="preserve"> </w:t>
        </w:r>
        <w:r>
          <w:rPr>
            <w:color w:val="0000FF"/>
            <w:sz w:val="20"/>
            <w:u w:val="single" w:color="0000FF"/>
          </w:rPr>
          <w:t>2019,</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between</w:t>
        </w:r>
        <w:r>
          <w:rPr>
            <w:color w:val="0000FF"/>
            <w:spacing w:val="-3"/>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Brands</w:t>
        </w:r>
      </w:hyperlink>
      <w:hyperlink r:id="rId235">
        <w:r>
          <w:rPr>
            <w:color w:val="0000FF"/>
            <w:sz w:val="20"/>
            <w:u w:val="single" w:color="0000FF"/>
          </w:rPr>
          <w:t xml:space="preserve"> Inc. and Michael B. Polk (incorporated by reference to Exhibit 10.1 to the Company’s Current Report on</w:t>
        </w:r>
      </w:hyperlink>
      <w:hyperlink r:id="rId236">
        <w:r>
          <w:rPr>
            <w:color w:val="0000FF"/>
            <w:sz w:val="20"/>
            <w:u w:val="single" w:color="0000FF"/>
          </w:rPr>
          <w:t xml:space="preserve"> Form 8</w:t>
        </w:r>
        <w:r>
          <w:rPr>
            <w:color w:val="0000FF"/>
            <w:sz w:val="20"/>
            <w:u w:val="single" w:color="0000FF"/>
          </w:rPr>
          <w:t>-K dated March 22, 2019, File No.</w:t>
        </w:r>
        <w:r>
          <w:rPr>
            <w:color w:val="0000FF"/>
            <w:spacing w:val="-4"/>
            <w:sz w:val="20"/>
            <w:u w:val="single" w:color="0000FF"/>
          </w:rPr>
          <w:t xml:space="preserve"> </w:t>
        </w:r>
        <w:r>
          <w:rPr>
            <w:color w:val="0000FF"/>
            <w:sz w:val="20"/>
            <w:u w:val="single" w:color="0000FF"/>
          </w:rPr>
          <w:t>001-09608).</w:t>
        </w:r>
      </w:hyperlink>
    </w:p>
    <w:p w14:paraId="7326D3B3" w14:textId="77777777" w:rsidR="00EF3DFB" w:rsidRDefault="00EF3DFB">
      <w:pPr>
        <w:pStyle w:val="BodyText"/>
        <w:spacing w:before="6"/>
        <w:rPr>
          <w:sz w:val="10"/>
        </w:rPr>
      </w:pPr>
    </w:p>
    <w:p w14:paraId="7326D3B4" w14:textId="77777777" w:rsidR="00EF3DFB" w:rsidRDefault="00D27C17">
      <w:pPr>
        <w:pStyle w:val="ListParagraph"/>
        <w:numPr>
          <w:ilvl w:val="1"/>
          <w:numId w:val="12"/>
        </w:numPr>
        <w:tabs>
          <w:tab w:val="left" w:pos="694"/>
          <w:tab w:val="left" w:pos="2207"/>
        </w:tabs>
        <w:spacing w:before="91" w:line="249" w:lineRule="auto"/>
        <w:ind w:right="306" w:hanging="1965"/>
        <w:rPr>
          <w:sz w:val="20"/>
        </w:rPr>
      </w:pPr>
      <w:r>
        <w:rPr>
          <w:sz w:val="20"/>
        </w:rPr>
        <w:t>*</w:t>
      </w:r>
      <w:r>
        <w:rPr>
          <w:sz w:val="20"/>
        </w:rPr>
        <w:tab/>
      </w:r>
      <w:hyperlink r:id="rId237">
        <w:r>
          <w:rPr>
            <w:color w:val="0000FF"/>
            <w:sz w:val="20"/>
            <w:u w:val="single" w:color="0000FF"/>
          </w:rPr>
          <w:t>Form of Award Agreement (awarding restricted stock units) under the 2013 Incentive Plan to Russell</w:t>
        </w:r>
      </w:hyperlink>
      <w:hyperlink r:id="rId238">
        <w:r>
          <w:rPr>
            <w:color w:val="0000FF"/>
            <w:sz w:val="20"/>
            <w:u w:val="single" w:color="0000FF"/>
          </w:rPr>
          <w:t xml:space="preserve"> Torres dated May 26, 2018 (incorporated by reference to Exhibit 10.8 to the Company’s Quarterly</w:t>
        </w:r>
        <w:r>
          <w:rPr>
            <w:color w:val="0000FF"/>
            <w:spacing w:val="-36"/>
            <w:sz w:val="20"/>
            <w:u w:val="single" w:color="0000FF"/>
          </w:rPr>
          <w:t xml:space="preserve"> </w:t>
        </w:r>
        <w:r>
          <w:rPr>
            <w:color w:val="0000FF"/>
            <w:sz w:val="20"/>
            <w:u w:val="single" w:color="0000FF"/>
          </w:rPr>
          <w:t>Report</w:t>
        </w:r>
      </w:hyperlink>
      <w:hyperlink r:id="rId239">
        <w:r>
          <w:rPr>
            <w:color w:val="0000FF"/>
            <w:sz w:val="20"/>
            <w:u w:val="single" w:color="0000FF"/>
          </w:rPr>
          <w:t xml:space="preserve"> on Form 10-Q for the quarterly period ended March 31, 2019, File No.</w:t>
        </w:r>
        <w:r>
          <w:rPr>
            <w:color w:val="0000FF"/>
            <w:spacing w:val="-9"/>
            <w:sz w:val="20"/>
            <w:u w:val="single" w:color="0000FF"/>
          </w:rPr>
          <w:t xml:space="preserve"> </w:t>
        </w:r>
        <w:r>
          <w:rPr>
            <w:color w:val="0000FF"/>
            <w:sz w:val="20"/>
            <w:u w:val="single" w:color="0000FF"/>
          </w:rPr>
          <w:t>001-09608).</w:t>
        </w:r>
      </w:hyperlink>
    </w:p>
    <w:p w14:paraId="7326D3B5" w14:textId="77777777" w:rsidR="00EF3DFB" w:rsidRDefault="00D27C17">
      <w:pPr>
        <w:pStyle w:val="ListParagraph"/>
        <w:numPr>
          <w:ilvl w:val="1"/>
          <w:numId w:val="12"/>
        </w:numPr>
        <w:tabs>
          <w:tab w:val="left" w:pos="694"/>
          <w:tab w:val="left" w:pos="2207"/>
        </w:tabs>
        <w:spacing w:before="153" w:line="249" w:lineRule="auto"/>
        <w:ind w:right="330" w:hanging="1965"/>
        <w:rPr>
          <w:sz w:val="20"/>
        </w:rPr>
      </w:pPr>
      <w:r>
        <w:rPr>
          <w:sz w:val="20"/>
        </w:rPr>
        <w:t>*</w:t>
      </w:r>
      <w:r>
        <w:rPr>
          <w:sz w:val="20"/>
        </w:rPr>
        <w:tab/>
      </w:r>
      <w:hyperlink r:id="rId240">
        <w:r>
          <w:rPr>
            <w:color w:val="0000FF"/>
            <w:sz w:val="20"/>
            <w:u w:val="single" w:color="0000FF"/>
          </w:rPr>
          <w:t>Form of Restricted S</w:t>
        </w:r>
        <w:r>
          <w:rPr>
            <w:color w:val="0000FF"/>
            <w:sz w:val="20"/>
            <w:u w:val="single" w:color="0000FF"/>
          </w:rPr>
          <w:t>tock Award Agreement for Bradford R. Turner One-Time Special Equity Award</w:t>
        </w:r>
      </w:hyperlink>
      <w:hyperlink r:id="rId241">
        <w:r>
          <w:rPr>
            <w:color w:val="0000FF"/>
            <w:sz w:val="20"/>
            <w:u w:val="single" w:color="0000FF"/>
          </w:rPr>
          <w:t xml:space="preserve"> dated May 15, 2018 (incorporated by reference to Exhibit 99.2 to the Company's </w:t>
        </w:r>
        <w:r>
          <w:rPr>
            <w:color w:val="0000FF"/>
            <w:sz w:val="20"/>
            <w:u w:val="single" w:color="0000FF"/>
          </w:rPr>
          <w:t>Current Report on</w:t>
        </w:r>
        <w:r>
          <w:rPr>
            <w:color w:val="0000FF"/>
            <w:spacing w:val="-34"/>
            <w:sz w:val="20"/>
            <w:u w:val="single" w:color="0000FF"/>
          </w:rPr>
          <w:t xml:space="preserve"> </w:t>
        </w:r>
        <w:r>
          <w:rPr>
            <w:color w:val="0000FF"/>
            <w:sz w:val="20"/>
            <w:u w:val="single" w:color="0000FF"/>
          </w:rPr>
          <w:t>Form</w:t>
        </w:r>
      </w:hyperlink>
      <w:hyperlink r:id="rId242">
        <w:r>
          <w:rPr>
            <w:color w:val="0000FF"/>
            <w:sz w:val="20"/>
            <w:u w:val="single" w:color="0000FF"/>
          </w:rPr>
          <w:t xml:space="preserve"> 8-K dated May 18, 2018, File No.</w:t>
        </w:r>
        <w:r>
          <w:rPr>
            <w:color w:val="0000FF"/>
            <w:spacing w:val="-3"/>
            <w:sz w:val="20"/>
            <w:u w:val="single" w:color="0000FF"/>
          </w:rPr>
          <w:t xml:space="preserve"> </w:t>
        </w:r>
        <w:r>
          <w:rPr>
            <w:color w:val="0000FF"/>
            <w:sz w:val="20"/>
            <w:u w:val="single" w:color="0000FF"/>
          </w:rPr>
          <w:t>001-09608).</w:t>
        </w:r>
      </w:hyperlink>
    </w:p>
    <w:p w14:paraId="7326D3B6" w14:textId="77777777" w:rsidR="00EF3DFB" w:rsidRDefault="00EF3DFB">
      <w:pPr>
        <w:pStyle w:val="BodyText"/>
        <w:spacing w:before="1"/>
        <w:rPr>
          <w:sz w:val="13"/>
        </w:rPr>
      </w:pPr>
    </w:p>
    <w:p w14:paraId="7326D3B7" w14:textId="77777777" w:rsidR="00EF3DFB" w:rsidRDefault="00D27C17">
      <w:pPr>
        <w:pStyle w:val="ListParagraph"/>
        <w:numPr>
          <w:ilvl w:val="1"/>
          <w:numId w:val="12"/>
        </w:numPr>
        <w:tabs>
          <w:tab w:val="left" w:pos="694"/>
          <w:tab w:val="left" w:pos="2207"/>
        </w:tabs>
        <w:spacing w:before="92" w:line="249" w:lineRule="auto"/>
        <w:ind w:right="267" w:hanging="1965"/>
        <w:rPr>
          <w:sz w:val="20"/>
        </w:rPr>
      </w:pPr>
      <w:r>
        <w:rPr>
          <w:sz w:val="20"/>
        </w:rPr>
        <w:t>*</w:t>
      </w:r>
      <w:r>
        <w:rPr>
          <w:sz w:val="20"/>
        </w:rPr>
        <w:tab/>
      </w:r>
      <w:hyperlink r:id="rId243">
        <w:r>
          <w:rPr>
            <w:color w:val="0000FF"/>
            <w:sz w:val="20"/>
            <w:u w:val="single" w:color="0000FF"/>
          </w:rPr>
          <w:t>Retention Bonus Agreement and Letter Agreement dated May 16, 2018, between Newell Brands Inc. and</w:t>
        </w:r>
      </w:hyperlink>
      <w:hyperlink r:id="rId244">
        <w:r>
          <w:rPr>
            <w:color w:val="0000FF"/>
            <w:sz w:val="20"/>
            <w:u w:val="single" w:color="0000FF"/>
          </w:rPr>
          <w:t xml:space="preserve"> Russell</w:t>
        </w:r>
        <w:r>
          <w:rPr>
            <w:color w:val="0000FF"/>
            <w:spacing w:val="-4"/>
            <w:sz w:val="20"/>
            <w:u w:val="single" w:color="0000FF"/>
          </w:rPr>
          <w:t xml:space="preserve"> </w:t>
        </w:r>
        <w:r>
          <w:rPr>
            <w:color w:val="0000FF"/>
            <w:sz w:val="20"/>
            <w:u w:val="single" w:color="0000FF"/>
          </w:rPr>
          <w:t>Torres</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w:t>
        </w:r>
        <w:r>
          <w:rPr>
            <w:color w:val="0000FF"/>
            <w:sz w:val="20"/>
            <w:u w:val="single" w:color="0000FF"/>
          </w:rPr>
          <w:t>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10.9</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r>
          <w:rPr>
            <w:color w:val="0000FF"/>
            <w:spacing w:val="-4"/>
            <w:sz w:val="20"/>
            <w:u w:val="single" w:color="0000FF"/>
          </w:rPr>
          <w:t xml:space="preserve"> </w:t>
        </w:r>
        <w:r>
          <w:rPr>
            <w:color w:val="0000FF"/>
            <w:sz w:val="20"/>
            <w:u w:val="single" w:color="0000FF"/>
          </w:rPr>
          <w:t>Quarterly</w:t>
        </w:r>
        <w:r>
          <w:rPr>
            <w:color w:val="0000FF"/>
            <w:spacing w:val="-3"/>
            <w:sz w:val="20"/>
            <w:u w:val="single" w:color="0000FF"/>
          </w:rPr>
          <w:t xml:space="preserve"> </w:t>
        </w:r>
        <w:r>
          <w:rPr>
            <w:color w:val="0000FF"/>
            <w:sz w:val="20"/>
            <w:u w:val="single" w:color="0000FF"/>
          </w:rPr>
          <w:t>Report</w:t>
        </w:r>
        <w:r>
          <w:rPr>
            <w:color w:val="0000FF"/>
            <w:spacing w:val="-4"/>
            <w:sz w:val="20"/>
            <w:u w:val="single" w:color="0000FF"/>
          </w:rPr>
          <w:t xml:space="preserve"> </w:t>
        </w:r>
        <w:r>
          <w:rPr>
            <w:color w:val="0000FF"/>
            <w:sz w:val="20"/>
            <w:u w:val="single" w:color="0000FF"/>
          </w:rPr>
          <w:t>on</w:t>
        </w:r>
        <w:r>
          <w:rPr>
            <w:color w:val="0000FF"/>
            <w:spacing w:val="-3"/>
            <w:sz w:val="20"/>
            <w:u w:val="single" w:color="0000FF"/>
          </w:rPr>
          <w:t xml:space="preserve"> </w:t>
        </w:r>
        <w:r>
          <w:rPr>
            <w:color w:val="0000FF"/>
            <w:sz w:val="20"/>
            <w:u w:val="single" w:color="0000FF"/>
          </w:rPr>
          <w:t>Form</w:t>
        </w:r>
        <w:r>
          <w:rPr>
            <w:color w:val="0000FF"/>
            <w:spacing w:val="-4"/>
            <w:sz w:val="20"/>
            <w:u w:val="single" w:color="0000FF"/>
          </w:rPr>
          <w:t xml:space="preserve"> </w:t>
        </w:r>
        <w:r>
          <w:rPr>
            <w:color w:val="0000FF"/>
            <w:sz w:val="20"/>
            <w:u w:val="single" w:color="0000FF"/>
          </w:rPr>
          <w:t>10-</w:t>
        </w:r>
      </w:hyperlink>
      <w:hyperlink r:id="rId245">
        <w:r>
          <w:rPr>
            <w:color w:val="0000FF"/>
            <w:sz w:val="20"/>
            <w:u w:val="single" w:color="0000FF"/>
          </w:rPr>
          <w:t xml:space="preserve"> Q for the quarterly period ended March 31, 2019, File No.</w:t>
        </w:r>
        <w:r>
          <w:rPr>
            <w:color w:val="0000FF"/>
            <w:spacing w:val="-6"/>
            <w:sz w:val="20"/>
            <w:u w:val="single" w:color="0000FF"/>
          </w:rPr>
          <w:t xml:space="preserve"> </w:t>
        </w:r>
        <w:r>
          <w:rPr>
            <w:color w:val="0000FF"/>
            <w:sz w:val="20"/>
            <w:u w:val="single" w:color="0000FF"/>
          </w:rPr>
          <w:t>001-09608).</w:t>
        </w:r>
      </w:hyperlink>
    </w:p>
    <w:p w14:paraId="7326D3B8" w14:textId="77777777" w:rsidR="00EF3DFB" w:rsidRDefault="00EF3DFB">
      <w:pPr>
        <w:pStyle w:val="BodyText"/>
        <w:spacing w:before="8"/>
        <w:rPr>
          <w:sz w:val="15"/>
        </w:rPr>
      </w:pPr>
    </w:p>
    <w:p w14:paraId="7326D3B9" w14:textId="77777777" w:rsidR="00EF3DFB" w:rsidRDefault="00D27C17">
      <w:pPr>
        <w:pStyle w:val="ListParagraph"/>
        <w:numPr>
          <w:ilvl w:val="1"/>
          <w:numId w:val="12"/>
        </w:numPr>
        <w:tabs>
          <w:tab w:val="left" w:pos="694"/>
          <w:tab w:val="left" w:pos="2207"/>
        </w:tabs>
        <w:spacing w:before="109" w:line="218" w:lineRule="auto"/>
        <w:ind w:right="1162" w:hanging="1965"/>
        <w:rPr>
          <w:sz w:val="20"/>
        </w:rPr>
      </w:pPr>
      <w:r>
        <w:rPr>
          <w:sz w:val="20"/>
        </w:rPr>
        <w:t>*</w:t>
      </w:r>
      <w:r>
        <w:rPr>
          <w:sz w:val="20"/>
        </w:rPr>
        <w:tab/>
      </w:r>
      <w:hyperlink r:id="rId246">
        <w:r>
          <w:rPr>
            <w:color w:val="0000FF"/>
            <w:sz w:val="20"/>
            <w:u w:val="single" w:color="0000FF"/>
          </w:rPr>
          <w:t>Interim CEO Offer Letter dated June 25, 2019 (incorporated by reference to Exhibit 10.1 to</w:t>
        </w:r>
        <w:r>
          <w:rPr>
            <w:color w:val="0000FF"/>
            <w:spacing w:val="-35"/>
            <w:sz w:val="20"/>
            <w:u w:val="single" w:color="0000FF"/>
          </w:rPr>
          <w:t xml:space="preserve"> </w:t>
        </w:r>
        <w:r>
          <w:rPr>
            <w:color w:val="0000FF"/>
            <w:sz w:val="20"/>
            <w:u w:val="single" w:color="0000FF"/>
          </w:rPr>
          <w:t>the</w:t>
        </w:r>
      </w:hyperlink>
      <w:hyperlink r:id="rId247">
        <w:r>
          <w:rPr>
            <w:color w:val="0000FF"/>
            <w:sz w:val="20"/>
            <w:u w:val="single" w:color="0000FF"/>
          </w:rPr>
          <w:t xml:space="preserve"> Company’s Current Report on Form 8</w:t>
        </w:r>
        <w:r>
          <w:rPr>
            <w:rFonts w:ascii="Lucida Sans Unicode" w:hAnsi="Lucida Sans Unicode"/>
            <w:color w:val="0000FF"/>
            <w:sz w:val="20"/>
            <w:u w:val="single" w:color="0000FF"/>
          </w:rPr>
          <w:t xml:space="preserve">□ </w:t>
        </w:r>
        <w:r>
          <w:rPr>
            <w:color w:val="0000FF"/>
            <w:sz w:val="20"/>
            <w:u w:val="single" w:color="0000FF"/>
          </w:rPr>
          <w:t>K d</w:t>
        </w:r>
        <w:r>
          <w:rPr>
            <w:color w:val="0000FF"/>
            <w:sz w:val="20"/>
            <w:u w:val="single" w:color="0000FF"/>
          </w:rPr>
          <w:t>ated June 25, 2019, File No.</w:t>
        </w:r>
        <w:r>
          <w:rPr>
            <w:color w:val="0000FF"/>
            <w:spacing w:val="-30"/>
            <w:sz w:val="20"/>
            <w:u w:val="single" w:color="0000FF"/>
          </w:rPr>
          <w:t xml:space="preserve"> </w:t>
        </w:r>
        <w:r>
          <w:rPr>
            <w:color w:val="0000FF"/>
            <w:sz w:val="20"/>
            <w:u w:val="single" w:color="0000FF"/>
          </w:rPr>
          <w:t>001-09608).</w:t>
        </w:r>
      </w:hyperlink>
    </w:p>
    <w:p w14:paraId="7326D3BA" w14:textId="77777777" w:rsidR="00EF3DFB" w:rsidRDefault="00D27C17">
      <w:pPr>
        <w:pStyle w:val="ListParagraph"/>
        <w:numPr>
          <w:ilvl w:val="1"/>
          <w:numId w:val="12"/>
        </w:numPr>
        <w:tabs>
          <w:tab w:val="left" w:pos="694"/>
          <w:tab w:val="left" w:pos="2207"/>
        </w:tabs>
        <w:spacing w:before="169" w:line="249" w:lineRule="auto"/>
        <w:ind w:right="364" w:hanging="1965"/>
        <w:rPr>
          <w:sz w:val="20"/>
        </w:rPr>
      </w:pPr>
      <w:r>
        <w:rPr>
          <w:sz w:val="20"/>
        </w:rPr>
        <w:t>*</w:t>
      </w:r>
      <w:r>
        <w:rPr>
          <w:sz w:val="20"/>
        </w:rPr>
        <w:tab/>
      </w:r>
      <w:hyperlink r:id="rId248">
        <w:r>
          <w:rPr>
            <w:color w:val="0000FF"/>
            <w:sz w:val="20"/>
            <w:u w:val="single" w:color="0000FF"/>
          </w:rPr>
          <w:t>2019</w:t>
        </w:r>
        <w:r>
          <w:rPr>
            <w:color w:val="0000FF"/>
            <w:spacing w:val="-3"/>
            <w:sz w:val="20"/>
            <w:u w:val="single" w:color="0000FF"/>
          </w:rPr>
          <w:t xml:space="preserve"> </w:t>
        </w:r>
        <w:r>
          <w:rPr>
            <w:color w:val="0000FF"/>
            <w:sz w:val="20"/>
            <w:u w:val="single" w:color="0000FF"/>
          </w:rPr>
          <w:t>Interim</w:t>
        </w:r>
        <w:r>
          <w:rPr>
            <w:color w:val="0000FF"/>
            <w:spacing w:val="-4"/>
            <w:sz w:val="20"/>
            <w:u w:val="single" w:color="0000FF"/>
          </w:rPr>
          <w:t xml:space="preserve"> </w:t>
        </w:r>
        <w:r>
          <w:rPr>
            <w:color w:val="0000FF"/>
            <w:sz w:val="20"/>
            <w:u w:val="single" w:color="0000FF"/>
          </w:rPr>
          <w:t>CEO</w:t>
        </w:r>
        <w:r>
          <w:rPr>
            <w:color w:val="0000FF"/>
            <w:spacing w:val="-4"/>
            <w:sz w:val="20"/>
            <w:u w:val="single" w:color="0000FF"/>
          </w:rPr>
          <w:t xml:space="preserve"> </w:t>
        </w:r>
        <w:r>
          <w:rPr>
            <w:color w:val="0000FF"/>
            <w:sz w:val="20"/>
            <w:u w:val="single" w:color="0000FF"/>
          </w:rPr>
          <w:t>Restricted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Unit</w:t>
        </w:r>
        <w:r>
          <w:rPr>
            <w:color w:val="0000FF"/>
            <w:spacing w:val="-4"/>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Agreement</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10.2</w:t>
        </w:r>
        <w:r>
          <w:rPr>
            <w:color w:val="0000FF"/>
            <w:spacing w:val="-3"/>
            <w:sz w:val="20"/>
            <w:u w:val="single" w:color="0000FF"/>
          </w:rPr>
          <w:t xml:space="preserve"> </w:t>
        </w:r>
        <w:r>
          <w:rPr>
            <w:color w:val="0000FF"/>
            <w:sz w:val="20"/>
            <w:u w:val="single" w:color="0000FF"/>
          </w:rPr>
          <w:t>to</w:t>
        </w:r>
      </w:hyperlink>
      <w:hyperlink r:id="rId249">
        <w:r>
          <w:rPr>
            <w:color w:val="0000FF"/>
            <w:sz w:val="20"/>
            <w:u w:val="single" w:color="0000FF"/>
          </w:rPr>
          <w:t xml:space="preserve"> the Company’s Current Report on Form 8-K dated June 25, 2019, File No.</w:t>
        </w:r>
        <w:r>
          <w:rPr>
            <w:color w:val="0000FF"/>
            <w:spacing w:val="-14"/>
            <w:sz w:val="20"/>
            <w:u w:val="single" w:color="0000FF"/>
          </w:rPr>
          <w:t xml:space="preserve"> </w:t>
        </w:r>
        <w:r>
          <w:rPr>
            <w:color w:val="0000FF"/>
            <w:sz w:val="20"/>
            <w:u w:val="single" w:color="0000FF"/>
          </w:rPr>
          <w:t>001-09608).</w:t>
        </w:r>
      </w:hyperlink>
    </w:p>
    <w:p w14:paraId="7326D3BB" w14:textId="77777777" w:rsidR="00EF3DFB" w:rsidRDefault="00EF3DFB">
      <w:pPr>
        <w:pStyle w:val="BodyText"/>
        <w:spacing w:before="3"/>
        <w:rPr>
          <w:sz w:val="17"/>
        </w:rPr>
      </w:pPr>
    </w:p>
    <w:p w14:paraId="7326D3BC" w14:textId="77777777" w:rsidR="00EF3DFB" w:rsidRDefault="00D27C17">
      <w:pPr>
        <w:pStyle w:val="ListParagraph"/>
        <w:numPr>
          <w:ilvl w:val="1"/>
          <w:numId w:val="12"/>
        </w:numPr>
        <w:tabs>
          <w:tab w:val="left" w:pos="694"/>
          <w:tab w:val="left" w:pos="2207"/>
        </w:tabs>
        <w:spacing w:line="218" w:lineRule="auto"/>
        <w:ind w:right="861" w:hanging="1965"/>
        <w:rPr>
          <w:sz w:val="20"/>
        </w:rPr>
      </w:pPr>
      <w:r>
        <w:rPr>
          <w:sz w:val="20"/>
        </w:rPr>
        <w:t>*</w:t>
      </w:r>
      <w:r>
        <w:rPr>
          <w:sz w:val="20"/>
        </w:rPr>
        <w:tab/>
      </w:r>
      <w:hyperlink r:id="rId250">
        <w:r>
          <w:rPr>
            <w:color w:val="0000FF"/>
            <w:sz w:val="20"/>
            <w:u w:val="single" w:color="0000FF"/>
          </w:rPr>
          <w:t>CEO Offer Letter dated July 29, 2019 (incorporated by reference to Exhibit 10.1 to the</w:t>
        </w:r>
        <w:r>
          <w:rPr>
            <w:color w:val="0000FF"/>
            <w:spacing w:val="-35"/>
            <w:sz w:val="20"/>
            <w:u w:val="single" w:color="0000FF"/>
          </w:rPr>
          <w:t xml:space="preserve"> </w:t>
        </w:r>
        <w:r>
          <w:rPr>
            <w:color w:val="0000FF"/>
            <w:sz w:val="20"/>
            <w:u w:val="single" w:color="0000FF"/>
          </w:rPr>
          <w:t>Company’s</w:t>
        </w:r>
      </w:hyperlink>
      <w:hyperlink r:id="rId251">
        <w:r>
          <w:rPr>
            <w:color w:val="0000FF"/>
            <w:sz w:val="20"/>
            <w:u w:val="single" w:color="0000FF"/>
          </w:rPr>
          <w:t xml:space="preserve"> Current Report on Form 8</w:t>
        </w:r>
        <w:r>
          <w:rPr>
            <w:rFonts w:ascii="Lucida Sans Unicode" w:hAnsi="Lucida Sans Unicode"/>
            <w:color w:val="0000FF"/>
            <w:sz w:val="20"/>
            <w:u w:val="single" w:color="0000FF"/>
          </w:rPr>
          <w:t xml:space="preserve">□ </w:t>
        </w:r>
        <w:r>
          <w:rPr>
            <w:color w:val="0000FF"/>
            <w:sz w:val="20"/>
            <w:u w:val="single" w:color="0000FF"/>
          </w:rPr>
          <w:t>K dated July 30, 2019, File No.</w:t>
        </w:r>
        <w:r>
          <w:rPr>
            <w:color w:val="0000FF"/>
            <w:spacing w:val="-21"/>
            <w:sz w:val="20"/>
            <w:u w:val="single" w:color="0000FF"/>
          </w:rPr>
          <w:t xml:space="preserve"> </w:t>
        </w:r>
        <w:r>
          <w:rPr>
            <w:color w:val="0000FF"/>
            <w:sz w:val="20"/>
            <w:u w:val="single" w:color="0000FF"/>
          </w:rPr>
          <w:t>001-09608).</w:t>
        </w:r>
      </w:hyperlink>
    </w:p>
    <w:p w14:paraId="7326D3BD" w14:textId="77777777" w:rsidR="00EF3DFB" w:rsidRDefault="00EF3DFB">
      <w:pPr>
        <w:pStyle w:val="BodyText"/>
        <w:spacing w:before="7"/>
        <w:rPr>
          <w:sz w:val="10"/>
        </w:rPr>
      </w:pPr>
    </w:p>
    <w:p w14:paraId="7326D3BE" w14:textId="77777777" w:rsidR="00EF3DFB" w:rsidRDefault="00D27C17">
      <w:pPr>
        <w:pStyle w:val="ListParagraph"/>
        <w:numPr>
          <w:ilvl w:val="1"/>
          <w:numId w:val="12"/>
        </w:numPr>
        <w:tabs>
          <w:tab w:val="left" w:pos="694"/>
          <w:tab w:val="left" w:pos="2207"/>
        </w:tabs>
        <w:spacing w:before="92" w:line="249" w:lineRule="auto"/>
        <w:ind w:right="223" w:hanging="1965"/>
        <w:rPr>
          <w:sz w:val="20"/>
        </w:rPr>
      </w:pPr>
      <w:r>
        <w:rPr>
          <w:sz w:val="20"/>
        </w:rPr>
        <w:t>*</w:t>
      </w:r>
      <w:r>
        <w:rPr>
          <w:sz w:val="20"/>
        </w:rPr>
        <w:tab/>
      </w:r>
      <w:hyperlink r:id="rId252">
        <w:r>
          <w:rPr>
            <w:color w:val="0000FF"/>
            <w:sz w:val="20"/>
            <w:u w:val="single" w:color="0000FF"/>
          </w:rPr>
          <w:t>CEO</w:t>
        </w:r>
        <w:r>
          <w:rPr>
            <w:color w:val="0000FF"/>
            <w:spacing w:val="-4"/>
            <w:sz w:val="20"/>
            <w:u w:val="single" w:color="0000FF"/>
          </w:rPr>
          <w:t xml:space="preserve"> </w:t>
        </w:r>
        <w:r>
          <w:rPr>
            <w:color w:val="0000FF"/>
            <w:sz w:val="20"/>
            <w:u w:val="single" w:color="0000FF"/>
          </w:rPr>
          <w:t>Non-Qualified</w:t>
        </w:r>
        <w:r>
          <w:rPr>
            <w:color w:val="0000FF"/>
            <w:spacing w:val="-3"/>
            <w:sz w:val="20"/>
            <w:u w:val="single" w:color="0000FF"/>
          </w:rPr>
          <w:t xml:space="preserve"> </w:t>
        </w:r>
        <w:r>
          <w:rPr>
            <w:color w:val="0000FF"/>
            <w:sz w:val="20"/>
            <w:u w:val="single" w:color="0000FF"/>
          </w:rPr>
          <w:t>Stock</w:t>
        </w:r>
        <w:r>
          <w:rPr>
            <w:color w:val="0000FF"/>
            <w:spacing w:val="-3"/>
            <w:sz w:val="20"/>
            <w:u w:val="single" w:color="0000FF"/>
          </w:rPr>
          <w:t xml:space="preserve"> </w:t>
        </w:r>
        <w:r>
          <w:rPr>
            <w:color w:val="0000FF"/>
            <w:sz w:val="20"/>
            <w:u w:val="single" w:color="0000FF"/>
          </w:rPr>
          <w:t>Option</w:t>
        </w:r>
        <w:r>
          <w:rPr>
            <w:color w:val="0000FF"/>
            <w:spacing w:val="-3"/>
            <w:sz w:val="20"/>
            <w:u w:val="single" w:color="0000FF"/>
          </w:rPr>
          <w:t xml:space="preserve"> </w:t>
        </w:r>
        <w:r>
          <w:rPr>
            <w:color w:val="0000FF"/>
            <w:sz w:val="20"/>
            <w:u w:val="single" w:color="0000FF"/>
          </w:rPr>
          <w:t>Agreeme</w:t>
        </w:r>
        <w:r>
          <w:rPr>
            <w:color w:val="0000FF"/>
            <w:sz w:val="20"/>
            <w:u w:val="single" w:color="0000FF"/>
          </w:rPr>
          <w:t>nt</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10.2</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hyperlink>
      <w:hyperlink r:id="rId253">
        <w:r>
          <w:rPr>
            <w:color w:val="0000FF"/>
            <w:sz w:val="20"/>
            <w:u w:val="single" w:color="0000FF"/>
          </w:rPr>
          <w:t xml:space="preserve"> Current Report on Form 8-K dated July 30, 2019, File No.</w:t>
        </w:r>
        <w:r>
          <w:rPr>
            <w:color w:val="0000FF"/>
            <w:spacing w:val="-8"/>
            <w:sz w:val="20"/>
            <w:u w:val="single" w:color="0000FF"/>
          </w:rPr>
          <w:t xml:space="preserve"> </w:t>
        </w:r>
        <w:r>
          <w:rPr>
            <w:color w:val="0000FF"/>
            <w:sz w:val="20"/>
            <w:u w:val="single" w:color="0000FF"/>
          </w:rPr>
          <w:t>001-09608).</w:t>
        </w:r>
      </w:hyperlink>
    </w:p>
    <w:p w14:paraId="7326D3BF" w14:textId="77777777" w:rsidR="00EF3DFB" w:rsidRDefault="00EF3DFB">
      <w:pPr>
        <w:pStyle w:val="BodyText"/>
        <w:spacing w:before="5"/>
        <w:rPr>
          <w:sz w:val="10"/>
        </w:rPr>
      </w:pPr>
    </w:p>
    <w:p w14:paraId="7326D3C0" w14:textId="77777777" w:rsidR="00EF3DFB" w:rsidRDefault="00D27C17">
      <w:pPr>
        <w:pStyle w:val="ListParagraph"/>
        <w:numPr>
          <w:ilvl w:val="1"/>
          <w:numId w:val="12"/>
        </w:numPr>
        <w:tabs>
          <w:tab w:val="left" w:pos="694"/>
          <w:tab w:val="left" w:pos="2207"/>
        </w:tabs>
        <w:spacing w:before="92" w:line="249" w:lineRule="auto"/>
        <w:ind w:right="558" w:hanging="1965"/>
        <w:rPr>
          <w:sz w:val="20"/>
        </w:rPr>
      </w:pPr>
      <w:r>
        <w:rPr>
          <w:sz w:val="20"/>
        </w:rPr>
        <w:t>*</w:t>
      </w:r>
      <w:r>
        <w:rPr>
          <w:sz w:val="20"/>
        </w:rPr>
        <w:tab/>
      </w:r>
      <w:hyperlink r:id="rId254">
        <w:r>
          <w:rPr>
            <w:color w:val="0000FF"/>
            <w:sz w:val="20"/>
            <w:u w:val="single" w:color="0000FF"/>
          </w:rPr>
          <w:t>Newell</w:t>
        </w:r>
        <w:r>
          <w:rPr>
            <w:color w:val="0000FF"/>
            <w:spacing w:val="-4"/>
            <w:sz w:val="20"/>
            <w:u w:val="single" w:color="0000FF"/>
          </w:rPr>
          <w:t xml:space="preserve"> </w:t>
        </w:r>
        <w:r>
          <w:rPr>
            <w:color w:val="0000FF"/>
            <w:sz w:val="20"/>
            <w:u w:val="single" w:color="0000FF"/>
          </w:rPr>
          <w:t>Brands</w:t>
        </w:r>
        <w:r>
          <w:rPr>
            <w:color w:val="0000FF"/>
            <w:spacing w:val="-4"/>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Severance</w:t>
        </w:r>
        <w:r>
          <w:rPr>
            <w:color w:val="0000FF"/>
            <w:spacing w:val="-4"/>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July</w:t>
        </w:r>
        <w:r>
          <w:rPr>
            <w:color w:val="0000FF"/>
            <w:spacing w:val="-3"/>
            <w:sz w:val="20"/>
            <w:u w:val="single" w:color="0000FF"/>
          </w:rPr>
          <w:t xml:space="preserve"> </w:t>
        </w:r>
        <w:r>
          <w:rPr>
            <w:color w:val="0000FF"/>
            <w:sz w:val="20"/>
            <w:u w:val="single" w:color="0000FF"/>
          </w:rPr>
          <w:t>26,</w:t>
        </w:r>
        <w:r>
          <w:rPr>
            <w:color w:val="0000FF"/>
            <w:spacing w:val="-3"/>
            <w:sz w:val="20"/>
            <w:u w:val="single" w:color="0000FF"/>
          </w:rPr>
          <w:t xml:space="preserve"> </w:t>
        </w:r>
        <w:r>
          <w:rPr>
            <w:color w:val="0000FF"/>
            <w:sz w:val="20"/>
            <w:u w:val="single" w:color="0000FF"/>
          </w:rPr>
          <w:t>2019</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hyperlink>
      <w:hyperlink r:id="rId255">
        <w:r>
          <w:rPr>
            <w:color w:val="0000FF"/>
            <w:sz w:val="20"/>
            <w:u w:val="single" w:color="0000FF"/>
          </w:rPr>
          <w:t xml:space="preserve"> 10.3 to the Company’s Current Repo</w:t>
        </w:r>
        <w:r>
          <w:rPr>
            <w:color w:val="0000FF"/>
            <w:sz w:val="20"/>
            <w:u w:val="single" w:color="0000FF"/>
          </w:rPr>
          <w:t>rt on Form 8-K dated July 30, 2019, File No.</w:t>
        </w:r>
        <w:r>
          <w:rPr>
            <w:color w:val="0000FF"/>
            <w:spacing w:val="-17"/>
            <w:sz w:val="20"/>
            <w:u w:val="single" w:color="0000FF"/>
          </w:rPr>
          <w:t xml:space="preserve"> </w:t>
        </w:r>
        <w:r>
          <w:rPr>
            <w:color w:val="0000FF"/>
            <w:sz w:val="20"/>
            <w:u w:val="single" w:color="0000FF"/>
          </w:rPr>
          <w:t>001-09608).</w:t>
        </w:r>
      </w:hyperlink>
    </w:p>
    <w:p w14:paraId="7326D3C1" w14:textId="77777777" w:rsidR="00EF3DFB" w:rsidRDefault="00EF3DFB">
      <w:pPr>
        <w:spacing w:line="249" w:lineRule="auto"/>
        <w:rPr>
          <w:sz w:val="20"/>
        </w:rPr>
        <w:sectPr w:rsidR="00EF3DFB">
          <w:pgSz w:w="12240" w:h="15840"/>
          <w:pgMar w:top="660" w:right="640" w:bottom="480" w:left="620" w:header="0" w:footer="291" w:gutter="0"/>
          <w:cols w:space="720"/>
        </w:sectPr>
      </w:pPr>
    </w:p>
    <w:p w14:paraId="7326D3C2" w14:textId="77777777" w:rsidR="00EF3DFB" w:rsidRDefault="00D27C17">
      <w:pPr>
        <w:pStyle w:val="ListParagraph"/>
        <w:numPr>
          <w:ilvl w:val="1"/>
          <w:numId w:val="12"/>
        </w:numPr>
        <w:tabs>
          <w:tab w:val="left" w:pos="2207"/>
          <w:tab w:val="left" w:pos="2208"/>
        </w:tabs>
        <w:spacing w:before="64" w:line="249" w:lineRule="auto"/>
        <w:ind w:right="318" w:hanging="1965"/>
        <w:rPr>
          <w:sz w:val="20"/>
        </w:rPr>
      </w:pPr>
      <w:hyperlink r:id="rId256">
        <w:r>
          <w:rPr>
            <w:color w:val="0000FF"/>
            <w:sz w:val="20"/>
            <w:u w:val="single" w:color="0000FF"/>
          </w:rPr>
          <w:t>Second</w:t>
        </w:r>
        <w:r>
          <w:rPr>
            <w:color w:val="0000FF"/>
            <w:spacing w:val="-3"/>
            <w:sz w:val="20"/>
            <w:u w:val="single" w:color="0000FF"/>
          </w:rPr>
          <w:t xml:space="preserve"> </w:t>
        </w:r>
        <w:r>
          <w:rPr>
            <w:color w:val="0000FF"/>
            <w:sz w:val="20"/>
            <w:u w:val="single" w:color="0000FF"/>
          </w:rPr>
          <w:t>Amended</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Restated</w:t>
        </w:r>
        <w:r>
          <w:rPr>
            <w:color w:val="0000FF"/>
            <w:spacing w:val="-3"/>
            <w:sz w:val="20"/>
            <w:u w:val="single" w:color="0000FF"/>
          </w:rPr>
          <w:t xml:space="preserve"> </w:t>
        </w:r>
        <w:r>
          <w:rPr>
            <w:color w:val="0000FF"/>
            <w:sz w:val="20"/>
            <w:u w:val="single" w:color="0000FF"/>
          </w:rPr>
          <w:t>Credit</w:t>
        </w:r>
        <w:r>
          <w:rPr>
            <w:color w:val="0000FF"/>
            <w:spacing w:val="-4"/>
            <w:sz w:val="20"/>
            <w:u w:val="single" w:color="0000FF"/>
          </w:rPr>
          <w:t xml:space="preserve"> </w:t>
        </w:r>
        <w:r>
          <w:rPr>
            <w:color w:val="0000FF"/>
            <w:sz w:val="20"/>
            <w:u w:val="single" w:color="0000FF"/>
          </w:rPr>
          <w:t>Agreement,</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December</w:t>
        </w:r>
        <w:r>
          <w:rPr>
            <w:color w:val="0000FF"/>
            <w:spacing w:val="-3"/>
            <w:sz w:val="20"/>
            <w:u w:val="single" w:color="0000FF"/>
          </w:rPr>
          <w:t xml:space="preserve"> </w:t>
        </w:r>
        <w:r>
          <w:rPr>
            <w:color w:val="0000FF"/>
            <w:sz w:val="20"/>
            <w:u w:val="single" w:color="0000FF"/>
          </w:rPr>
          <w:t>12,</w:t>
        </w:r>
        <w:r>
          <w:rPr>
            <w:color w:val="0000FF"/>
            <w:spacing w:val="-3"/>
            <w:sz w:val="20"/>
            <w:u w:val="single" w:color="0000FF"/>
          </w:rPr>
          <w:t xml:space="preserve"> </w:t>
        </w:r>
        <w:r>
          <w:rPr>
            <w:color w:val="0000FF"/>
            <w:sz w:val="20"/>
            <w:u w:val="single" w:color="0000FF"/>
          </w:rPr>
          <w:t>2018,</w:t>
        </w:r>
        <w:r>
          <w:rPr>
            <w:color w:val="0000FF"/>
            <w:spacing w:val="-3"/>
            <w:sz w:val="20"/>
            <w:u w:val="single" w:color="0000FF"/>
          </w:rPr>
          <w:t xml:space="preserve"> </w:t>
        </w:r>
        <w:r>
          <w:rPr>
            <w:color w:val="0000FF"/>
            <w:sz w:val="20"/>
            <w:u w:val="single" w:color="0000FF"/>
          </w:rPr>
          <w:t>among</w:t>
        </w:r>
        <w:r>
          <w:rPr>
            <w:color w:val="0000FF"/>
            <w:spacing w:val="-3"/>
            <w:sz w:val="20"/>
            <w:u w:val="single" w:color="0000FF"/>
          </w:rPr>
          <w:t xml:space="preserve"> </w:t>
        </w:r>
        <w:r>
          <w:rPr>
            <w:color w:val="0000FF"/>
            <w:sz w:val="20"/>
            <w:u w:val="single" w:color="0000FF"/>
          </w:rPr>
          <w:t>Newell</w:t>
        </w:r>
        <w:r>
          <w:rPr>
            <w:color w:val="0000FF"/>
            <w:spacing w:val="-4"/>
            <w:sz w:val="20"/>
            <w:u w:val="single" w:color="0000FF"/>
          </w:rPr>
          <w:t xml:space="preserve"> </w:t>
        </w:r>
        <w:r>
          <w:rPr>
            <w:color w:val="0000FF"/>
            <w:sz w:val="20"/>
            <w:u w:val="single" w:color="0000FF"/>
          </w:rPr>
          <w:t>Brands</w:t>
        </w:r>
      </w:hyperlink>
      <w:hyperlink r:id="rId257">
        <w:r>
          <w:rPr>
            <w:color w:val="0000FF"/>
            <w:sz w:val="20"/>
            <w:u w:val="single" w:color="0000FF"/>
          </w:rPr>
          <w:t xml:space="preserve"> Inc., the Subsidiary Borrowers thereto, the Guarantors from time to time borrowers thereto, the lenders</w:t>
        </w:r>
      </w:hyperlink>
      <w:hyperlink r:id="rId258">
        <w:r>
          <w:rPr>
            <w:color w:val="0000FF"/>
            <w:sz w:val="20"/>
            <w:u w:val="single" w:color="0000FF"/>
          </w:rPr>
          <w:t xml:space="preserve"> party thereto and JPMorgan Chase Bank, N.A., as Administrative Agent. (incorporated by reference to</w:t>
        </w:r>
      </w:hyperlink>
      <w:hyperlink r:id="rId259">
        <w:r>
          <w:rPr>
            <w:color w:val="0000FF"/>
            <w:sz w:val="20"/>
            <w:u w:val="single" w:color="0000FF"/>
          </w:rPr>
          <w:t xml:space="preserve"> Exhibit 10.1 to the Company’s Current Report on Form 8-K dated December 18, 2018,</w:t>
        </w:r>
        <w:r>
          <w:rPr>
            <w:color w:val="0000FF"/>
            <w:spacing w:val="-17"/>
            <w:sz w:val="20"/>
            <w:u w:val="single" w:color="0000FF"/>
          </w:rPr>
          <w:t xml:space="preserve"> </w:t>
        </w:r>
        <w:r>
          <w:rPr>
            <w:color w:val="0000FF"/>
            <w:sz w:val="20"/>
            <w:u w:val="single" w:color="0000FF"/>
          </w:rPr>
          <w:t>File</w:t>
        </w:r>
      </w:hyperlink>
    </w:p>
    <w:p w14:paraId="7326D3C3" w14:textId="77777777" w:rsidR="00EF3DFB" w:rsidRDefault="00D27C17">
      <w:pPr>
        <w:pStyle w:val="BodyText"/>
        <w:spacing w:before="3"/>
        <w:ind w:left="2207"/>
      </w:pPr>
      <w:hyperlink r:id="rId260">
        <w:r>
          <w:rPr>
            <w:color w:val="0000FF"/>
            <w:u w:val="single" w:color="0000FF"/>
          </w:rPr>
          <w:t>No. 001-09608).</w:t>
        </w:r>
      </w:hyperlink>
    </w:p>
    <w:p w14:paraId="7326D3C4" w14:textId="77777777" w:rsidR="00EF3DFB" w:rsidRDefault="00D27C17">
      <w:pPr>
        <w:pStyle w:val="ListParagraph"/>
        <w:numPr>
          <w:ilvl w:val="1"/>
          <w:numId w:val="12"/>
        </w:numPr>
        <w:tabs>
          <w:tab w:val="left" w:pos="2207"/>
          <w:tab w:val="left" w:pos="2208"/>
        </w:tabs>
        <w:spacing w:before="190" w:line="249" w:lineRule="auto"/>
        <w:ind w:right="374" w:hanging="1965"/>
        <w:rPr>
          <w:sz w:val="20"/>
        </w:rPr>
      </w:pPr>
      <w:hyperlink r:id="rId261">
        <w:r>
          <w:rPr>
            <w:color w:val="0000FF"/>
            <w:sz w:val="20"/>
            <w:u w:val="single" w:color="0000FF"/>
          </w:rPr>
          <w:t>Amended and Restated Loan and Servicing Agreement, dated as of October 2, 2019, among Jarden</w:t>
        </w:r>
      </w:hyperlink>
      <w:hyperlink r:id="rId262">
        <w:r>
          <w:rPr>
            <w:color w:val="0000FF"/>
            <w:sz w:val="20"/>
            <w:u w:val="single" w:color="0000FF"/>
          </w:rPr>
          <w:t xml:space="preserve"> Receivables,</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Borrower,</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r>
          <w:rPr>
            <w:color w:val="0000FF"/>
            <w:spacing w:val="-5"/>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Servicer,</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Conduit</w:t>
        </w:r>
        <w:r>
          <w:rPr>
            <w:color w:val="0000FF"/>
            <w:spacing w:val="-5"/>
            <w:sz w:val="20"/>
            <w:u w:val="single" w:color="0000FF"/>
          </w:rPr>
          <w:t xml:space="preserve"> </w:t>
        </w:r>
        <w:r>
          <w:rPr>
            <w:color w:val="0000FF"/>
            <w:sz w:val="20"/>
            <w:u w:val="single" w:color="0000FF"/>
          </w:rPr>
          <w:t>Lenders,</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Committed</w:t>
        </w:r>
        <w:r>
          <w:rPr>
            <w:color w:val="0000FF"/>
            <w:spacing w:val="-4"/>
            <w:sz w:val="20"/>
            <w:u w:val="single" w:color="0000FF"/>
          </w:rPr>
          <w:t xml:space="preserve"> </w:t>
        </w:r>
        <w:r>
          <w:rPr>
            <w:color w:val="0000FF"/>
            <w:sz w:val="20"/>
            <w:u w:val="single" w:color="0000FF"/>
          </w:rPr>
          <w:t>Lenders</w:t>
        </w:r>
      </w:hyperlink>
      <w:hyperlink r:id="rId263">
        <w:r>
          <w:rPr>
            <w:color w:val="0000FF"/>
            <w:sz w:val="20"/>
            <w:u w:val="single" w:color="0000FF"/>
          </w:rPr>
          <w:t xml:space="preserve"> and the Managing Agents named therein, PNC Bank, National Association and Royal Bank of Canada,</w:t>
        </w:r>
      </w:hyperlink>
      <w:hyperlink r:id="rId264">
        <w:r>
          <w:rPr>
            <w:color w:val="0000FF"/>
            <w:sz w:val="20"/>
            <w:u w:val="single" w:color="0000FF"/>
          </w:rPr>
          <w:t xml:space="preserve"> each as an Issuing lender, PNC Bank, National Association, as Administrative Agent, and PNC Capital</w:t>
        </w:r>
      </w:hyperlink>
      <w:hyperlink r:id="rId265">
        <w:r>
          <w:rPr>
            <w:color w:val="0000FF"/>
            <w:sz w:val="20"/>
            <w:u w:val="single" w:color="0000FF"/>
          </w:rPr>
          <w:t xml:space="preserve"> Markets</w:t>
        </w:r>
        <w:r>
          <w:rPr>
            <w:color w:val="0000FF"/>
            <w:spacing w:val="-4"/>
            <w:sz w:val="20"/>
            <w:u w:val="single" w:color="0000FF"/>
          </w:rPr>
          <w:t xml:space="preserve"> </w:t>
        </w:r>
        <w:r>
          <w:rPr>
            <w:color w:val="0000FF"/>
            <w:sz w:val="20"/>
            <w:u w:val="single" w:color="0000FF"/>
          </w:rPr>
          <w:t>LLC</w:t>
        </w:r>
        <w:r>
          <w:rPr>
            <w:color w:val="0000FF"/>
            <w:sz w:val="20"/>
            <w:u w:val="single" w:color="0000FF"/>
          </w:rPr>
          <w:t>,</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Structuring</w:t>
        </w:r>
        <w:r>
          <w:rPr>
            <w:color w:val="0000FF"/>
            <w:spacing w:val="-3"/>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10.1</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Company’s</w:t>
        </w:r>
        <w:r>
          <w:rPr>
            <w:color w:val="0000FF"/>
            <w:spacing w:val="-4"/>
            <w:sz w:val="20"/>
            <w:u w:val="single" w:color="0000FF"/>
          </w:rPr>
          <w:t xml:space="preserve"> </w:t>
        </w:r>
        <w:r>
          <w:rPr>
            <w:color w:val="0000FF"/>
            <w:sz w:val="20"/>
            <w:u w:val="single" w:color="0000FF"/>
          </w:rPr>
          <w:t>Current</w:t>
        </w:r>
      </w:hyperlink>
      <w:hyperlink r:id="rId266">
        <w:r>
          <w:rPr>
            <w:color w:val="0000FF"/>
            <w:sz w:val="20"/>
            <w:u w:val="single" w:color="0000FF"/>
          </w:rPr>
          <w:t xml:space="preserve"> Report on Form 8-K dated October 4, 2019, File No.</w:t>
        </w:r>
        <w:r>
          <w:rPr>
            <w:color w:val="0000FF"/>
            <w:spacing w:val="-6"/>
            <w:sz w:val="20"/>
            <w:u w:val="single" w:color="0000FF"/>
          </w:rPr>
          <w:t xml:space="preserve"> </w:t>
        </w:r>
        <w:r>
          <w:rPr>
            <w:color w:val="0000FF"/>
            <w:sz w:val="20"/>
            <w:u w:val="single" w:color="0000FF"/>
          </w:rPr>
          <w:t>001-09608).</w:t>
        </w:r>
      </w:hyperlink>
    </w:p>
    <w:p w14:paraId="7326D3C5" w14:textId="77777777" w:rsidR="00EF3DFB" w:rsidRDefault="00D27C17">
      <w:pPr>
        <w:pStyle w:val="ListParagraph"/>
        <w:numPr>
          <w:ilvl w:val="1"/>
          <w:numId w:val="12"/>
        </w:numPr>
        <w:tabs>
          <w:tab w:val="left" w:pos="2207"/>
          <w:tab w:val="left" w:pos="2208"/>
        </w:tabs>
        <w:spacing w:before="170" w:line="249" w:lineRule="auto"/>
        <w:ind w:right="323" w:hanging="1965"/>
        <w:rPr>
          <w:sz w:val="20"/>
        </w:rPr>
      </w:pPr>
      <w:hyperlink r:id="rId267">
        <w:r>
          <w:rPr>
            <w:color w:val="0000FF"/>
            <w:sz w:val="20"/>
            <w:u w:val="single" w:color="0000FF"/>
          </w:rPr>
          <w:t>Third</w:t>
        </w:r>
        <w:r>
          <w:rPr>
            <w:color w:val="0000FF"/>
            <w:spacing w:val="-3"/>
            <w:sz w:val="20"/>
            <w:u w:val="single" w:color="0000FF"/>
          </w:rPr>
          <w:t xml:space="preserve"> </w:t>
        </w:r>
        <w:r>
          <w:rPr>
            <w:color w:val="0000FF"/>
            <w:sz w:val="20"/>
            <w:u w:val="single" w:color="0000FF"/>
          </w:rPr>
          <w:t>Amendment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Receivables</w:t>
        </w:r>
        <w:r>
          <w:rPr>
            <w:color w:val="0000FF"/>
            <w:spacing w:val="-4"/>
            <w:sz w:val="20"/>
            <w:u w:val="single" w:color="0000FF"/>
          </w:rPr>
          <w:t xml:space="preserve"> </w:t>
        </w:r>
        <w:r>
          <w:rPr>
            <w:color w:val="0000FF"/>
            <w:sz w:val="20"/>
            <w:u w:val="single" w:color="0000FF"/>
          </w:rPr>
          <w:t>Contribution</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Sale</w:t>
        </w:r>
        <w:r>
          <w:rPr>
            <w:color w:val="0000FF"/>
            <w:spacing w:val="-4"/>
            <w:sz w:val="20"/>
            <w:u w:val="single" w:color="0000FF"/>
          </w:rPr>
          <w:t xml:space="preserve"> </w:t>
        </w:r>
        <w:r>
          <w:rPr>
            <w:color w:val="0000FF"/>
            <w:sz w:val="20"/>
            <w:u w:val="single" w:color="0000FF"/>
          </w:rPr>
          <w:t>Agreement,</w:t>
        </w:r>
        <w:r>
          <w:rPr>
            <w:color w:val="0000FF"/>
            <w:spacing w:val="-3"/>
            <w:sz w:val="20"/>
            <w:u w:val="single" w:color="0000FF"/>
          </w:rPr>
          <w:t xml:space="preserve"> </w:t>
        </w:r>
        <w:r>
          <w:rPr>
            <w:color w:val="0000FF"/>
            <w:sz w:val="20"/>
            <w:u w:val="single" w:color="0000FF"/>
          </w:rPr>
          <w:t>dated</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October</w:t>
        </w:r>
        <w:r>
          <w:rPr>
            <w:color w:val="0000FF"/>
            <w:spacing w:val="-3"/>
            <w:sz w:val="20"/>
            <w:u w:val="single" w:color="0000FF"/>
          </w:rPr>
          <w:t xml:space="preserve"> </w:t>
        </w:r>
        <w:r>
          <w:rPr>
            <w:color w:val="0000FF"/>
            <w:sz w:val="20"/>
            <w:u w:val="single" w:color="0000FF"/>
          </w:rPr>
          <w:t>31,</w:t>
        </w:r>
        <w:r>
          <w:rPr>
            <w:color w:val="0000FF"/>
            <w:spacing w:val="-3"/>
            <w:sz w:val="20"/>
            <w:u w:val="single" w:color="0000FF"/>
          </w:rPr>
          <w:t xml:space="preserve"> </w:t>
        </w:r>
        <w:r>
          <w:rPr>
            <w:color w:val="0000FF"/>
            <w:sz w:val="20"/>
            <w:u w:val="single" w:color="0000FF"/>
          </w:rPr>
          <w:t>2017</w:t>
        </w:r>
        <w:r>
          <w:rPr>
            <w:color w:val="0000FF"/>
            <w:spacing w:val="-3"/>
            <w:sz w:val="20"/>
            <w:u w:val="single" w:color="0000FF"/>
          </w:rPr>
          <w:t xml:space="preserve"> </w:t>
        </w:r>
        <w:r>
          <w:rPr>
            <w:color w:val="0000FF"/>
            <w:sz w:val="20"/>
            <w:u w:val="single" w:color="0000FF"/>
          </w:rPr>
          <w:t>among</w:t>
        </w:r>
      </w:hyperlink>
      <w:hyperlink r:id="rId268">
        <w:r>
          <w:rPr>
            <w:color w:val="0000FF"/>
            <w:sz w:val="20"/>
            <w:u w:val="single" w:color="0000FF"/>
          </w:rPr>
          <w:t xml:space="preserve"> Jarden Receivables, LLC, the Originators party thereto, Newell Brands Inc., as Servicer, PNC Bank,</w:t>
        </w:r>
      </w:hyperlink>
      <w:hyperlink r:id="rId269">
        <w:r>
          <w:rPr>
            <w:color w:val="0000FF"/>
            <w:sz w:val="20"/>
            <w:u w:val="single" w:color="0000FF"/>
          </w:rPr>
          <w:t xml:space="preserve"> National Association, as Administrative Agent and as a Managing Agent, Wells Fargo Bank, National</w:t>
        </w:r>
      </w:hyperlink>
      <w:hyperlink r:id="rId270">
        <w:r>
          <w:rPr>
            <w:color w:val="0000FF"/>
            <w:sz w:val="20"/>
            <w:u w:val="single" w:color="0000FF"/>
          </w:rPr>
          <w:t xml:space="preserve"> Associatio</w:t>
        </w:r>
        <w:r>
          <w:rPr>
            <w:color w:val="0000FF"/>
            <w:sz w:val="20"/>
            <w:u w:val="single" w:color="0000FF"/>
          </w:rPr>
          <w:t>n, as Issuing Lender and each Managing Agent party thereto (incorporated by reference to</w:t>
        </w:r>
      </w:hyperlink>
      <w:hyperlink r:id="rId271">
        <w:r>
          <w:rPr>
            <w:color w:val="0000FF"/>
            <w:sz w:val="20"/>
            <w:u w:val="single" w:color="0000FF"/>
          </w:rPr>
          <w:t xml:space="preserve"> Exhibit 10.4 to the Company’s Quarterly Report on Form 10-Q for t</w:t>
        </w:r>
        <w:r>
          <w:rPr>
            <w:color w:val="0000FF"/>
            <w:sz w:val="20"/>
            <w:u w:val="single" w:color="0000FF"/>
          </w:rPr>
          <w:t>he quarterly period ended</w:t>
        </w:r>
      </w:hyperlink>
      <w:hyperlink r:id="rId272">
        <w:r>
          <w:rPr>
            <w:color w:val="0000FF"/>
            <w:sz w:val="20"/>
            <w:u w:val="single" w:color="0000FF"/>
          </w:rPr>
          <w:t xml:space="preserve">  September 30, 2017, File No.</w:t>
        </w:r>
        <w:r>
          <w:rPr>
            <w:color w:val="0000FF"/>
            <w:spacing w:val="-2"/>
            <w:sz w:val="20"/>
            <w:u w:val="single" w:color="0000FF"/>
          </w:rPr>
          <w:t xml:space="preserve"> </w:t>
        </w:r>
        <w:r>
          <w:rPr>
            <w:color w:val="0000FF"/>
            <w:sz w:val="20"/>
            <w:u w:val="single" w:color="0000FF"/>
          </w:rPr>
          <w:t>001-09608).</w:t>
        </w:r>
      </w:hyperlink>
    </w:p>
    <w:p w14:paraId="7326D3C6" w14:textId="77777777" w:rsidR="00EF3DFB" w:rsidRDefault="00EF3DFB">
      <w:pPr>
        <w:pStyle w:val="BodyText"/>
        <w:spacing w:before="1"/>
        <w:rPr>
          <w:sz w:val="12"/>
        </w:rPr>
      </w:pPr>
    </w:p>
    <w:p w14:paraId="7326D3C7" w14:textId="77777777" w:rsidR="00EF3DFB" w:rsidRDefault="00D27C17">
      <w:pPr>
        <w:pStyle w:val="ListParagraph"/>
        <w:numPr>
          <w:ilvl w:val="1"/>
          <w:numId w:val="12"/>
        </w:numPr>
        <w:tabs>
          <w:tab w:val="left" w:pos="2207"/>
          <w:tab w:val="left" w:pos="2208"/>
        </w:tabs>
        <w:spacing w:before="91" w:line="249" w:lineRule="auto"/>
        <w:ind w:right="235" w:hanging="1965"/>
        <w:rPr>
          <w:sz w:val="20"/>
        </w:rPr>
      </w:pPr>
      <w:hyperlink r:id="rId273">
        <w:r>
          <w:rPr>
            <w:color w:val="0000FF"/>
            <w:sz w:val="20"/>
            <w:u w:val="single" w:color="0000FF"/>
          </w:rPr>
          <w:t>Omnibus</w:t>
        </w:r>
        <w:r>
          <w:rPr>
            <w:color w:val="0000FF"/>
            <w:spacing w:val="-5"/>
            <w:sz w:val="20"/>
            <w:u w:val="single" w:color="0000FF"/>
          </w:rPr>
          <w:t xml:space="preserve"> </w:t>
        </w:r>
        <w:r>
          <w:rPr>
            <w:color w:val="0000FF"/>
            <w:sz w:val="20"/>
            <w:u w:val="single" w:color="0000FF"/>
          </w:rPr>
          <w:t>Amendment,</w:t>
        </w:r>
        <w:r>
          <w:rPr>
            <w:color w:val="0000FF"/>
            <w:spacing w:val="-4"/>
            <w:sz w:val="20"/>
            <w:u w:val="single" w:color="0000FF"/>
          </w:rPr>
          <w:t xml:space="preserve"> </w:t>
        </w:r>
        <w:r>
          <w:rPr>
            <w:color w:val="0000FF"/>
            <w:sz w:val="20"/>
            <w:u w:val="single" w:color="0000FF"/>
          </w:rPr>
          <w:t>dated</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December</w:t>
        </w:r>
        <w:r>
          <w:rPr>
            <w:color w:val="0000FF"/>
            <w:spacing w:val="-4"/>
            <w:sz w:val="20"/>
            <w:u w:val="single" w:color="0000FF"/>
          </w:rPr>
          <w:t xml:space="preserve"> </w:t>
        </w:r>
        <w:r>
          <w:rPr>
            <w:color w:val="0000FF"/>
            <w:sz w:val="20"/>
            <w:u w:val="single" w:color="0000FF"/>
          </w:rPr>
          <w:t>16,</w:t>
        </w:r>
        <w:r>
          <w:rPr>
            <w:color w:val="0000FF"/>
            <w:spacing w:val="-4"/>
            <w:sz w:val="20"/>
            <w:u w:val="single" w:color="0000FF"/>
          </w:rPr>
          <w:t xml:space="preserve"> </w:t>
        </w:r>
        <w:r>
          <w:rPr>
            <w:color w:val="0000FF"/>
            <w:sz w:val="20"/>
            <w:u w:val="single" w:color="0000FF"/>
          </w:rPr>
          <w:t>2016</w:t>
        </w:r>
        <w:r>
          <w:rPr>
            <w:color w:val="0000FF"/>
            <w:spacing w:val="-4"/>
            <w:sz w:val="20"/>
            <w:u w:val="single" w:color="0000FF"/>
          </w:rPr>
          <w:t xml:space="preserve"> </w:t>
        </w:r>
        <w:r>
          <w:rPr>
            <w:color w:val="0000FF"/>
            <w:sz w:val="20"/>
            <w:u w:val="single" w:color="0000FF"/>
          </w:rPr>
          <w:t>among</w:t>
        </w:r>
        <w:r>
          <w:rPr>
            <w:color w:val="0000FF"/>
            <w:spacing w:val="-4"/>
            <w:sz w:val="20"/>
            <w:u w:val="single" w:color="0000FF"/>
          </w:rPr>
          <w:t xml:space="preserve"> </w:t>
        </w:r>
        <w:r>
          <w:rPr>
            <w:color w:val="0000FF"/>
            <w:sz w:val="20"/>
            <w:u w:val="single" w:color="0000FF"/>
          </w:rPr>
          <w:t>Jarden</w:t>
        </w:r>
        <w:r>
          <w:rPr>
            <w:color w:val="0000FF"/>
            <w:spacing w:val="-4"/>
            <w:sz w:val="20"/>
            <w:u w:val="single" w:color="0000FF"/>
          </w:rPr>
          <w:t xml:space="preserve"> </w:t>
        </w:r>
        <w:r>
          <w:rPr>
            <w:color w:val="0000FF"/>
            <w:sz w:val="20"/>
            <w:u w:val="single" w:color="0000FF"/>
          </w:rPr>
          <w:t>Receivables,</w:t>
        </w:r>
        <w:r>
          <w:rPr>
            <w:color w:val="0000FF"/>
            <w:spacing w:val="-4"/>
            <w:sz w:val="20"/>
            <w:u w:val="single" w:color="0000FF"/>
          </w:rPr>
          <w:t xml:space="preserve"> </w:t>
        </w:r>
        <w:r>
          <w:rPr>
            <w:color w:val="0000FF"/>
            <w:sz w:val="20"/>
            <w:u w:val="single" w:color="0000FF"/>
          </w:rPr>
          <w:t>LLC,</w:t>
        </w:r>
        <w:r>
          <w:rPr>
            <w:color w:val="0000FF"/>
            <w:spacing w:val="-4"/>
            <w:sz w:val="20"/>
            <w:u w:val="single" w:color="0000FF"/>
          </w:rPr>
          <w:t xml:space="preserve"> </w:t>
        </w:r>
        <w:r>
          <w:rPr>
            <w:color w:val="0000FF"/>
            <w:sz w:val="20"/>
            <w:u w:val="single" w:color="0000FF"/>
          </w:rPr>
          <w:t>Originator</w:t>
        </w:r>
        <w:r>
          <w:rPr>
            <w:color w:val="0000FF"/>
            <w:spacing w:val="-4"/>
            <w:sz w:val="20"/>
            <w:u w:val="single" w:color="0000FF"/>
          </w:rPr>
          <w:t xml:space="preserve"> </w:t>
        </w:r>
        <w:r>
          <w:rPr>
            <w:color w:val="0000FF"/>
            <w:sz w:val="20"/>
            <w:u w:val="single" w:color="0000FF"/>
          </w:rPr>
          <w:t>parties</w:t>
        </w:r>
      </w:hyperlink>
      <w:hyperlink r:id="rId274">
        <w:r>
          <w:rPr>
            <w:color w:val="0000FF"/>
            <w:sz w:val="20"/>
            <w:u w:val="single" w:color="0000FF"/>
          </w:rPr>
          <w:t xml:space="preserve"> thereto,</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r>
          <w:rPr>
            <w:color w:val="0000FF"/>
            <w:spacing w:val="-5"/>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Servicer,</w:t>
        </w:r>
        <w:r>
          <w:rPr>
            <w:color w:val="0000FF"/>
            <w:spacing w:val="-4"/>
            <w:sz w:val="20"/>
            <w:u w:val="single" w:color="0000FF"/>
          </w:rPr>
          <w:t xml:space="preserve"> </w:t>
        </w:r>
        <w:r>
          <w:rPr>
            <w:color w:val="0000FF"/>
            <w:sz w:val="20"/>
            <w:u w:val="single" w:color="0000FF"/>
          </w:rPr>
          <w:t>PNC</w:t>
        </w:r>
        <w:r>
          <w:rPr>
            <w:color w:val="0000FF"/>
            <w:spacing w:val="-5"/>
            <w:sz w:val="20"/>
            <w:u w:val="single" w:color="0000FF"/>
          </w:rPr>
          <w:t xml:space="preserve"> </w:t>
        </w:r>
        <w:r>
          <w:rPr>
            <w:color w:val="0000FF"/>
            <w:sz w:val="20"/>
            <w:u w:val="single" w:color="0000FF"/>
          </w:rPr>
          <w:t>Bank,</w:t>
        </w:r>
        <w:r>
          <w:rPr>
            <w:color w:val="0000FF"/>
            <w:spacing w:val="-4"/>
            <w:sz w:val="20"/>
            <w:u w:val="single" w:color="0000FF"/>
          </w:rPr>
          <w:t xml:space="preserve"> </w:t>
        </w:r>
        <w:r>
          <w:rPr>
            <w:color w:val="0000FF"/>
            <w:sz w:val="20"/>
            <w:u w:val="single" w:color="0000FF"/>
          </w:rPr>
          <w:t>National</w:t>
        </w:r>
        <w:r>
          <w:rPr>
            <w:color w:val="0000FF"/>
            <w:spacing w:val="-5"/>
            <w:sz w:val="20"/>
            <w:u w:val="single" w:color="0000FF"/>
          </w:rPr>
          <w:t xml:space="preserve"> </w:t>
        </w:r>
        <w:r>
          <w:rPr>
            <w:color w:val="0000FF"/>
            <w:sz w:val="20"/>
            <w:u w:val="single" w:color="0000FF"/>
          </w:rPr>
          <w:t>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Administrative</w:t>
        </w:r>
        <w:r>
          <w:rPr>
            <w:color w:val="0000FF"/>
            <w:spacing w:val="-5"/>
            <w:sz w:val="20"/>
            <w:u w:val="single" w:color="0000FF"/>
          </w:rPr>
          <w:t xml:space="preserve"> </w:t>
        </w:r>
        <w:r>
          <w:rPr>
            <w:color w:val="0000FF"/>
            <w:sz w:val="20"/>
            <w:u w:val="single" w:color="0000FF"/>
          </w:rPr>
          <w:t>Agent</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as</w:t>
        </w:r>
      </w:hyperlink>
      <w:hyperlink r:id="rId275">
        <w:r>
          <w:rPr>
            <w:color w:val="0000FF"/>
            <w:sz w:val="20"/>
            <w:u w:val="single" w:color="0000FF"/>
          </w:rPr>
          <w:t xml:space="preserve"> a Managing Agent, Wells Fargo Bank, National Association, as Issuing Lender and each Managing Agent</w:t>
        </w:r>
      </w:hyperlink>
      <w:hyperlink r:id="rId276">
        <w:r>
          <w:rPr>
            <w:color w:val="0000FF"/>
            <w:sz w:val="20"/>
            <w:u w:val="single" w:color="0000FF"/>
          </w:rPr>
          <w:t xml:space="preserve"> party thereto (incorporated by reference to Exhibit 10.49 to the Company’s Annual Report on Form 10-K</w:t>
        </w:r>
      </w:hyperlink>
      <w:hyperlink r:id="rId277">
        <w:r>
          <w:rPr>
            <w:color w:val="0000FF"/>
            <w:sz w:val="20"/>
            <w:u w:val="single" w:color="0000FF"/>
          </w:rPr>
          <w:t xml:space="preserve"> for the year ended December 31, 2016, </w:t>
        </w:r>
        <w:r>
          <w:rPr>
            <w:color w:val="0000FF"/>
            <w:sz w:val="20"/>
            <w:u w:val="single" w:color="0000FF"/>
          </w:rPr>
          <w:t>File No.</w:t>
        </w:r>
        <w:r>
          <w:rPr>
            <w:color w:val="0000FF"/>
            <w:spacing w:val="-4"/>
            <w:sz w:val="20"/>
            <w:u w:val="single" w:color="0000FF"/>
          </w:rPr>
          <w:t xml:space="preserve"> </w:t>
        </w:r>
        <w:r>
          <w:rPr>
            <w:color w:val="0000FF"/>
            <w:sz w:val="20"/>
            <w:u w:val="single" w:color="0000FF"/>
          </w:rPr>
          <w:t>001-09608).</w:t>
        </w:r>
      </w:hyperlink>
    </w:p>
    <w:p w14:paraId="7326D3C8" w14:textId="77777777" w:rsidR="00EF3DFB" w:rsidRDefault="00EF3DFB">
      <w:pPr>
        <w:pStyle w:val="BodyText"/>
        <w:spacing w:before="4"/>
        <w:rPr>
          <w:sz w:val="17"/>
        </w:rPr>
      </w:pPr>
    </w:p>
    <w:p w14:paraId="7326D3C9" w14:textId="77777777" w:rsidR="00EF3DFB" w:rsidRDefault="00D27C17">
      <w:pPr>
        <w:pStyle w:val="ListParagraph"/>
        <w:numPr>
          <w:ilvl w:val="1"/>
          <w:numId w:val="12"/>
        </w:numPr>
        <w:tabs>
          <w:tab w:val="left" w:pos="2207"/>
          <w:tab w:val="left" w:pos="2208"/>
        </w:tabs>
        <w:spacing w:line="249" w:lineRule="auto"/>
        <w:ind w:right="713" w:hanging="1965"/>
        <w:rPr>
          <w:sz w:val="20"/>
        </w:rPr>
      </w:pPr>
      <w:hyperlink r:id="rId278">
        <w:r>
          <w:rPr>
            <w:color w:val="0000FF"/>
            <w:sz w:val="20"/>
            <w:u w:val="single" w:color="0000FF"/>
          </w:rPr>
          <w:t>Second Omnibus Amendment, dated as of March 29, 2017 among Jarden Receivables, LLC, the</w:t>
        </w:r>
      </w:hyperlink>
      <w:hyperlink r:id="rId279">
        <w:r>
          <w:rPr>
            <w:color w:val="0000FF"/>
            <w:sz w:val="20"/>
            <w:u w:val="single" w:color="0000FF"/>
          </w:rPr>
          <w:t xml:space="preserve"> Originators party thereto, Newell Brands Inc., as Servicer, PNC Bank, National Association, as</w:t>
        </w:r>
      </w:hyperlink>
      <w:hyperlink r:id="rId280">
        <w:r>
          <w:rPr>
            <w:color w:val="0000FF"/>
            <w:sz w:val="20"/>
            <w:u w:val="single" w:color="0000FF"/>
          </w:rPr>
          <w:t xml:space="preserve"> A</w:t>
        </w:r>
        <w:r>
          <w:rPr>
            <w:color w:val="0000FF"/>
            <w:sz w:val="20"/>
            <w:u w:val="single" w:color="0000FF"/>
          </w:rPr>
          <w:t>dministrative</w:t>
        </w:r>
        <w:r>
          <w:rPr>
            <w:color w:val="0000FF"/>
            <w:spacing w:val="-5"/>
            <w:sz w:val="20"/>
            <w:u w:val="single" w:color="0000FF"/>
          </w:rPr>
          <w:t xml:space="preserve"> </w:t>
        </w:r>
        <w:r>
          <w:rPr>
            <w:color w:val="0000FF"/>
            <w:sz w:val="20"/>
            <w:u w:val="single" w:color="0000FF"/>
          </w:rPr>
          <w:t>Agent</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w:t>
        </w:r>
        <w:r>
          <w:rPr>
            <w:color w:val="0000FF"/>
            <w:spacing w:val="-5"/>
            <w:sz w:val="20"/>
            <w:u w:val="single" w:color="0000FF"/>
          </w:rPr>
          <w:t xml:space="preserve"> </w:t>
        </w:r>
        <w:r>
          <w:rPr>
            <w:color w:val="0000FF"/>
            <w:sz w:val="20"/>
            <w:u w:val="single" w:color="0000FF"/>
          </w:rPr>
          <w:t>Managing</w:t>
        </w:r>
        <w:r>
          <w:rPr>
            <w:color w:val="0000FF"/>
            <w:spacing w:val="-4"/>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Wells</w:t>
        </w:r>
        <w:r>
          <w:rPr>
            <w:color w:val="0000FF"/>
            <w:spacing w:val="-5"/>
            <w:sz w:val="20"/>
            <w:u w:val="single" w:color="0000FF"/>
          </w:rPr>
          <w:t xml:space="preserve"> </w:t>
        </w:r>
        <w:r>
          <w:rPr>
            <w:color w:val="0000FF"/>
            <w:sz w:val="20"/>
            <w:u w:val="single" w:color="0000FF"/>
          </w:rPr>
          <w:t>Fargo</w:t>
        </w:r>
        <w:r>
          <w:rPr>
            <w:color w:val="0000FF"/>
            <w:spacing w:val="-4"/>
            <w:sz w:val="20"/>
            <w:u w:val="single" w:color="0000FF"/>
          </w:rPr>
          <w:t xml:space="preserve"> </w:t>
        </w:r>
        <w:r>
          <w:rPr>
            <w:color w:val="0000FF"/>
            <w:sz w:val="20"/>
            <w:u w:val="single" w:color="0000FF"/>
          </w:rPr>
          <w:t>Bank,</w:t>
        </w:r>
        <w:r>
          <w:rPr>
            <w:color w:val="0000FF"/>
            <w:spacing w:val="-4"/>
            <w:sz w:val="20"/>
            <w:u w:val="single" w:color="0000FF"/>
          </w:rPr>
          <w:t xml:space="preserve"> </w:t>
        </w:r>
        <w:r>
          <w:rPr>
            <w:color w:val="0000FF"/>
            <w:sz w:val="20"/>
            <w:u w:val="single" w:color="0000FF"/>
          </w:rPr>
          <w:t>National</w:t>
        </w:r>
        <w:r>
          <w:rPr>
            <w:color w:val="0000FF"/>
            <w:spacing w:val="-5"/>
            <w:sz w:val="20"/>
            <w:u w:val="single" w:color="0000FF"/>
          </w:rPr>
          <w:t xml:space="preserve"> </w:t>
        </w:r>
        <w:r>
          <w:rPr>
            <w:color w:val="0000FF"/>
            <w:sz w:val="20"/>
            <w:u w:val="single" w:color="0000FF"/>
          </w:rPr>
          <w:t>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Issuing</w:t>
        </w:r>
      </w:hyperlink>
      <w:hyperlink r:id="rId281">
        <w:r>
          <w:rPr>
            <w:color w:val="0000FF"/>
            <w:sz w:val="20"/>
            <w:u w:val="single" w:color="0000FF"/>
          </w:rPr>
          <w:t xml:space="preserve"> Lender and each Managing Agent party thereto (incorporated by reference to Exhibit 10.1 to the</w:t>
        </w:r>
      </w:hyperlink>
      <w:hyperlink r:id="rId282">
        <w:r>
          <w:rPr>
            <w:color w:val="0000FF"/>
            <w:sz w:val="20"/>
            <w:u w:val="single" w:color="0000FF"/>
          </w:rPr>
          <w:t xml:space="preserve"> Company’s Quarterly Report on Form 10-Q for the quarterly period ended March 31, 2017, File</w:t>
        </w:r>
      </w:hyperlink>
      <w:hyperlink r:id="rId283">
        <w:r>
          <w:rPr>
            <w:color w:val="0000FF"/>
            <w:sz w:val="20"/>
            <w:u w:val="single" w:color="0000FF"/>
          </w:rPr>
          <w:t xml:space="preserve">  No.</w:t>
        </w:r>
        <w:r>
          <w:rPr>
            <w:color w:val="0000FF"/>
            <w:spacing w:val="-1"/>
            <w:sz w:val="20"/>
            <w:u w:val="single" w:color="0000FF"/>
          </w:rPr>
          <w:t xml:space="preserve"> </w:t>
        </w:r>
        <w:r>
          <w:rPr>
            <w:color w:val="0000FF"/>
            <w:sz w:val="20"/>
            <w:u w:val="single" w:color="0000FF"/>
          </w:rPr>
          <w:t>001-09608).</w:t>
        </w:r>
      </w:hyperlink>
    </w:p>
    <w:p w14:paraId="7326D3CA" w14:textId="77777777" w:rsidR="00EF3DFB" w:rsidRDefault="00EF3DFB">
      <w:pPr>
        <w:pStyle w:val="BodyText"/>
        <w:spacing w:before="3"/>
        <w:rPr>
          <w:sz w:val="17"/>
        </w:rPr>
      </w:pPr>
    </w:p>
    <w:p w14:paraId="7326D3CB" w14:textId="77777777" w:rsidR="00EF3DFB" w:rsidRDefault="00D27C17">
      <w:pPr>
        <w:pStyle w:val="ListParagraph"/>
        <w:numPr>
          <w:ilvl w:val="1"/>
          <w:numId w:val="12"/>
        </w:numPr>
        <w:tabs>
          <w:tab w:val="left" w:pos="2207"/>
          <w:tab w:val="left" w:pos="2208"/>
        </w:tabs>
        <w:spacing w:before="91" w:line="249" w:lineRule="auto"/>
        <w:ind w:right="235" w:hanging="1965"/>
        <w:rPr>
          <w:sz w:val="20"/>
        </w:rPr>
      </w:pPr>
      <w:hyperlink r:id="rId284">
        <w:r>
          <w:rPr>
            <w:color w:val="0000FF"/>
            <w:sz w:val="20"/>
            <w:u w:val="single" w:color="0000FF"/>
          </w:rPr>
          <w:t>Fourth Omnibus Amendment, dated May 31, 2018 among Jarden Receivables, LLC, the Originators party</w:t>
        </w:r>
      </w:hyperlink>
      <w:hyperlink r:id="rId285">
        <w:r>
          <w:rPr>
            <w:color w:val="0000FF"/>
            <w:sz w:val="20"/>
            <w:u w:val="single" w:color="0000FF"/>
          </w:rPr>
          <w:t xml:space="preserve"> thereto,</w:t>
        </w:r>
        <w:r>
          <w:rPr>
            <w:color w:val="0000FF"/>
            <w:spacing w:val="-4"/>
            <w:sz w:val="20"/>
            <w:u w:val="single" w:color="0000FF"/>
          </w:rPr>
          <w:t xml:space="preserve"> </w:t>
        </w:r>
        <w:r>
          <w:rPr>
            <w:color w:val="0000FF"/>
            <w:sz w:val="20"/>
            <w:u w:val="single" w:color="0000FF"/>
          </w:rPr>
          <w:t>Newell</w:t>
        </w:r>
        <w:r>
          <w:rPr>
            <w:color w:val="0000FF"/>
            <w:spacing w:val="-5"/>
            <w:sz w:val="20"/>
            <w:u w:val="single" w:color="0000FF"/>
          </w:rPr>
          <w:t xml:space="preserve"> </w:t>
        </w:r>
        <w:r>
          <w:rPr>
            <w:color w:val="0000FF"/>
            <w:sz w:val="20"/>
            <w:u w:val="single" w:color="0000FF"/>
          </w:rPr>
          <w:t>Brands</w:t>
        </w:r>
        <w:r>
          <w:rPr>
            <w:color w:val="0000FF"/>
            <w:spacing w:val="-5"/>
            <w:sz w:val="20"/>
            <w:u w:val="single" w:color="0000FF"/>
          </w:rPr>
          <w:t xml:space="preserve"> </w:t>
        </w:r>
        <w:r>
          <w:rPr>
            <w:color w:val="0000FF"/>
            <w:sz w:val="20"/>
            <w:u w:val="single" w:color="0000FF"/>
          </w:rPr>
          <w:t>Inc.,</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Servicer,</w:t>
        </w:r>
        <w:r>
          <w:rPr>
            <w:color w:val="0000FF"/>
            <w:spacing w:val="-4"/>
            <w:sz w:val="20"/>
            <w:u w:val="single" w:color="0000FF"/>
          </w:rPr>
          <w:t xml:space="preserve"> </w:t>
        </w:r>
        <w:r>
          <w:rPr>
            <w:color w:val="0000FF"/>
            <w:sz w:val="20"/>
            <w:u w:val="single" w:color="0000FF"/>
          </w:rPr>
          <w:t>PNC</w:t>
        </w:r>
        <w:r>
          <w:rPr>
            <w:color w:val="0000FF"/>
            <w:spacing w:val="-5"/>
            <w:sz w:val="20"/>
            <w:u w:val="single" w:color="0000FF"/>
          </w:rPr>
          <w:t xml:space="preserve"> </w:t>
        </w:r>
        <w:r>
          <w:rPr>
            <w:color w:val="0000FF"/>
            <w:sz w:val="20"/>
            <w:u w:val="single" w:color="0000FF"/>
          </w:rPr>
          <w:t>Bank,</w:t>
        </w:r>
        <w:r>
          <w:rPr>
            <w:color w:val="0000FF"/>
            <w:spacing w:val="-4"/>
            <w:sz w:val="20"/>
            <w:u w:val="single" w:color="0000FF"/>
          </w:rPr>
          <w:t xml:space="preserve"> </w:t>
        </w:r>
        <w:r>
          <w:rPr>
            <w:color w:val="0000FF"/>
            <w:sz w:val="20"/>
            <w:u w:val="single" w:color="0000FF"/>
          </w:rPr>
          <w:t>National</w:t>
        </w:r>
        <w:r>
          <w:rPr>
            <w:color w:val="0000FF"/>
            <w:spacing w:val="-5"/>
            <w:sz w:val="20"/>
            <w:u w:val="single" w:color="0000FF"/>
          </w:rPr>
          <w:t xml:space="preserve"> </w:t>
        </w:r>
        <w:r>
          <w:rPr>
            <w:color w:val="0000FF"/>
            <w:sz w:val="20"/>
            <w:u w:val="single" w:color="0000FF"/>
          </w:rPr>
          <w:t>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Administrative</w:t>
        </w:r>
        <w:r>
          <w:rPr>
            <w:color w:val="0000FF"/>
            <w:spacing w:val="-5"/>
            <w:sz w:val="20"/>
            <w:u w:val="single" w:color="0000FF"/>
          </w:rPr>
          <w:t xml:space="preserve"> </w:t>
        </w:r>
        <w:r>
          <w:rPr>
            <w:color w:val="0000FF"/>
            <w:sz w:val="20"/>
            <w:u w:val="single" w:color="0000FF"/>
          </w:rPr>
          <w:t>Agent</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as</w:t>
        </w:r>
      </w:hyperlink>
      <w:hyperlink r:id="rId286">
        <w:r>
          <w:rPr>
            <w:color w:val="0000FF"/>
            <w:sz w:val="20"/>
            <w:u w:val="single" w:color="0000FF"/>
          </w:rPr>
          <w:t xml:space="preserve"> a Managing Agent, Wells Fargo Bank, National Association, as Issuing Lender and each Managing Agent</w:t>
        </w:r>
      </w:hyperlink>
      <w:hyperlink r:id="rId287">
        <w:r>
          <w:rPr>
            <w:color w:val="0000FF"/>
            <w:sz w:val="20"/>
            <w:u w:val="single" w:color="0000FF"/>
          </w:rPr>
          <w:t xml:space="preserve"> Party thereto (incorporated by reference to Exhibit 10.3 to the Company’s Quarterly Report on Form 10-Q</w:t>
        </w:r>
      </w:hyperlink>
      <w:hyperlink r:id="rId288">
        <w:r>
          <w:rPr>
            <w:color w:val="0000FF"/>
            <w:sz w:val="20"/>
            <w:u w:val="single" w:color="0000FF"/>
          </w:rPr>
          <w:t xml:space="preserve"> for</w:t>
        </w:r>
        <w:r>
          <w:rPr>
            <w:color w:val="0000FF"/>
            <w:sz w:val="20"/>
            <w:u w:val="single" w:color="0000FF"/>
          </w:rPr>
          <w:t xml:space="preserve"> the quarterly period ended June 30, 2018, File No.</w:t>
        </w:r>
        <w:r>
          <w:rPr>
            <w:color w:val="0000FF"/>
            <w:spacing w:val="-5"/>
            <w:sz w:val="20"/>
            <w:u w:val="single" w:color="0000FF"/>
          </w:rPr>
          <w:t xml:space="preserve"> </w:t>
        </w:r>
        <w:r>
          <w:rPr>
            <w:color w:val="0000FF"/>
            <w:sz w:val="20"/>
            <w:u w:val="single" w:color="0000FF"/>
          </w:rPr>
          <w:t>001-09608).</w:t>
        </w:r>
      </w:hyperlink>
    </w:p>
    <w:p w14:paraId="7326D3CC" w14:textId="77777777" w:rsidR="00EF3DFB" w:rsidRDefault="00EF3DFB">
      <w:pPr>
        <w:pStyle w:val="BodyText"/>
        <w:spacing w:before="8"/>
        <w:rPr>
          <w:sz w:val="10"/>
        </w:rPr>
      </w:pPr>
    </w:p>
    <w:p w14:paraId="7326D3CD" w14:textId="77777777" w:rsidR="00EF3DFB" w:rsidRDefault="00D27C17">
      <w:pPr>
        <w:pStyle w:val="ListParagraph"/>
        <w:numPr>
          <w:ilvl w:val="1"/>
          <w:numId w:val="12"/>
        </w:numPr>
        <w:tabs>
          <w:tab w:val="left" w:pos="2207"/>
          <w:tab w:val="left" w:pos="2208"/>
        </w:tabs>
        <w:spacing w:before="92" w:line="249" w:lineRule="auto"/>
        <w:ind w:right="334" w:hanging="1965"/>
        <w:rPr>
          <w:sz w:val="20"/>
        </w:rPr>
      </w:pPr>
      <w:hyperlink r:id="rId289">
        <w:r>
          <w:rPr>
            <w:color w:val="0000FF"/>
            <w:sz w:val="20"/>
            <w:u w:val="single" w:color="0000FF"/>
          </w:rPr>
          <w:t>Sixth Omnibus Amendment, dated as of March 14, 2019, by and among Jarden Receivables, LLC</w:t>
        </w:r>
        <w:r>
          <w:rPr>
            <w:color w:val="0000FF"/>
            <w:sz w:val="20"/>
            <w:u w:val="single" w:color="0000FF"/>
          </w:rPr>
          <w:t>, as</w:t>
        </w:r>
      </w:hyperlink>
      <w:hyperlink r:id="rId290">
        <w:r>
          <w:rPr>
            <w:color w:val="0000FF"/>
            <w:sz w:val="20"/>
            <w:u w:val="single" w:color="0000FF"/>
          </w:rPr>
          <w:t xml:space="preserve"> Borrower, Newell Brands Inc., as Servicer, the Managing Agents named therein, PNC Bank, National</w:t>
        </w:r>
      </w:hyperlink>
      <w:hyperlink r:id="rId291">
        <w:r>
          <w:rPr>
            <w:color w:val="0000FF"/>
            <w:sz w:val="20"/>
            <w:u w:val="single" w:color="0000FF"/>
          </w:rPr>
          <w:t xml:space="preserve"> 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Administrative</w:t>
        </w:r>
        <w:r>
          <w:rPr>
            <w:color w:val="0000FF"/>
            <w:spacing w:val="-5"/>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Wells</w:t>
        </w:r>
        <w:r>
          <w:rPr>
            <w:color w:val="0000FF"/>
            <w:spacing w:val="-5"/>
            <w:sz w:val="20"/>
            <w:u w:val="single" w:color="0000FF"/>
          </w:rPr>
          <w:t xml:space="preserve"> </w:t>
        </w:r>
        <w:r>
          <w:rPr>
            <w:color w:val="0000FF"/>
            <w:sz w:val="20"/>
            <w:u w:val="single" w:color="0000FF"/>
          </w:rPr>
          <w:t>Fargo</w:t>
        </w:r>
        <w:r>
          <w:rPr>
            <w:color w:val="0000FF"/>
            <w:spacing w:val="-4"/>
            <w:sz w:val="20"/>
            <w:u w:val="single" w:color="0000FF"/>
          </w:rPr>
          <w:t xml:space="preserve"> </w:t>
        </w:r>
        <w:r>
          <w:rPr>
            <w:color w:val="0000FF"/>
            <w:sz w:val="20"/>
            <w:u w:val="single" w:color="0000FF"/>
          </w:rPr>
          <w:t>Bank,</w:t>
        </w:r>
        <w:r>
          <w:rPr>
            <w:color w:val="0000FF"/>
            <w:spacing w:val="-4"/>
            <w:sz w:val="20"/>
            <w:u w:val="single" w:color="0000FF"/>
          </w:rPr>
          <w:t xml:space="preserve"> </w:t>
        </w:r>
        <w:r>
          <w:rPr>
            <w:color w:val="0000FF"/>
            <w:sz w:val="20"/>
            <w:u w:val="single" w:color="0000FF"/>
          </w:rPr>
          <w:t>National</w:t>
        </w:r>
        <w:r>
          <w:rPr>
            <w:color w:val="0000FF"/>
            <w:spacing w:val="-5"/>
            <w:sz w:val="20"/>
            <w:u w:val="single" w:color="0000FF"/>
          </w:rPr>
          <w:t xml:space="preserve"> </w:t>
        </w:r>
        <w:r>
          <w:rPr>
            <w:color w:val="0000FF"/>
            <w:sz w:val="20"/>
            <w:u w:val="single" w:color="0000FF"/>
          </w:rPr>
          <w:t>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Issuing</w:t>
        </w:r>
        <w:r>
          <w:rPr>
            <w:color w:val="0000FF"/>
            <w:spacing w:val="-4"/>
            <w:sz w:val="20"/>
            <w:u w:val="single" w:color="0000FF"/>
          </w:rPr>
          <w:t xml:space="preserve"> </w:t>
        </w:r>
        <w:r>
          <w:rPr>
            <w:color w:val="0000FF"/>
            <w:sz w:val="20"/>
            <w:u w:val="single" w:color="0000FF"/>
          </w:rPr>
          <w:t>Lender,</w:t>
        </w:r>
        <w:r>
          <w:rPr>
            <w:color w:val="0000FF"/>
            <w:spacing w:val="-4"/>
            <w:sz w:val="20"/>
            <w:u w:val="single" w:color="0000FF"/>
          </w:rPr>
          <w:t xml:space="preserve"> </w:t>
        </w:r>
        <w:r>
          <w:rPr>
            <w:color w:val="0000FF"/>
            <w:sz w:val="20"/>
            <w:u w:val="single" w:color="0000FF"/>
          </w:rPr>
          <w:t>to</w:t>
        </w:r>
      </w:hyperlink>
      <w:hyperlink r:id="rId292">
        <w:r>
          <w:rPr>
            <w:color w:val="0000FF"/>
            <w:sz w:val="20"/>
            <w:u w:val="single" w:color="0000FF"/>
          </w:rPr>
          <w:t xml:space="preserve"> </w:t>
        </w:r>
        <w:r>
          <w:rPr>
            <w:color w:val="0000FF"/>
            <w:sz w:val="20"/>
            <w:u w:val="single" w:color="0000FF"/>
          </w:rPr>
          <w:t>Loan and Servicing Agreement, dated as of October 3, 2016, and Receivables Contribution and Sale</w:t>
        </w:r>
      </w:hyperlink>
      <w:hyperlink r:id="rId293">
        <w:r>
          <w:rPr>
            <w:color w:val="0000FF"/>
            <w:sz w:val="20"/>
            <w:u w:val="single" w:color="0000FF"/>
          </w:rPr>
          <w:t xml:space="preserve"> Agreement, dated as of October 3, 2016 (incorporated by r</w:t>
        </w:r>
        <w:r>
          <w:rPr>
            <w:color w:val="0000FF"/>
            <w:sz w:val="20"/>
            <w:u w:val="single" w:color="0000FF"/>
          </w:rPr>
          <w:t>eference to Exhibit 10.1 to the Company’s</w:t>
        </w:r>
      </w:hyperlink>
      <w:hyperlink r:id="rId294">
        <w:r>
          <w:rPr>
            <w:color w:val="0000FF"/>
            <w:sz w:val="20"/>
            <w:u w:val="single" w:color="0000FF"/>
          </w:rPr>
          <w:t xml:space="preserve"> Current Report on Form 8-K dated March 15, 2019, File No.</w:t>
        </w:r>
        <w:r>
          <w:rPr>
            <w:color w:val="0000FF"/>
            <w:spacing w:val="-8"/>
            <w:sz w:val="20"/>
            <w:u w:val="single" w:color="0000FF"/>
          </w:rPr>
          <w:t xml:space="preserve"> </w:t>
        </w:r>
        <w:r>
          <w:rPr>
            <w:color w:val="0000FF"/>
            <w:sz w:val="20"/>
            <w:u w:val="single" w:color="0000FF"/>
          </w:rPr>
          <w:t>001-09608).</w:t>
        </w:r>
      </w:hyperlink>
    </w:p>
    <w:p w14:paraId="7326D3CE" w14:textId="77777777" w:rsidR="00EF3DFB" w:rsidRDefault="00EF3DFB">
      <w:pPr>
        <w:pStyle w:val="BodyText"/>
        <w:spacing w:before="4"/>
        <w:rPr>
          <w:sz w:val="17"/>
        </w:rPr>
      </w:pPr>
    </w:p>
    <w:p w14:paraId="7326D3CF" w14:textId="77777777" w:rsidR="00EF3DFB" w:rsidRDefault="00D27C17">
      <w:pPr>
        <w:pStyle w:val="ListParagraph"/>
        <w:numPr>
          <w:ilvl w:val="1"/>
          <w:numId w:val="12"/>
        </w:numPr>
        <w:tabs>
          <w:tab w:val="left" w:pos="2207"/>
          <w:tab w:val="left" w:pos="2208"/>
        </w:tabs>
        <w:spacing w:line="249" w:lineRule="auto"/>
        <w:ind w:right="334" w:hanging="1965"/>
        <w:rPr>
          <w:sz w:val="20"/>
        </w:rPr>
      </w:pPr>
      <w:hyperlink r:id="rId295">
        <w:r>
          <w:rPr>
            <w:color w:val="0000FF"/>
            <w:sz w:val="20"/>
            <w:u w:val="single" w:color="0000FF"/>
          </w:rPr>
          <w:t>Seventh Omnibus Amendment, dated as of June 18, 2019, by and among Jarden Receivables, LLC, as</w:t>
        </w:r>
      </w:hyperlink>
      <w:hyperlink r:id="rId296">
        <w:r>
          <w:rPr>
            <w:color w:val="0000FF"/>
            <w:sz w:val="20"/>
            <w:u w:val="single" w:color="0000FF"/>
          </w:rPr>
          <w:t xml:space="preserve"> Borrower, Newell Brands Inc., as Servicer, the Managing Agents named therein, PNC Bank, National</w:t>
        </w:r>
      </w:hyperlink>
      <w:hyperlink r:id="rId297">
        <w:r>
          <w:rPr>
            <w:color w:val="0000FF"/>
            <w:sz w:val="20"/>
            <w:u w:val="single" w:color="0000FF"/>
          </w:rPr>
          <w:t xml:space="preserve"> 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Administrative</w:t>
        </w:r>
        <w:r>
          <w:rPr>
            <w:color w:val="0000FF"/>
            <w:spacing w:val="-5"/>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Wells</w:t>
        </w:r>
        <w:r>
          <w:rPr>
            <w:color w:val="0000FF"/>
            <w:spacing w:val="-5"/>
            <w:sz w:val="20"/>
            <w:u w:val="single" w:color="0000FF"/>
          </w:rPr>
          <w:t xml:space="preserve"> </w:t>
        </w:r>
        <w:r>
          <w:rPr>
            <w:color w:val="0000FF"/>
            <w:sz w:val="20"/>
            <w:u w:val="single" w:color="0000FF"/>
          </w:rPr>
          <w:t>Fargo</w:t>
        </w:r>
        <w:r>
          <w:rPr>
            <w:color w:val="0000FF"/>
            <w:spacing w:val="-4"/>
            <w:sz w:val="20"/>
            <w:u w:val="single" w:color="0000FF"/>
          </w:rPr>
          <w:t xml:space="preserve"> </w:t>
        </w:r>
        <w:r>
          <w:rPr>
            <w:color w:val="0000FF"/>
            <w:sz w:val="20"/>
            <w:u w:val="single" w:color="0000FF"/>
          </w:rPr>
          <w:t>Bank,</w:t>
        </w:r>
        <w:r>
          <w:rPr>
            <w:color w:val="0000FF"/>
            <w:spacing w:val="-4"/>
            <w:sz w:val="20"/>
            <w:u w:val="single" w:color="0000FF"/>
          </w:rPr>
          <w:t xml:space="preserve"> </w:t>
        </w:r>
        <w:r>
          <w:rPr>
            <w:color w:val="0000FF"/>
            <w:sz w:val="20"/>
            <w:u w:val="single" w:color="0000FF"/>
          </w:rPr>
          <w:t>National</w:t>
        </w:r>
        <w:r>
          <w:rPr>
            <w:color w:val="0000FF"/>
            <w:spacing w:val="-5"/>
            <w:sz w:val="20"/>
            <w:u w:val="single" w:color="0000FF"/>
          </w:rPr>
          <w:t xml:space="preserve"> </w:t>
        </w:r>
        <w:r>
          <w:rPr>
            <w:color w:val="0000FF"/>
            <w:sz w:val="20"/>
            <w:u w:val="single" w:color="0000FF"/>
          </w:rPr>
          <w:t>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Issuing</w:t>
        </w:r>
        <w:r>
          <w:rPr>
            <w:color w:val="0000FF"/>
            <w:spacing w:val="-4"/>
            <w:sz w:val="20"/>
            <w:u w:val="single" w:color="0000FF"/>
          </w:rPr>
          <w:t xml:space="preserve"> </w:t>
        </w:r>
        <w:r>
          <w:rPr>
            <w:color w:val="0000FF"/>
            <w:sz w:val="20"/>
            <w:u w:val="single" w:color="0000FF"/>
          </w:rPr>
          <w:t>Lender,</w:t>
        </w:r>
        <w:r>
          <w:rPr>
            <w:color w:val="0000FF"/>
            <w:spacing w:val="-4"/>
            <w:sz w:val="20"/>
            <w:u w:val="single" w:color="0000FF"/>
          </w:rPr>
          <w:t xml:space="preserve"> </w:t>
        </w:r>
        <w:r>
          <w:rPr>
            <w:color w:val="0000FF"/>
            <w:sz w:val="20"/>
            <w:u w:val="single" w:color="0000FF"/>
          </w:rPr>
          <w:t>to</w:t>
        </w:r>
      </w:hyperlink>
      <w:hyperlink r:id="rId298">
        <w:r>
          <w:rPr>
            <w:color w:val="0000FF"/>
            <w:sz w:val="20"/>
            <w:u w:val="single" w:color="0000FF"/>
          </w:rPr>
          <w:t xml:space="preserve"> Loan and Servicing Agreeme</w:t>
        </w:r>
        <w:r>
          <w:rPr>
            <w:color w:val="0000FF"/>
            <w:sz w:val="20"/>
            <w:u w:val="single" w:color="0000FF"/>
          </w:rPr>
          <w:t>nt, dated as of October 3, 2016, and Receivables Contribution and Sale</w:t>
        </w:r>
      </w:hyperlink>
      <w:hyperlink r:id="rId299">
        <w:r>
          <w:rPr>
            <w:color w:val="0000FF"/>
            <w:sz w:val="20"/>
            <w:u w:val="single" w:color="0000FF"/>
          </w:rPr>
          <w:t xml:space="preserve"> Agreement, dated as of October 3, 2016 (incorporated by reference to Exhi</w:t>
        </w:r>
        <w:r>
          <w:rPr>
            <w:color w:val="0000FF"/>
            <w:sz w:val="20"/>
            <w:u w:val="single" w:color="0000FF"/>
          </w:rPr>
          <w:t>bit 10.3 to the Company's</w:t>
        </w:r>
      </w:hyperlink>
      <w:hyperlink r:id="rId300">
        <w:r>
          <w:rPr>
            <w:color w:val="0000FF"/>
            <w:sz w:val="20"/>
            <w:u w:val="single" w:color="0000FF"/>
          </w:rPr>
          <w:t xml:space="preserve"> Quarterly Report on Form 10-Q for the quarterly period ended June 30, 2019, File No.</w:t>
        </w:r>
        <w:r>
          <w:rPr>
            <w:color w:val="0000FF"/>
            <w:spacing w:val="-19"/>
            <w:sz w:val="20"/>
            <w:u w:val="single" w:color="0000FF"/>
          </w:rPr>
          <w:t xml:space="preserve"> </w:t>
        </w:r>
        <w:r>
          <w:rPr>
            <w:color w:val="0000FF"/>
            <w:sz w:val="20"/>
            <w:u w:val="single" w:color="0000FF"/>
          </w:rPr>
          <w:t>001-09608).</w:t>
        </w:r>
      </w:hyperlink>
    </w:p>
    <w:p w14:paraId="7326D3D0" w14:textId="77777777" w:rsidR="00EF3DFB" w:rsidRDefault="00EF3DFB">
      <w:pPr>
        <w:pStyle w:val="BodyText"/>
        <w:spacing w:before="11"/>
        <w:rPr>
          <w:sz w:val="15"/>
        </w:rPr>
      </w:pPr>
    </w:p>
    <w:p w14:paraId="7326D3D1" w14:textId="77777777" w:rsidR="00EF3DFB" w:rsidRDefault="00D27C17">
      <w:pPr>
        <w:pStyle w:val="ListParagraph"/>
        <w:numPr>
          <w:ilvl w:val="1"/>
          <w:numId w:val="12"/>
        </w:numPr>
        <w:tabs>
          <w:tab w:val="left" w:pos="2207"/>
          <w:tab w:val="left" w:pos="2208"/>
        </w:tabs>
        <w:spacing w:before="91" w:line="249" w:lineRule="auto"/>
        <w:ind w:right="257" w:hanging="1965"/>
        <w:rPr>
          <w:sz w:val="20"/>
        </w:rPr>
      </w:pPr>
      <w:hyperlink r:id="rId301">
        <w:r>
          <w:rPr>
            <w:color w:val="0000FF"/>
            <w:sz w:val="20"/>
            <w:u w:val="single" w:color="0000FF"/>
          </w:rPr>
          <w:t>Eighth Omnibus Amendment dated as of March 20, 2020, to Amended and Restated Loan and Servicing</w:t>
        </w:r>
      </w:hyperlink>
      <w:hyperlink r:id="rId302">
        <w:r>
          <w:rPr>
            <w:color w:val="0000FF"/>
            <w:sz w:val="20"/>
            <w:u w:val="single" w:color="0000FF"/>
          </w:rPr>
          <w:t xml:space="preserve"> Agreement, dated as of October 2, 2019, among Jarden Receivables, as Borrower, Newell Brands Inc., as</w:t>
        </w:r>
      </w:hyperlink>
      <w:hyperlink r:id="rId303">
        <w:r>
          <w:rPr>
            <w:color w:val="0000FF"/>
            <w:sz w:val="20"/>
            <w:u w:val="single" w:color="0000FF"/>
          </w:rPr>
          <w:t xml:space="preserve"> Servicer, the Conduit Lenders, the Committed Lenders and the Managing Agents named therein, PNC</w:t>
        </w:r>
      </w:hyperlink>
      <w:hyperlink r:id="rId304">
        <w:r>
          <w:rPr>
            <w:color w:val="0000FF"/>
            <w:sz w:val="20"/>
            <w:u w:val="single" w:color="0000FF"/>
          </w:rPr>
          <w:t xml:space="preserve"> Bank, National Association and Royal Bank of Canada, each as an Issuing lender, PNC Bank, National</w:t>
        </w:r>
      </w:hyperlink>
      <w:hyperlink r:id="rId305">
        <w:r>
          <w:rPr>
            <w:color w:val="0000FF"/>
            <w:sz w:val="20"/>
            <w:u w:val="single" w:color="0000FF"/>
          </w:rPr>
          <w:t xml:space="preserve"> Association,</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Administrative</w:t>
        </w:r>
        <w:r>
          <w:rPr>
            <w:color w:val="0000FF"/>
            <w:spacing w:val="-5"/>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PN</w:t>
        </w:r>
        <w:r>
          <w:rPr>
            <w:color w:val="0000FF"/>
            <w:sz w:val="20"/>
            <w:u w:val="single" w:color="0000FF"/>
          </w:rPr>
          <w:t>C</w:t>
        </w:r>
        <w:r>
          <w:rPr>
            <w:color w:val="0000FF"/>
            <w:spacing w:val="-5"/>
            <w:sz w:val="20"/>
            <w:u w:val="single" w:color="0000FF"/>
          </w:rPr>
          <w:t xml:space="preserve"> </w:t>
        </w:r>
        <w:r>
          <w:rPr>
            <w:color w:val="0000FF"/>
            <w:sz w:val="20"/>
            <w:u w:val="single" w:color="0000FF"/>
          </w:rPr>
          <w:t>Capital</w:t>
        </w:r>
        <w:r>
          <w:rPr>
            <w:color w:val="0000FF"/>
            <w:spacing w:val="-5"/>
            <w:sz w:val="20"/>
            <w:u w:val="single" w:color="0000FF"/>
          </w:rPr>
          <w:t xml:space="preserve"> </w:t>
        </w:r>
        <w:r>
          <w:rPr>
            <w:color w:val="0000FF"/>
            <w:sz w:val="20"/>
            <w:u w:val="single" w:color="0000FF"/>
          </w:rPr>
          <w:t>Markets</w:t>
        </w:r>
        <w:r>
          <w:rPr>
            <w:color w:val="0000FF"/>
            <w:spacing w:val="-5"/>
            <w:sz w:val="20"/>
            <w:u w:val="single" w:color="0000FF"/>
          </w:rPr>
          <w:t xml:space="preserve"> </w:t>
        </w:r>
        <w:r>
          <w:rPr>
            <w:color w:val="0000FF"/>
            <w:sz w:val="20"/>
            <w:u w:val="single" w:color="0000FF"/>
          </w:rPr>
          <w:t>LLC,</w:t>
        </w:r>
        <w:r>
          <w:rPr>
            <w:color w:val="0000FF"/>
            <w:spacing w:val="-4"/>
            <w:sz w:val="20"/>
            <w:u w:val="single" w:color="0000FF"/>
          </w:rPr>
          <w:t xml:space="preserve"> </w:t>
        </w:r>
        <w:r>
          <w:rPr>
            <w:color w:val="0000FF"/>
            <w:sz w:val="20"/>
            <w:u w:val="single" w:color="0000FF"/>
          </w:rPr>
          <w:t>as</w:t>
        </w:r>
        <w:r>
          <w:rPr>
            <w:color w:val="0000FF"/>
            <w:spacing w:val="-5"/>
            <w:sz w:val="20"/>
            <w:u w:val="single" w:color="0000FF"/>
          </w:rPr>
          <w:t xml:space="preserve"> </w:t>
        </w:r>
        <w:r>
          <w:rPr>
            <w:color w:val="0000FF"/>
            <w:sz w:val="20"/>
            <w:u w:val="single" w:color="0000FF"/>
          </w:rPr>
          <w:t>Structuring</w:t>
        </w:r>
        <w:r>
          <w:rPr>
            <w:color w:val="0000FF"/>
            <w:spacing w:val="-4"/>
            <w:sz w:val="20"/>
            <w:u w:val="single" w:color="0000FF"/>
          </w:rPr>
          <w:t xml:space="preserve"> </w:t>
        </w:r>
        <w:r>
          <w:rPr>
            <w:color w:val="0000FF"/>
            <w:sz w:val="20"/>
            <w:u w:val="single" w:color="0000FF"/>
          </w:rPr>
          <w:t>Agent,</w:t>
        </w:r>
        <w:r>
          <w:rPr>
            <w:color w:val="0000FF"/>
            <w:spacing w:val="-4"/>
            <w:sz w:val="20"/>
            <w:u w:val="single" w:color="0000FF"/>
          </w:rPr>
          <w:t xml:space="preserve"> </w:t>
        </w:r>
        <w:r>
          <w:rPr>
            <w:color w:val="0000FF"/>
            <w:sz w:val="20"/>
            <w:u w:val="single" w:color="0000FF"/>
          </w:rPr>
          <w:t>(incorporated</w:t>
        </w:r>
      </w:hyperlink>
      <w:hyperlink r:id="rId306">
        <w:r>
          <w:rPr>
            <w:color w:val="0000FF"/>
            <w:sz w:val="20"/>
            <w:u w:val="single" w:color="0000FF"/>
          </w:rPr>
          <w:t xml:space="preserve"> by reference to Exhibit 10.7 to the Company's Quarterly Report on Form 10-Q for the q</w:t>
        </w:r>
        <w:r>
          <w:rPr>
            <w:color w:val="0000FF"/>
            <w:sz w:val="20"/>
            <w:u w:val="single" w:color="0000FF"/>
          </w:rPr>
          <w:t>uarterly period</w:t>
        </w:r>
      </w:hyperlink>
      <w:hyperlink r:id="rId307">
        <w:r>
          <w:rPr>
            <w:color w:val="0000FF"/>
            <w:sz w:val="20"/>
            <w:u w:val="single" w:color="0000FF"/>
          </w:rPr>
          <w:t xml:space="preserve"> ended March 31, 2020, File No.</w:t>
        </w:r>
        <w:r>
          <w:rPr>
            <w:color w:val="0000FF"/>
            <w:spacing w:val="-2"/>
            <w:sz w:val="20"/>
            <w:u w:val="single" w:color="0000FF"/>
          </w:rPr>
          <w:t xml:space="preserve"> </w:t>
        </w:r>
        <w:r>
          <w:rPr>
            <w:color w:val="0000FF"/>
            <w:sz w:val="20"/>
            <w:u w:val="single" w:color="0000FF"/>
          </w:rPr>
          <w:t>001-09608).</w:t>
        </w:r>
      </w:hyperlink>
    </w:p>
    <w:p w14:paraId="7326D3D2" w14:textId="77777777" w:rsidR="00EF3DFB" w:rsidRDefault="00EF3DFB">
      <w:pPr>
        <w:spacing w:line="249" w:lineRule="auto"/>
        <w:rPr>
          <w:sz w:val="20"/>
        </w:rPr>
        <w:sectPr w:rsidR="00EF3DFB">
          <w:footerReference w:type="default" r:id="rId308"/>
          <w:pgSz w:w="12240" w:h="15840"/>
          <w:pgMar w:top="660" w:right="640" w:bottom="480" w:left="620" w:header="0" w:footer="291" w:gutter="0"/>
          <w:pgNumType w:start="110"/>
          <w:cols w:space="720"/>
        </w:sectPr>
      </w:pPr>
    </w:p>
    <w:p w14:paraId="7326D3D3" w14:textId="77777777" w:rsidR="00EF3DFB" w:rsidRDefault="00D27C17">
      <w:pPr>
        <w:pStyle w:val="BodyText"/>
        <w:tabs>
          <w:tab w:val="left" w:pos="2207"/>
        </w:tabs>
        <w:spacing w:before="69" w:line="249" w:lineRule="auto"/>
        <w:ind w:left="2207" w:right="305" w:hanging="1965"/>
      </w:pPr>
      <w:r>
        <w:lastRenderedPageBreak/>
        <w:t>18.1</w:t>
      </w:r>
      <w:r>
        <w:tab/>
      </w:r>
      <w:hyperlink r:id="rId309">
        <w:r>
          <w:rPr>
            <w:color w:val="0000FF"/>
            <w:u w:val="single" w:color="0000FF"/>
          </w:rPr>
          <w:t>Letter from PricewaterhouseCoopers LLP regarding change in Accounting Principle, dated August 2,</w:t>
        </w:r>
      </w:hyperlink>
      <w:hyperlink r:id="rId310">
        <w:r>
          <w:rPr>
            <w:color w:val="0000FF"/>
            <w:u w:val="single" w:color="0000FF"/>
          </w:rPr>
          <w:t xml:space="preserve"> 2019 (incorporated by reference to Exhibit 18.1 to the Company’s Quarterly Report on Form 10-Q for</w:t>
        </w:r>
        <w:r>
          <w:rPr>
            <w:color w:val="0000FF"/>
            <w:spacing w:val="-33"/>
            <w:u w:val="single" w:color="0000FF"/>
          </w:rPr>
          <w:t xml:space="preserve"> </w:t>
        </w:r>
        <w:r>
          <w:rPr>
            <w:color w:val="0000FF"/>
            <w:u w:val="single" w:color="0000FF"/>
          </w:rPr>
          <w:t>the</w:t>
        </w:r>
      </w:hyperlink>
      <w:hyperlink r:id="rId311">
        <w:r>
          <w:rPr>
            <w:color w:val="0000FF"/>
            <w:u w:val="single" w:color="0000FF"/>
          </w:rPr>
          <w:t xml:space="preserve"> quarterly period ended June 30, 2019, File No.</w:t>
        </w:r>
        <w:r>
          <w:rPr>
            <w:color w:val="0000FF"/>
            <w:spacing w:val="-4"/>
            <w:u w:val="single" w:color="0000FF"/>
          </w:rPr>
          <w:t xml:space="preserve"> </w:t>
        </w:r>
        <w:r>
          <w:rPr>
            <w:color w:val="0000FF"/>
            <w:u w:val="single" w:color="0000FF"/>
          </w:rPr>
          <w:t>001-09608).</w:t>
        </w:r>
      </w:hyperlink>
    </w:p>
    <w:p w14:paraId="7326D3D4" w14:textId="77777777" w:rsidR="00EF3DFB" w:rsidRDefault="00EF3DFB">
      <w:pPr>
        <w:pStyle w:val="BodyText"/>
        <w:spacing w:before="8"/>
        <w:rPr>
          <w:sz w:val="15"/>
        </w:rPr>
      </w:pPr>
    </w:p>
    <w:p w14:paraId="7326D3D5" w14:textId="77777777" w:rsidR="00EF3DFB" w:rsidRDefault="00D27C17">
      <w:pPr>
        <w:pStyle w:val="BodyText"/>
        <w:spacing w:before="92"/>
        <w:ind w:left="242"/>
      </w:pPr>
      <w:r>
        <w:t>ITEM 21 — SUBSIDIARIES OF THE REGISTRANT</w:t>
      </w:r>
    </w:p>
    <w:p w14:paraId="7326D3D6" w14:textId="77777777" w:rsidR="00EF3DFB" w:rsidRDefault="00D27C17">
      <w:pPr>
        <w:pStyle w:val="BodyText"/>
        <w:tabs>
          <w:tab w:val="left" w:pos="2207"/>
        </w:tabs>
        <w:spacing w:before="190"/>
        <w:ind w:left="242"/>
      </w:pPr>
      <w:r>
        <w:t>21.1†</w:t>
      </w:r>
      <w:r>
        <w:tab/>
      </w:r>
      <w:r>
        <w:rPr>
          <w:color w:val="0000FF"/>
          <w:u w:val="single" w:color="0000FF"/>
        </w:rPr>
        <w:t>Subsidiaries of the</w:t>
      </w:r>
      <w:r>
        <w:rPr>
          <w:color w:val="0000FF"/>
          <w:spacing w:val="-3"/>
          <w:u w:val="single" w:color="0000FF"/>
        </w:rPr>
        <w:t xml:space="preserve"> </w:t>
      </w:r>
      <w:r>
        <w:rPr>
          <w:color w:val="0000FF"/>
          <w:u w:val="single" w:color="0000FF"/>
        </w:rPr>
        <w:t>Registrant.</w:t>
      </w:r>
    </w:p>
    <w:p w14:paraId="7326D3D7" w14:textId="77777777" w:rsidR="00EF3DFB" w:rsidRDefault="00EF3DFB">
      <w:pPr>
        <w:pStyle w:val="BodyText"/>
        <w:spacing w:before="5"/>
        <w:rPr>
          <w:sz w:val="16"/>
        </w:rPr>
      </w:pPr>
    </w:p>
    <w:p w14:paraId="7326D3D8" w14:textId="77777777" w:rsidR="00EF3DFB" w:rsidRDefault="00D27C17">
      <w:pPr>
        <w:pStyle w:val="BodyText"/>
        <w:spacing w:before="91"/>
        <w:ind w:left="242"/>
      </w:pPr>
      <w:r>
        <w:t>ITEM 2</w:t>
      </w:r>
      <w:r>
        <w:t>3 — CONSENT OF EXPERTS AND COUNSEL</w:t>
      </w:r>
    </w:p>
    <w:p w14:paraId="7326D3D9" w14:textId="77777777" w:rsidR="00EF3DFB" w:rsidRDefault="00D27C17">
      <w:pPr>
        <w:pStyle w:val="BodyText"/>
        <w:tabs>
          <w:tab w:val="left" w:pos="2207"/>
        </w:tabs>
        <w:spacing w:before="130"/>
        <w:ind w:left="242"/>
      </w:pPr>
      <w:r>
        <w:t>23.1†</w:t>
      </w:r>
      <w:r>
        <w:tab/>
      </w:r>
      <w:r>
        <w:rPr>
          <w:color w:val="0000FF"/>
          <w:u w:val="single" w:color="0000FF"/>
        </w:rPr>
        <w:t>Consent of PricewaterhouseCoopers</w:t>
      </w:r>
      <w:r>
        <w:rPr>
          <w:color w:val="0000FF"/>
          <w:spacing w:val="-3"/>
          <w:u w:val="single" w:color="0000FF"/>
        </w:rPr>
        <w:t xml:space="preserve"> </w:t>
      </w:r>
      <w:r>
        <w:rPr>
          <w:color w:val="0000FF"/>
          <w:u w:val="single" w:color="0000FF"/>
        </w:rPr>
        <w:t>LLP.</w:t>
      </w:r>
    </w:p>
    <w:p w14:paraId="7326D3DA" w14:textId="77777777" w:rsidR="00EF3DFB" w:rsidRDefault="00EF3DFB">
      <w:pPr>
        <w:pStyle w:val="BodyText"/>
        <w:spacing w:before="2"/>
        <w:rPr>
          <w:sz w:val="11"/>
        </w:rPr>
      </w:pPr>
    </w:p>
    <w:p w14:paraId="7326D3DB" w14:textId="77777777" w:rsidR="00EF3DFB" w:rsidRDefault="00D27C17">
      <w:pPr>
        <w:pStyle w:val="BodyText"/>
        <w:spacing w:before="92"/>
        <w:ind w:left="242"/>
      </w:pPr>
      <w:r>
        <w:t>ITEM 31 — RULE 13a-14(a)/15d-14(a) CERTIFICATIONS</w:t>
      </w:r>
    </w:p>
    <w:p w14:paraId="7326D3DC" w14:textId="77777777" w:rsidR="00EF3DFB" w:rsidRDefault="00D27C17">
      <w:pPr>
        <w:pStyle w:val="ListParagraph"/>
        <w:numPr>
          <w:ilvl w:val="1"/>
          <w:numId w:val="11"/>
        </w:numPr>
        <w:tabs>
          <w:tab w:val="left" w:pos="594"/>
          <w:tab w:val="left" w:pos="2207"/>
        </w:tabs>
        <w:spacing w:before="175" w:line="290" w:lineRule="auto"/>
        <w:ind w:right="879" w:hanging="1965"/>
        <w:rPr>
          <w:sz w:val="20"/>
        </w:rPr>
      </w:pPr>
      <w:r>
        <w:rPr>
          <w:sz w:val="20"/>
        </w:rPr>
        <w:t>†</w:t>
      </w:r>
      <w:r>
        <w:rPr>
          <w:sz w:val="20"/>
        </w:rPr>
        <w:tab/>
      </w:r>
      <w:r>
        <w:rPr>
          <w:color w:val="0000FF"/>
          <w:sz w:val="20"/>
          <w:u w:val="single" w:color="0000FF"/>
        </w:rPr>
        <w:t>Certification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Rule</w:t>
      </w:r>
      <w:r>
        <w:rPr>
          <w:color w:val="0000FF"/>
          <w:spacing w:val="-4"/>
          <w:sz w:val="20"/>
          <w:u w:val="single" w:color="0000FF"/>
        </w:rPr>
        <w:t xml:space="preserve"> </w:t>
      </w:r>
      <w:r>
        <w:rPr>
          <w:color w:val="0000FF"/>
          <w:sz w:val="20"/>
          <w:u w:val="single" w:color="0000FF"/>
        </w:rPr>
        <w:t>13a-14(a)</w:t>
      </w:r>
      <w:r>
        <w:rPr>
          <w:color w:val="0000FF"/>
          <w:spacing w:val="-3"/>
          <w:sz w:val="20"/>
          <w:u w:val="single" w:color="0000FF"/>
        </w:rPr>
        <w:t xml:space="preserve"> </w:t>
      </w:r>
      <w:r>
        <w:rPr>
          <w:color w:val="0000FF"/>
          <w:sz w:val="20"/>
          <w:u w:val="single" w:color="0000FF"/>
        </w:rPr>
        <w:t>or</w:t>
      </w:r>
      <w:r>
        <w:rPr>
          <w:color w:val="0000FF"/>
          <w:spacing w:val="-3"/>
          <w:sz w:val="20"/>
          <w:u w:val="single" w:color="0000FF"/>
        </w:rPr>
        <w:t xml:space="preserve"> </w:t>
      </w:r>
      <w:r>
        <w:rPr>
          <w:color w:val="0000FF"/>
          <w:sz w:val="20"/>
          <w:u w:val="single" w:color="0000FF"/>
        </w:rPr>
        <w:t>Rule</w:t>
      </w:r>
      <w:r>
        <w:rPr>
          <w:color w:val="0000FF"/>
          <w:spacing w:val="-4"/>
          <w:sz w:val="20"/>
          <w:u w:val="single" w:color="0000FF"/>
        </w:rPr>
        <w:t xml:space="preserve"> </w:t>
      </w:r>
      <w:r>
        <w:rPr>
          <w:color w:val="0000FF"/>
          <w:sz w:val="20"/>
          <w:u w:val="single" w:color="0000FF"/>
        </w:rPr>
        <w:t>15d-14(a),</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Adopted Pursuant to Section 302 o</w:t>
      </w:r>
      <w:r>
        <w:rPr>
          <w:color w:val="0000FF"/>
          <w:sz w:val="20"/>
          <w:u w:val="single" w:color="0000FF"/>
        </w:rPr>
        <w:t>f the Sarbanes-Oxley Act of</w:t>
      </w:r>
      <w:r>
        <w:rPr>
          <w:color w:val="0000FF"/>
          <w:spacing w:val="-6"/>
          <w:sz w:val="20"/>
          <w:u w:val="single" w:color="0000FF"/>
        </w:rPr>
        <w:t xml:space="preserve"> </w:t>
      </w:r>
      <w:r>
        <w:rPr>
          <w:color w:val="0000FF"/>
          <w:sz w:val="20"/>
          <w:u w:val="single" w:color="0000FF"/>
        </w:rPr>
        <w:t>2002.</w:t>
      </w:r>
    </w:p>
    <w:p w14:paraId="7326D3DD" w14:textId="77777777" w:rsidR="00EF3DFB" w:rsidRDefault="00D27C17">
      <w:pPr>
        <w:pStyle w:val="ListParagraph"/>
        <w:numPr>
          <w:ilvl w:val="1"/>
          <w:numId w:val="11"/>
        </w:numPr>
        <w:tabs>
          <w:tab w:val="left" w:pos="594"/>
          <w:tab w:val="left" w:pos="2207"/>
        </w:tabs>
        <w:spacing w:before="163" w:line="290" w:lineRule="auto"/>
        <w:ind w:right="934" w:hanging="1965"/>
        <w:rPr>
          <w:sz w:val="20"/>
        </w:rPr>
      </w:pPr>
      <w:r>
        <w:rPr>
          <w:sz w:val="20"/>
        </w:rPr>
        <w:t>†</w:t>
      </w:r>
      <w:r>
        <w:rPr>
          <w:sz w:val="20"/>
        </w:rPr>
        <w:tab/>
      </w:r>
      <w:r>
        <w:rPr>
          <w:color w:val="0000FF"/>
          <w:sz w:val="20"/>
          <w:u w:val="single" w:color="0000FF"/>
        </w:rPr>
        <w:t>Certification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Financial</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Rule</w:t>
      </w:r>
      <w:r>
        <w:rPr>
          <w:color w:val="0000FF"/>
          <w:spacing w:val="-4"/>
          <w:sz w:val="20"/>
          <w:u w:val="single" w:color="0000FF"/>
        </w:rPr>
        <w:t xml:space="preserve"> </w:t>
      </w:r>
      <w:r>
        <w:rPr>
          <w:color w:val="0000FF"/>
          <w:sz w:val="20"/>
          <w:u w:val="single" w:color="0000FF"/>
        </w:rPr>
        <w:t>12a-14(a)</w:t>
      </w:r>
      <w:r>
        <w:rPr>
          <w:color w:val="0000FF"/>
          <w:spacing w:val="-3"/>
          <w:sz w:val="20"/>
          <w:u w:val="single" w:color="0000FF"/>
        </w:rPr>
        <w:t xml:space="preserve"> </w:t>
      </w:r>
      <w:r>
        <w:rPr>
          <w:color w:val="0000FF"/>
          <w:sz w:val="20"/>
          <w:u w:val="single" w:color="0000FF"/>
        </w:rPr>
        <w:t>or</w:t>
      </w:r>
      <w:r>
        <w:rPr>
          <w:color w:val="0000FF"/>
          <w:spacing w:val="-3"/>
          <w:sz w:val="20"/>
          <w:u w:val="single" w:color="0000FF"/>
        </w:rPr>
        <w:t xml:space="preserve"> </w:t>
      </w:r>
      <w:r>
        <w:rPr>
          <w:color w:val="0000FF"/>
          <w:sz w:val="20"/>
          <w:u w:val="single" w:color="0000FF"/>
        </w:rPr>
        <w:t>Rule</w:t>
      </w:r>
      <w:r>
        <w:rPr>
          <w:color w:val="0000FF"/>
          <w:spacing w:val="-4"/>
          <w:sz w:val="20"/>
          <w:u w:val="single" w:color="0000FF"/>
        </w:rPr>
        <w:t xml:space="preserve"> </w:t>
      </w:r>
      <w:r>
        <w:rPr>
          <w:color w:val="0000FF"/>
          <w:sz w:val="20"/>
          <w:u w:val="single" w:color="0000FF"/>
        </w:rPr>
        <w:t>15d-14(a),</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Adopted Pursuant to Section 302 of the Sarbanes-Oxley Act of</w:t>
      </w:r>
      <w:r>
        <w:rPr>
          <w:color w:val="0000FF"/>
          <w:spacing w:val="-6"/>
          <w:sz w:val="20"/>
          <w:u w:val="single" w:color="0000FF"/>
        </w:rPr>
        <w:t xml:space="preserve"> </w:t>
      </w:r>
      <w:r>
        <w:rPr>
          <w:color w:val="0000FF"/>
          <w:sz w:val="20"/>
          <w:u w:val="single" w:color="0000FF"/>
        </w:rPr>
        <w:t>2002.</w:t>
      </w:r>
    </w:p>
    <w:p w14:paraId="7326D3DE" w14:textId="77777777" w:rsidR="00EF3DFB" w:rsidRDefault="00D27C17">
      <w:pPr>
        <w:pStyle w:val="BodyText"/>
        <w:spacing w:before="89"/>
        <w:ind w:left="242"/>
      </w:pPr>
      <w:r>
        <w:t>ITEM 32 — SECTION 1350 CERTIFICATIONS</w:t>
      </w:r>
    </w:p>
    <w:p w14:paraId="7326D3DF" w14:textId="77777777" w:rsidR="00EF3DFB" w:rsidRDefault="00D27C17">
      <w:pPr>
        <w:pStyle w:val="ListParagraph"/>
        <w:numPr>
          <w:ilvl w:val="1"/>
          <w:numId w:val="10"/>
        </w:numPr>
        <w:tabs>
          <w:tab w:val="left" w:pos="594"/>
          <w:tab w:val="left" w:pos="2207"/>
        </w:tabs>
        <w:spacing w:before="175" w:line="290" w:lineRule="auto"/>
        <w:ind w:right="722" w:hanging="1965"/>
        <w:rPr>
          <w:sz w:val="20"/>
        </w:rPr>
      </w:pPr>
      <w:r>
        <w:rPr>
          <w:sz w:val="20"/>
        </w:rPr>
        <w:t>†</w:t>
      </w:r>
      <w:r>
        <w:rPr>
          <w:sz w:val="20"/>
        </w:rPr>
        <w:tab/>
      </w:r>
      <w:r>
        <w:rPr>
          <w:color w:val="0000FF"/>
          <w:sz w:val="20"/>
          <w:u w:val="single" w:color="0000FF"/>
        </w:rPr>
        <w:t>Certification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Executive</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18</w:t>
      </w:r>
      <w:r>
        <w:rPr>
          <w:color w:val="0000FF"/>
          <w:spacing w:val="-3"/>
          <w:sz w:val="20"/>
          <w:u w:val="single" w:color="0000FF"/>
        </w:rPr>
        <w:t xml:space="preserve"> </w:t>
      </w:r>
      <w:r>
        <w:rPr>
          <w:color w:val="0000FF"/>
          <w:sz w:val="20"/>
          <w:u w:val="single" w:color="0000FF"/>
        </w:rPr>
        <w:t>U.S.C.</w:t>
      </w:r>
      <w:r>
        <w:rPr>
          <w:color w:val="0000FF"/>
          <w:spacing w:val="-3"/>
          <w:sz w:val="20"/>
          <w:u w:val="single" w:color="0000FF"/>
        </w:rPr>
        <w:t xml:space="preserve"> </w:t>
      </w:r>
      <w:r>
        <w:rPr>
          <w:color w:val="0000FF"/>
          <w:sz w:val="20"/>
          <w:u w:val="single" w:color="0000FF"/>
        </w:rPr>
        <w:t>Section</w:t>
      </w:r>
      <w:r>
        <w:rPr>
          <w:color w:val="0000FF"/>
          <w:spacing w:val="-3"/>
          <w:sz w:val="20"/>
          <w:u w:val="single" w:color="0000FF"/>
        </w:rPr>
        <w:t xml:space="preserve"> </w:t>
      </w:r>
      <w:r>
        <w:rPr>
          <w:color w:val="0000FF"/>
          <w:sz w:val="20"/>
          <w:u w:val="single" w:color="0000FF"/>
        </w:rPr>
        <w:t>1350,</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Adopted</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 Section 906 of the Sarbanes-Oxley Act of</w:t>
      </w:r>
      <w:r>
        <w:rPr>
          <w:color w:val="0000FF"/>
          <w:spacing w:val="-4"/>
          <w:sz w:val="20"/>
          <w:u w:val="single" w:color="0000FF"/>
        </w:rPr>
        <w:t xml:space="preserve"> </w:t>
      </w:r>
      <w:r>
        <w:rPr>
          <w:color w:val="0000FF"/>
          <w:sz w:val="20"/>
          <w:u w:val="single" w:color="0000FF"/>
        </w:rPr>
        <w:t>2002.</w:t>
      </w:r>
    </w:p>
    <w:p w14:paraId="7326D3E0" w14:textId="77777777" w:rsidR="00EF3DFB" w:rsidRDefault="00D27C17">
      <w:pPr>
        <w:pStyle w:val="ListParagraph"/>
        <w:numPr>
          <w:ilvl w:val="1"/>
          <w:numId w:val="10"/>
        </w:numPr>
        <w:tabs>
          <w:tab w:val="left" w:pos="594"/>
          <w:tab w:val="left" w:pos="2207"/>
        </w:tabs>
        <w:spacing w:before="58" w:line="290" w:lineRule="auto"/>
        <w:ind w:right="779" w:hanging="1965"/>
        <w:rPr>
          <w:sz w:val="20"/>
        </w:rPr>
      </w:pPr>
      <w:r>
        <w:rPr>
          <w:sz w:val="20"/>
        </w:rPr>
        <w:t>†</w:t>
      </w:r>
      <w:r>
        <w:rPr>
          <w:sz w:val="20"/>
        </w:rPr>
        <w:tab/>
      </w:r>
      <w:r>
        <w:rPr>
          <w:color w:val="0000FF"/>
          <w:sz w:val="20"/>
          <w:u w:val="single" w:color="0000FF"/>
        </w:rPr>
        <w:t>Certification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Chief</w:t>
      </w:r>
      <w:r>
        <w:rPr>
          <w:color w:val="0000FF"/>
          <w:spacing w:val="-3"/>
          <w:sz w:val="20"/>
          <w:u w:val="single" w:color="0000FF"/>
        </w:rPr>
        <w:t xml:space="preserve"> </w:t>
      </w:r>
      <w:r>
        <w:rPr>
          <w:color w:val="0000FF"/>
          <w:sz w:val="20"/>
          <w:u w:val="single" w:color="0000FF"/>
        </w:rPr>
        <w:t>Financial</w:t>
      </w:r>
      <w:r>
        <w:rPr>
          <w:color w:val="0000FF"/>
          <w:spacing w:val="-4"/>
          <w:sz w:val="20"/>
          <w:u w:val="single" w:color="0000FF"/>
        </w:rPr>
        <w:t xml:space="preserve"> </w:t>
      </w:r>
      <w:r>
        <w:rPr>
          <w:color w:val="0000FF"/>
          <w:sz w:val="20"/>
          <w:u w:val="single" w:color="0000FF"/>
        </w:rPr>
        <w:t>Officer</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18</w:t>
      </w:r>
      <w:r>
        <w:rPr>
          <w:color w:val="0000FF"/>
          <w:spacing w:val="-3"/>
          <w:sz w:val="20"/>
          <w:u w:val="single" w:color="0000FF"/>
        </w:rPr>
        <w:t xml:space="preserve"> </w:t>
      </w:r>
      <w:r>
        <w:rPr>
          <w:color w:val="0000FF"/>
          <w:sz w:val="20"/>
          <w:u w:val="single" w:color="0000FF"/>
        </w:rPr>
        <w:t>U.S.C.</w:t>
      </w:r>
      <w:r>
        <w:rPr>
          <w:color w:val="0000FF"/>
          <w:spacing w:val="-3"/>
          <w:sz w:val="20"/>
          <w:u w:val="single" w:color="0000FF"/>
        </w:rPr>
        <w:t xml:space="preserve"> </w:t>
      </w:r>
      <w:r>
        <w:rPr>
          <w:color w:val="0000FF"/>
          <w:sz w:val="20"/>
          <w:u w:val="single" w:color="0000FF"/>
        </w:rPr>
        <w:t>Section</w:t>
      </w:r>
      <w:r>
        <w:rPr>
          <w:color w:val="0000FF"/>
          <w:spacing w:val="-3"/>
          <w:sz w:val="20"/>
          <w:u w:val="single" w:color="0000FF"/>
        </w:rPr>
        <w:t xml:space="preserve"> </w:t>
      </w:r>
      <w:r>
        <w:rPr>
          <w:color w:val="0000FF"/>
          <w:sz w:val="20"/>
          <w:u w:val="single" w:color="0000FF"/>
        </w:rPr>
        <w:t>1350,</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Adopted</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 Section 906 of the Sarbanes-Oxley Act of</w:t>
      </w:r>
      <w:r>
        <w:rPr>
          <w:color w:val="0000FF"/>
          <w:spacing w:val="-4"/>
          <w:sz w:val="20"/>
          <w:u w:val="single" w:color="0000FF"/>
        </w:rPr>
        <w:t xml:space="preserve"> </w:t>
      </w:r>
      <w:r>
        <w:rPr>
          <w:color w:val="0000FF"/>
          <w:sz w:val="20"/>
          <w:u w:val="single" w:color="0000FF"/>
        </w:rPr>
        <w:t>2002.</w:t>
      </w:r>
    </w:p>
    <w:p w14:paraId="7326D3E1" w14:textId="77777777" w:rsidR="00EF3DFB" w:rsidRDefault="00EF3DFB">
      <w:pPr>
        <w:pStyle w:val="BodyText"/>
        <w:spacing w:before="2"/>
        <w:rPr>
          <w:sz w:val="10"/>
        </w:rPr>
      </w:pPr>
    </w:p>
    <w:p w14:paraId="7326D3E2" w14:textId="77777777" w:rsidR="00EF3DFB" w:rsidRDefault="00D27C17">
      <w:pPr>
        <w:pStyle w:val="BodyText"/>
        <w:spacing w:before="92"/>
        <w:ind w:left="242"/>
      </w:pPr>
      <w:r>
        <w:t>ITEM 101 — INTERACTIVE DATA FILE</w:t>
      </w:r>
    </w:p>
    <w:p w14:paraId="7326D3E3" w14:textId="77777777" w:rsidR="00EF3DFB" w:rsidRDefault="00D27C17">
      <w:pPr>
        <w:pStyle w:val="BodyText"/>
        <w:tabs>
          <w:tab w:val="left" w:pos="2207"/>
        </w:tabs>
        <w:spacing w:before="190"/>
        <w:ind w:left="242"/>
      </w:pPr>
      <w:r>
        <w:t>101.INS</w:t>
      </w:r>
      <w:r>
        <w:tab/>
        <w:t>Inline XBRL Instance</w:t>
      </w:r>
      <w:r>
        <w:rPr>
          <w:spacing w:val="-4"/>
        </w:rPr>
        <w:t xml:space="preserve"> </w:t>
      </w:r>
      <w:r>
        <w:t>Document</w:t>
      </w:r>
    </w:p>
    <w:p w14:paraId="7326D3E4" w14:textId="77777777" w:rsidR="00EF3DFB" w:rsidRDefault="00D27C17">
      <w:pPr>
        <w:pStyle w:val="BodyText"/>
        <w:tabs>
          <w:tab w:val="left" w:pos="2207"/>
        </w:tabs>
        <w:spacing w:before="115"/>
        <w:ind w:left="242"/>
      </w:pPr>
      <w:r>
        <w:t>101.SCH</w:t>
      </w:r>
      <w:r>
        <w:tab/>
        <w:t>Inline XBRL Taxonomy Extension Schema</w:t>
      </w:r>
      <w:r>
        <w:rPr>
          <w:spacing w:val="-5"/>
        </w:rPr>
        <w:t xml:space="preserve"> </w:t>
      </w:r>
      <w:r>
        <w:t>Document</w:t>
      </w:r>
    </w:p>
    <w:p w14:paraId="7326D3E5" w14:textId="77777777" w:rsidR="00EF3DFB" w:rsidRDefault="00D27C17">
      <w:pPr>
        <w:pStyle w:val="BodyText"/>
        <w:tabs>
          <w:tab w:val="left" w:pos="2207"/>
        </w:tabs>
        <w:spacing w:before="145"/>
        <w:ind w:left="242"/>
      </w:pPr>
      <w:r>
        <w:t>101.CAL</w:t>
      </w:r>
      <w:r>
        <w:tab/>
        <w:t>Inline XBRL Taxonomy Extension</w:t>
      </w:r>
      <w:r>
        <w:t xml:space="preserve"> Calculation Linkbase</w:t>
      </w:r>
      <w:r>
        <w:rPr>
          <w:spacing w:val="-6"/>
        </w:rPr>
        <w:t xml:space="preserve"> </w:t>
      </w:r>
      <w:r>
        <w:t>Document</w:t>
      </w:r>
    </w:p>
    <w:p w14:paraId="7326D3E6" w14:textId="77777777" w:rsidR="00EF3DFB" w:rsidRDefault="00EF3DFB">
      <w:pPr>
        <w:pStyle w:val="BodyText"/>
        <w:rPr>
          <w:sz w:val="22"/>
        </w:rPr>
      </w:pPr>
    </w:p>
    <w:p w14:paraId="7326D3E7" w14:textId="77777777" w:rsidR="00EF3DFB" w:rsidRDefault="00EF3DFB">
      <w:pPr>
        <w:pStyle w:val="BodyText"/>
        <w:rPr>
          <w:sz w:val="18"/>
        </w:rPr>
      </w:pPr>
    </w:p>
    <w:p w14:paraId="7326D3E8" w14:textId="77777777" w:rsidR="00EF3DFB" w:rsidRDefault="00D27C17">
      <w:pPr>
        <w:pStyle w:val="BodyText"/>
        <w:tabs>
          <w:tab w:val="left" w:pos="2207"/>
        </w:tabs>
        <w:spacing w:line="408" w:lineRule="auto"/>
        <w:ind w:left="242" w:right="3786"/>
      </w:pPr>
      <w:r>
        <w:t>101.DEF</w:t>
      </w:r>
      <w:r>
        <w:tab/>
        <w:t>Inline XBRL Taxonomy Definition Linkbase Document 101.LAB</w:t>
      </w:r>
      <w:r>
        <w:tab/>
        <w:t>Inline XBRL Taxonomy Extension Label Linkbase</w:t>
      </w:r>
      <w:r>
        <w:rPr>
          <w:spacing w:val="-26"/>
        </w:rPr>
        <w:t xml:space="preserve"> </w:t>
      </w:r>
      <w:r>
        <w:t>Document</w:t>
      </w:r>
    </w:p>
    <w:p w14:paraId="7326D3E9" w14:textId="77777777" w:rsidR="00EF3DFB" w:rsidRDefault="00D27C17">
      <w:pPr>
        <w:pStyle w:val="BodyText"/>
        <w:tabs>
          <w:tab w:val="left" w:pos="2207"/>
        </w:tabs>
        <w:spacing w:line="198" w:lineRule="exact"/>
        <w:ind w:left="242"/>
      </w:pPr>
      <w:r>
        <w:t>101.PRE</w:t>
      </w:r>
      <w:r>
        <w:tab/>
      </w:r>
      <w:r>
        <w:t>Inline XBRL Taxonomy Extension Presentation Linkbase</w:t>
      </w:r>
      <w:r>
        <w:rPr>
          <w:spacing w:val="-6"/>
        </w:rPr>
        <w:t xml:space="preserve"> </w:t>
      </w:r>
      <w:r>
        <w:t>Document</w:t>
      </w:r>
    </w:p>
    <w:p w14:paraId="7326D3EA" w14:textId="77777777" w:rsidR="00EF3DFB" w:rsidRDefault="00D27C17">
      <w:pPr>
        <w:pStyle w:val="BodyText"/>
        <w:tabs>
          <w:tab w:val="left" w:pos="2207"/>
        </w:tabs>
        <w:spacing w:before="130"/>
        <w:ind w:left="242"/>
      </w:pPr>
      <w:r>
        <w:t>104</w:t>
      </w:r>
      <w:r>
        <w:tab/>
        <w:t>Cover Page Interactive Data File (formatted as inline XBRL and contained in Exhibit</w:t>
      </w:r>
      <w:r>
        <w:rPr>
          <w:spacing w:val="-19"/>
        </w:rPr>
        <w:t xml:space="preserve"> </w:t>
      </w:r>
      <w:r>
        <w:t>101)</w:t>
      </w:r>
    </w:p>
    <w:p w14:paraId="7326D3EB" w14:textId="77777777" w:rsidR="00EF3DFB" w:rsidRDefault="00EF3DFB">
      <w:pPr>
        <w:pStyle w:val="BodyText"/>
        <w:rPr>
          <w:sz w:val="22"/>
        </w:rPr>
      </w:pPr>
    </w:p>
    <w:p w14:paraId="7326D3EC" w14:textId="77777777" w:rsidR="00EF3DFB" w:rsidRDefault="00EF3DFB">
      <w:pPr>
        <w:pStyle w:val="BodyText"/>
        <w:rPr>
          <w:sz w:val="28"/>
        </w:rPr>
      </w:pPr>
    </w:p>
    <w:p w14:paraId="7326D3ED" w14:textId="77777777" w:rsidR="00EF3DFB" w:rsidRDefault="00D27C17">
      <w:pPr>
        <w:pStyle w:val="BodyText"/>
        <w:tabs>
          <w:tab w:val="left" w:pos="602"/>
        </w:tabs>
        <w:ind w:left="242"/>
      </w:pPr>
      <w:r>
        <w:t>†</w:t>
      </w:r>
      <w:r>
        <w:tab/>
        <w:t>Filed</w:t>
      </w:r>
      <w:r>
        <w:rPr>
          <w:spacing w:val="-1"/>
        </w:rPr>
        <w:t xml:space="preserve"> </w:t>
      </w:r>
      <w:r>
        <w:t>herewith</w:t>
      </w:r>
    </w:p>
    <w:p w14:paraId="7326D3EE" w14:textId="77777777" w:rsidR="00EF3DFB" w:rsidRDefault="00D27C17">
      <w:pPr>
        <w:pStyle w:val="BodyText"/>
        <w:tabs>
          <w:tab w:val="left" w:pos="602"/>
        </w:tabs>
        <w:spacing w:before="106"/>
        <w:ind w:left="242"/>
      </w:pPr>
      <w:r>
        <w:t>*</w:t>
      </w:r>
      <w:r>
        <w:tab/>
        <w:t>Represents management contracts and compensatory plans and</w:t>
      </w:r>
      <w:r>
        <w:rPr>
          <w:spacing w:val="-7"/>
        </w:rPr>
        <w:t xml:space="preserve"> </w:t>
      </w:r>
      <w:r>
        <w:t>arrangements.</w:t>
      </w:r>
    </w:p>
    <w:p w14:paraId="7326D3EF" w14:textId="77777777" w:rsidR="00EF3DFB" w:rsidRDefault="00EF3DFB">
      <w:pPr>
        <w:pStyle w:val="BodyText"/>
        <w:rPr>
          <w:sz w:val="22"/>
        </w:rPr>
      </w:pPr>
    </w:p>
    <w:p w14:paraId="7326D3F0" w14:textId="77777777" w:rsidR="00EF3DFB" w:rsidRDefault="00EF3DFB">
      <w:pPr>
        <w:pStyle w:val="BodyText"/>
        <w:rPr>
          <w:sz w:val="22"/>
        </w:rPr>
      </w:pPr>
    </w:p>
    <w:p w14:paraId="7326D3F1" w14:textId="77777777" w:rsidR="00EF3DFB" w:rsidRDefault="00EF3DFB">
      <w:pPr>
        <w:pStyle w:val="BodyText"/>
        <w:rPr>
          <w:sz w:val="22"/>
        </w:rPr>
      </w:pPr>
    </w:p>
    <w:p w14:paraId="7326D3F2" w14:textId="77777777" w:rsidR="00EF3DFB" w:rsidRDefault="00EF3DFB">
      <w:pPr>
        <w:pStyle w:val="BodyText"/>
        <w:spacing w:before="3"/>
        <w:rPr>
          <w:sz w:val="24"/>
        </w:rPr>
      </w:pPr>
    </w:p>
    <w:p w14:paraId="7326D3F3" w14:textId="77777777" w:rsidR="00EF3DFB" w:rsidRDefault="00D27C17">
      <w:pPr>
        <w:pStyle w:val="Heading2"/>
        <w:jc w:val="left"/>
      </w:pPr>
      <w:bookmarkStart w:id="89" w:name="Item_16._Form_10-K_Summary"/>
      <w:bookmarkStart w:id="90" w:name="_bookmark25"/>
      <w:bookmarkEnd w:id="89"/>
      <w:bookmarkEnd w:id="90"/>
      <w:r>
        <w:t>ITEM 16. FORM 10-K SUMMARY</w:t>
      </w:r>
    </w:p>
    <w:p w14:paraId="7326D3F4" w14:textId="77777777" w:rsidR="00EF3DFB" w:rsidRDefault="00D27C17">
      <w:pPr>
        <w:pStyle w:val="BodyText"/>
        <w:spacing w:before="133"/>
        <w:ind w:left="190"/>
      </w:pPr>
      <w:r>
        <w:t>None</w:t>
      </w:r>
    </w:p>
    <w:p w14:paraId="7326D3F5" w14:textId="77777777" w:rsidR="00EF3DFB" w:rsidRDefault="00EF3DFB">
      <w:pPr>
        <w:sectPr w:rsidR="00EF3DFB">
          <w:pgSz w:w="12240" w:h="15840"/>
          <w:pgMar w:top="760" w:right="640" w:bottom="480" w:left="620" w:header="0" w:footer="291" w:gutter="0"/>
          <w:cols w:space="720"/>
        </w:sectPr>
      </w:pPr>
    </w:p>
    <w:p w14:paraId="7326D3F6" w14:textId="77777777" w:rsidR="00EF3DFB" w:rsidRDefault="00D27C17">
      <w:pPr>
        <w:pStyle w:val="Heading2"/>
        <w:spacing w:before="63"/>
        <w:ind w:left="4850"/>
        <w:jc w:val="left"/>
      </w:pPr>
      <w:bookmarkStart w:id="91" w:name="Signatures"/>
      <w:bookmarkStart w:id="92" w:name="_bookmark26"/>
      <w:bookmarkEnd w:id="91"/>
      <w:bookmarkEnd w:id="92"/>
      <w:r>
        <w:lastRenderedPageBreak/>
        <w:t>SIGNATURES</w:t>
      </w:r>
    </w:p>
    <w:p w14:paraId="7326D3F7" w14:textId="77777777" w:rsidR="00EF3DFB" w:rsidRDefault="00EF3DFB">
      <w:pPr>
        <w:pStyle w:val="BodyText"/>
        <w:rPr>
          <w:b/>
          <w:sz w:val="22"/>
        </w:rPr>
      </w:pPr>
    </w:p>
    <w:p w14:paraId="7326D3F8" w14:textId="77777777" w:rsidR="00EF3DFB" w:rsidRDefault="00D27C17">
      <w:pPr>
        <w:pStyle w:val="BodyText"/>
        <w:spacing w:before="1" w:line="249" w:lineRule="auto"/>
        <w:ind w:left="370" w:right="333" w:firstLine="720"/>
      </w:pPr>
      <w:r>
        <w:t>Pursuant to the requirements of Section 13 or 15(d) of the Securities Exchange Act of 1934, the Registrant has duly caused this report to be signed on its behalf by the undersigned, thereunto duly a</w:t>
      </w:r>
      <w:r>
        <w:t>uthorized.</w:t>
      </w:r>
    </w:p>
    <w:p w14:paraId="7326D3F9" w14:textId="77777777" w:rsidR="00EF3DFB" w:rsidRDefault="00D27C17">
      <w:pPr>
        <w:pStyle w:val="BodyText"/>
        <w:spacing w:before="170" w:line="215" w:lineRule="exact"/>
        <w:ind w:left="422"/>
      </w:pPr>
      <w:r>
        <w:t>NEWELL BRANDS INC.</w:t>
      </w:r>
    </w:p>
    <w:p w14:paraId="7326D3FA" w14:textId="77777777" w:rsidR="00EF3DFB" w:rsidRDefault="00D27C17">
      <w:pPr>
        <w:pStyle w:val="BodyText"/>
        <w:spacing w:line="215" w:lineRule="exact"/>
        <w:ind w:left="422"/>
      </w:pPr>
      <w:r>
        <w:t>Registrant</w:t>
      </w:r>
    </w:p>
    <w:p w14:paraId="7326D3FB" w14:textId="408D85EB" w:rsidR="00EF3DFB" w:rsidRDefault="00D27C17">
      <w:pPr>
        <w:pStyle w:val="BodyText"/>
        <w:tabs>
          <w:tab w:val="left" w:pos="992"/>
        </w:tabs>
        <w:spacing w:before="130" w:line="297" w:lineRule="auto"/>
        <w:ind w:left="992" w:right="7820" w:hanging="570"/>
      </w:pPr>
      <w:r>
        <w:rPr>
          <w:noProof/>
        </w:rPr>
        <mc:AlternateContent>
          <mc:Choice Requires="wpg">
            <w:drawing>
              <wp:anchor distT="0" distB="0" distL="114300" distR="114300" simplePos="0" relativeHeight="502908872" behindDoc="1" locked="0" layoutInCell="1" allowOverlap="1" wp14:anchorId="7326D7AB" wp14:editId="23E5C399">
                <wp:simplePos x="0" y="0"/>
                <wp:positionH relativeFrom="page">
                  <wp:posOffset>942975</wp:posOffset>
                </wp:positionH>
                <wp:positionV relativeFrom="paragraph">
                  <wp:posOffset>241300</wp:posOffset>
                </wp:positionV>
                <wp:extent cx="3400425" cy="12700"/>
                <wp:effectExtent l="9525" t="8890" r="9525" b="6985"/>
                <wp:wrapNone/>
                <wp:docPr id="1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12700"/>
                          <a:chOff x="1485" y="380"/>
                          <a:chExt cx="5355" cy="20"/>
                        </a:xfrm>
                      </wpg:grpSpPr>
                      <wps:wsp>
                        <wps:cNvPr id="125" name="Line 109"/>
                        <wps:cNvCnPr>
                          <a:cxnSpLocks noChangeShapeType="1"/>
                        </wps:cNvCnPr>
                        <wps:spPr bwMode="auto">
                          <a:xfrm>
                            <a:off x="1485" y="390"/>
                            <a:ext cx="53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08"/>
                        <wps:cNvCnPr>
                          <a:cxnSpLocks noChangeShapeType="1"/>
                        </wps:cNvCnPr>
                        <wps:spPr bwMode="auto">
                          <a:xfrm>
                            <a:off x="1485" y="390"/>
                            <a:ext cx="53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BD7AB" id="Group 107" o:spid="_x0000_s1026" style="position:absolute;margin-left:74.25pt;margin-top:19pt;width:267.75pt;height:1pt;z-index:-407608;mso-position-horizontal-relative:page" coordorigin="1485,380" coordsize="53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">
                <v:line id="Line 109" o:spid="_x0000_s1027" style="position:absolute;visibility:visible;mso-wrap-style:square" from="1485,390" to="684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line id="Line 108" o:spid="_x0000_s1028" style="position:absolute;visibility:visible;mso-wrap-style:square" from="1485,390" to="684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" strokeweight="1pt"/>
                <w10:wrap anchorx="page"/>
              </v:group>
            </w:pict>
          </mc:Fallback>
        </mc:AlternateContent>
      </w:r>
      <w:r>
        <w:t>By</w:t>
      </w:r>
      <w:r>
        <w:tab/>
        <w:t>/s/ Christopher H.</w:t>
      </w:r>
      <w:r>
        <w:rPr>
          <w:spacing w:val="-13"/>
        </w:rPr>
        <w:t xml:space="preserve"> </w:t>
      </w:r>
      <w:r>
        <w:t>Peterson Christopher H.</w:t>
      </w:r>
      <w:r>
        <w:rPr>
          <w:spacing w:val="-4"/>
        </w:rPr>
        <w:t xml:space="preserve"> </w:t>
      </w:r>
      <w:r>
        <w:t>Peterson</w:t>
      </w:r>
    </w:p>
    <w:p w14:paraId="7326D3FC" w14:textId="77777777" w:rsidR="00EF3DFB" w:rsidRDefault="00D27C17">
      <w:pPr>
        <w:pStyle w:val="BodyText"/>
        <w:spacing w:before="3" w:line="208" w:lineRule="auto"/>
        <w:ind w:left="992" w:right="4757" w:hanging="570"/>
      </w:pPr>
      <w:r>
        <w:t>Title Chief Financial Officer &amp; President, Business Operations (Principal Financial Officer and Principal Accounting Officer)</w:t>
      </w:r>
    </w:p>
    <w:p w14:paraId="7326D3FD" w14:textId="77777777" w:rsidR="00EF3DFB" w:rsidRDefault="00D27C17">
      <w:pPr>
        <w:pStyle w:val="BodyText"/>
        <w:spacing w:before="61"/>
        <w:ind w:left="422"/>
      </w:pPr>
      <w:r>
        <w:t>Date February 18, 2021</w:t>
      </w:r>
    </w:p>
    <w:p w14:paraId="7326D3FE" w14:textId="77777777" w:rsidR="00EF3DFB" w:rsidRDefault="00EF3DFB">
      <w:pPr>
        <w:pStyle w:val="BodyText"/>
      </w:pPr>
    </w:p>
    <w:p w14:paraId="7326D3FF" w14:textId="77777777" w:rsidR="00EF3DFB" w:rsidRDefault="00D27C17">
      <w:pPr>
        <w:pStyle w:val="BodyText"/>
        <w:spacing w:before="92" w:line="249" w:lineRule="auto"/>
        <w:ind w:left="370" w:right="858" w:firstLine="720"/>
      </w:pPr>
      <w:r>
        <w:t>Pursuant to the requirements of the Securities Exchange Act of 1934, this report  has  been  signed  below</w:t>
      </w:r>
      <w:r>
        <w:t xml:space="preserve">  on  February 18, 2021, by the following persons on behalf of the Registrant and in the capacities</w:t>
      </w:r>
      <w:r>
        <w:rPr>
          <w:spacing w:val="-17"/>
        </w:rPr>
        <w:t xml:space="preserve"> </w:t>
      </w:r>
      <w:r>
        <w:t>indicated.</w:t>
      </w:r>
    </w:p>
    <w:p w14:paraId="7326D400" w14:textId="77777777" w:rsidR="00EF3DFB" w:rsidRDefault="00EF3DFB">
      <w:pPr>
        <w:spacing w:line="249" w:lineRule="auto"/>
        <w:sectPr w:rsidR="00EF3DFB">
          <w:pgSz w:w="12240" w:h="15840"/>
          <w:pgMar w:top="740" w:right="640" w:bottom="480" w:left="620" w:header="0" w:footer="291" w:gutter="0"/>
          <w:cols w:space="720"/>
        </w:sectPr>
      </w:pPr>
    </w:p>
    <w:p w14:paraId="7326D401" w14:textId="77777777" w:rsidR="00EF3DFB" w:rsidRDefault="00EF3DFB">
      <w:pPr>
        <w:pStyle w:val="BodyText"/>
        <w:rPr>
          <w:sz w:val="22"/>
        </w:rPr>
      </w:pPr>
    </w:p>
    <w:p w14:paraId="7326D402" w14:textId="77777777" w:rsidR="00EF3DFB" w:rsidRDefault="00EF3DFB">
      <w:pPr>
        <w:pStyle w:val="BodyText"/>
        <w:rPr>
          <w:sz w:val="22"/>
        </w:rPr>
      </w:pPr>
    </w:p>
    <w:p w14:paraId="7326D403" w14:textId="77777777" w:rsidR="00EF3DFB" w:rsidRDefault="00D27C17">
      <w:pPr>
        <w:pStyle w:val="BodyText"/>
        <w:spacing w:before="179" w:line="266" w:lineRule="auto"/>
        <w:ind w:left="422" w:right="-8"/>
      </w:pPr>
      <w:r>
        <w:t>/s/ Ravichandra K.</w:t>
      </w:r>
      <w:r>
        <w:rPr>
          <w:spacing w:val="-14"/>
        </w:rPr>
        <w:t xml:space="preserve"> </w:t>
      </w:r>
      <w:r>
        <w:t>Saligram Ravichandra K.</w:t>
      </w:r>
      <w:r>
        <w:rPr>
          <w:spacing w:val="-5"/>
        </w:rPr>
        <w:t xml:space="preserve"> </w:t>
      </w:r>
      <w:r>
        <w:t>Saligram</w:t>
      </w:r>
    </w:p>
    <w:p w14:paraId="7326D404" w14:textId="77777777" w:rsidR="00EF3DFB" w:rsidRDefault="00EF3DFB">
      <w:pPr>
        <w:pStyle w:val="BodyText"/>
        <w:rPr>
          <w:sz w:val="22"/>
        </w:rPr>
      </w:pPr>
    </w:p>
    <w:p w14:paraId="7326D405" w14:textId="77777777" w:rsidR="00EF3DFB" w:rsidRDefault="00EF3DFB">
      <w:pPr>
        <w:pStyle w:val="BodyText"/>
        <w:rPr>
          <w:sz w:val="21"/>
        </w:rPr>
      </w:pPr>
    </w:p>
    <w:p w14:paraId="7326D406" w14:textId="4A3E3A81" w:rsidR="00EF3DFB" w:rsidRDefault="00D27C17">
      <w:pPr>
        <w:pStyle w:val="BodyText"/>
        <w:spacing w:line="312" w:lineRule="auto"/>
        <w:ind w:left="422" w:right="78"/>
      </w:pPr>
      <w:r>
        <w:rPr>
          <w:noProof/>
        </w:rPr>
        <mc:AlternateContent>
          <mc:Choice Requires="wpg">
            <w:drawing>
              <wp:anchor distT="0" distB="0" distL="114300" distR="114300" simplePos="0" relativeHeight="502908968" behindDoc="1" locked="0" layoutInCell="1" allowOverlap="1" wp14:anchorId="7326D7AC" wp14:editId="3685E8BC">
                <wp:simplePos x="0" y="0"/>
                <wp:positionH relativeFrom="page">
                  <wp:posOffset>628650</wp:posOffset>
                </wp:positionH>
                <wp:positionV relativeFrom="paragraph">
                  <wp:posOffset>158750</wp:posOffset>
                </wp:positionV>
                <wp:extent cx="3495675" cy="12700"/>
                <wp:effectExtent l="9525" t="8890" r="9525" b="6985"/>
                <wp:wrapNone/>
                <wp:docPr id="12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990" y="250"/>
                          <a:chExt cx="5505" cy="20"/>
                        </a:xfrm>
                      </wpg:grpSpPr>
                      <wps:wsp>
                        <wps:cNvPr id="122" name="Line 106"/>
                        <wps:cNvCnPr>
                          <a:cxnSpLocks noChangeShapeType="1"/>
                        </wps:cNvCnPr>
                        <wps:spPr bwMode="auto">
                          <a:xfrm>
                            <a:off x="990" y="26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05"/>
                        <wps:cNvCnPr>
                          <a:cxnSpLocks noChangeShapeType="1"/>
                        </wps:cNvCnPr>
                        <wps:spPr bwMode="auto">
                          <a:xfrm>
                            <a:off x="990" y="26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EFD08" id="Group 104" o:spid="_x0000_s1026" style="position:absolute;margin-left:49.5pt;margin-top:12.5pt;width:275.25pt;height:1pt;z-index:-407512;mso-position-horizontal-relative:page" coordorigin="990,250"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">
                <v:line id="Line 106" o:spid="_x0000_s1027" style="position:absolute;visibility:visible;mso-wrap-style:square" from="990,260" to="649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line id="Line 105" o:spid="_x0000_s1028" style="position:absolute;visibility:visible;mso-wrap-style:square" from="990,260" to="649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RwwgAAANwAAAAPAAAAZHJzL2Rvd25yZXYueG1sRE/bagIx&#10;EH0X+g9hCn2rWS2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Bbp2RwwgAAANwAAAAPAAAA&#10;AAAAAAAAAAAAAAcCAABkcnMvZG93bnJldi54bWxQSwUGAAAAAAMAAwC3AAAA9gIAAAAA&#10;" strokeweight="1pt"/>
                <w10:wrap anchorx="page"/>
              </v:group>
            </w:pict>
          </mc:Fallback>
        </mc:AlternateContent>
      </w:r>
      <w:r>
        <w:t>/s/ Christopher H. Peterson Christopher H. Peterson</w:t>
      </w:r>
    </w:p>
    <w:p w14:paraId="7326D407" w14:textId="77777777" w:rsidR="00EF3DFB" w:rsidRDefault="00D27C17">
      <w:pPr>
        <w:pStyle w:val="BodyText"/>
        <w:spacing w:before="7"/>
        <w:rPr>
          <w:sz w:val="16"/>
        </w:rPr>
      </w:pPr>
      <w:r>
        <w:br w:type="column"/>
      </w:r>
    </w:p>
    <w:p w14:paraId="7326D408" w14:textId="77777777" w:rsidR="00EF3DFB" w:rsidRDefault="00D27C17">
      <w:pPr>
        <w:tabs>
          <w:tab w:val="left" w:pos="5650"/>
        </w:tabs>
        <w:ind w:left="62"/>
        <w:rPr>
          <w:b/>
          <w:sz w:val="16"/>
        </w:rPr>
      </w:pPr>
      <w:r>
        <w:rPr>
          <w:b/>
          <w:sz w:val="16"/>
        </w:rPr>
        <w:t>Signature</w:t>
      </w:r>
      <w:r>
        <w:rPr>
          <w:b/>
          <w:sz w:val="16"/>
        </w:rPr>
        <w:tab/>
      </w:r>
      <w:r>
        <w:rPr>
          <w:b/>
          <w:sz w:val="16"/>
        </w:rPr>
        <w:t>Title</w:t>
      </w:r>
    </w:p>
    <w:p w14:paraId="7326D409" w14:textId="72DAF17C" w:rsidR="00EF3DFB" w:rsidRDefault="00D27C17">
      <w:pPr>
        <w:pStyle w:val="BodyText"/>
        <w:spacing w:before="133" w:line="208" w:lineRule="auto"/>
        <w:ind w:left="3336" w:right="327"/>
      </w:pPr>
      <w:r>
        <w:rPr>
          <w:noProof/>
        </w:rPr>
        <mc:AlternateContent>
          <mc:Choice Requires="wpg">
            <w:drawing>
              <wp:anchor distT="0" distB="0" distL="114300" distR="114300" simplePos="0" relativeHeight="5320" behindDoc="0" locked="0" layoutInCell="1" allowOverlap="1" wp14:anchorId="7326D7AD" wp14:editId="6229A63A">
                <wp:simplePos x="0" y="0"/>
                <wp:positionH relativeFrom="page">
                  <wp:posOffset>628650</wp:posOffset>
                </wp:positionH>
                <wp:positionV relativeFrom="paragraph">
                  <wp:posOffset>12065</wp:posOffset>
                </wp:positionV>
                <wp:extent cx="3495675" cy="12700"/>
                <wp:effectExtent l="9525" t="8890" r="9525" b="6985"/>
                <wp:wrapNone/>
                <wp:docPr id="1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990" y="19"/>
                          <a:chExt cx="5505" cy="20"/>
                        </a:xfrm>
                      </wpg:grpSpPr>
                      <wps:wsp>
                        <wps:cNvPr id="119" name="Line 103"/>
                        <wps:cNvCnPr>
                          <a:cxnSpLocks noChangeShapeType="1"/>
                        </wps:cNvCnPr>
                        <wps:spPr bwMode="auto">
                          <a:xfrm>
                            <a:off x="990" y="29"/>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02"/>
                        <wps:cNvCnPr>
                          <a:cxnSpLocks noChangeShapeType="1"/>
                        </wps:cNvCnPr>
                        <wps:spPr bwMode="auto">
                          <a:xfrm>
                            <a:off x="990" y="29"/>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57AB2" id="Group 101" o:spid="_x0000_s1026" style="position:absolute;margin-left:49.5pt;margin-top:.95pt;width:275.25pt;height:1pt;z-index:5320;mso-position-horizontal-relative:page" coordorigin="990,19"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">
                <v:line id="Line 103" o:spid="_x0000_s1027" style="position:absolute;visibility:visible;mso-wrap-style:square" from="990,29" to="64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line id="Line 102" o:spid="_x0000_s1028" style="position:absolute;visibility:visible;mso-wrap-style:square" from="990,29" to="64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w10:wrap anchorx="page"/>
              </v:group>
            </w:pict>
          </mc:Fallback>
        </mc:AlternateContent>
      </w:r>
      <w:r>
        <w:rPr>
          <w:noProof/>
        </w:rPr>
        <mc:AlternateContent>
          <mc:Choice Requires="wpg">
            <w:drawing>
              <wp:anchor distT="0" distB="0" distL="114300" distR="114300" simplePos="0" relativeHeight="5344" behindDoc="0" locked="0" layoutInCell="1" allowOverlap="1" wp14:anchorId="7326D7AE" wp14:editId="06376166">
                <wp:simplePos x="0" y="0"/>
                <wp:positionH relativeFrom="page">
                  <wp:posOffset>4210050</wp:posOffset>
                </wp:positionH>
                <wp:positionV relativeFrom="paragraph">
                  <wp:posOffset>12065</wp:posOffset>
                </wp:positionV>
                <wp:extent cx="3209925" cy="12700"/>
                <wp:effectExtent l="9525" t="8890" r="9525" b="6985"/>
                <wp:wrapNone/>
                <wp:docPr id="11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12700"/>
                          <a:chOff x="6630" y="19"/>
                          <a:chExt cx="5055" cy="20"/>
                        </a:xfrm>
                      </wpg:grpSpPr>
                      <wps:wsp>
                        <wps:cNvPr id="116" name="Line 100"/>
                        <wps:cNvCnPr>
                          <a:cxnSpLocks noChangeShapeType="1"/>
                        </wps:cNvCnPr>
                        <wps:spPr bwMode="auto">
                          <a:xfrm>
                            <a:off x="6630" y="29"/>
                            <a:ext cx="5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99"/>
                        <wps:cNvCnPr>
                          <a:cxnSpLocks noChangeShapeType="1"/>
                        </wps:cNvCnPr>
                        <wps:spPr bwMode="auto">
                          <a:xfrm>
                            <a:off x="6630" y="29"/>
                            <a:ext cx="50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136F4" id="Group 98" o:spid="_x0000_s1026" style="position:absolute;margin-left:331.5pt;margin-top:.95pt;width:252.75pt;height:1pt;z-index:5344;mso-position-horizontal-relative:page" coordorigin="6630,19" coordsize="50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">
                <v:line id="Line 100" o:spid="_x0000_s1027" style="position:absolute;visibility:visible;mso-wrap-style:square" from="6630,29" to="116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line id="Line 99" o:spid="_x0000_s1028" style="position:absolute;visibility:visible;mso-wrap-style:square" from="6630,29" to="116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w10:wrap anchorx="page"/>
              </v:group>
            </w:pict>
          </mc:Fallback>
        </mc:AlternateContent>
      </w:r>
      <w:r>
        <w:rPr>
          <w:noProof/>
        </w:rPr>
        <mc:AlternateContent>
          <mc:Choice Requires="wpg">
            <w:drawing>
              <wp:anchor distT="0" distB="0" distL="114300" distR="114300" simplePos="0" relativeHeight="502908944" behindDoc="1" locked="0" layoutInCell="1" allowOverlap="1" wp14:anchorId="7326D7AF" wp14:editId="4A585F30">
                <wp:simplePos x="0" y="0"/>
                <wp:positionH relativeFrom="page">
                  <wp:posOffset>628650</wp:posOffset>
                </wp:positionH>
                <wp:positionV relativeFrom="paragraph">
                  <wp:posOffset>354965</wp:posOffset>
                </wp:positionV>
                <wp:extent cx="3495675" cy="12700"/>
                <wp:effectExtent l="9525" t="8890" r="9525" b="6985"/>
                <wp:wrapNone/>
                <wp:docPr id="11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990" y="559"/>
                          <a:chExt cx="5505" cy="20"/>
                        </a:xfrm>
                      </wpg:grpSpPr>
                      <wps:wsp>
                        <wps:cNvPr id="113" name="Line 97"/>
                        <wps:cNvCnPr>
                          <a:cxnSpLocks noChangeShapeType="1"/>
                        </wps:cNvCnPr>
                        <wps:spPr bwMode="auto">
                          <a:xfrm>
                            <a:off x="990" y="569"/>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96"/>
                        <wps:cNvCnPr>
                          <a:cxnSpLocks noChangeShapeType="1"/>
                        </wps:cNvCnPr>
                        <wps:spPr bwMode="auto">
                          <a:xfrm>
                            <a:off x="990" y="569"/>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E75E3D" id="Group 95" o:spid="_x0000_s1026" style="position:absolute;margin-left:49.5pt;margin-top:27.95pt;width:275.25pt;height:1pt;z-index:-407536;mso-position-horizontal-relative:page" coordorigin="990,559"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">
                <v:line id="Line 97" o:spid="_x0000_s1027" style="position:absolute;visibility:visible;mso-wrap-style:square" from="990,569" to="649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line id="Line 96" o:spid="_x0000_s1028" style="position:absolute;visibility:visible;mso-wrap-style:square" from="990,569" to="649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a5wgAAANwAAAAPAAAAZHJzL2Rvd25yZXYueG1sRE/NagIx&#10;EL4LfYcwhd5qdo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AaIja5wgAAANwAAAAPAAAA&#10;AAAAAAAAAAAAAAcCAABkcnMvZG93bnJldi54bWxQSwUGAAAAAAMAAwC3AAAA9gIAAAAA&#10;" strokeweight="1pt"/>
                <w10:wrap anchorx="page"/>
              </v:group>
            </w:pict>
          </mc:Fallback>
        </mc:AlternateContent>
      </w:r>
      <w:r>
        <w:t>President, Chief Executive Officer and Director (Principal Executive Officer)</w:t>
      </w:r>
    </w:p>
    <w:p w14:paraId="7326D40A" w14:textId="77777777" w:rsidR="00EF3DFB" w:rsidRDefault="00EF3DFB">
      <w:pPr>
        <w:pStyle w:val="BodyText"/>
        <w:rPr>
          <w:sz w:val="22"/>
        </w:rPr>
      </w:pPr>
    </w:p>
    <w:p w14:paraId="7326D40B" w14:textId="77777777" w:rsidR="00EF3DFB" w:rsidRDefault="00D27C17">
      <w:pPr>
        <w:pStyle w:val="BodyText"/>
        <w:spacing w:before="153" w:line="208" w:lineRule="auto"/>
        <w:ind w:left="3336"/>
      </w:pPr>
      <w:r>
        <w:t>Chief Financial Officer &amp; President, Business Operations (Principal Financial Officer and Principal Accounting Officer)</w:t>
      </w:r>
    </w:p>
    <w:p w14:paraId="7326D40C" w14:textId="77777777" w:rsidR="00EF3DFB" w:rsidRDefault="00EF3DFB">
      <w:pPr>
        <w:spacing w:line="208" w:lineRule="auto"/>
        <w:sectPr w:rsidR="00EF3DFB">
          <w:type w:val="continuous"/>
          <w:pgSz w:w="12240" w:h="15840"/>
          <w:pgMar w:top="760" w:right="640" w:bottom="280" w:left="620" w:header="720" w:footer="720" w:gutter="0"/>
          <w:cols w:num="2" w:space="720" w:equalWidth="0">
            <w:col w:w="2687" w:space="40"/>
            <w:col w:w="8253"/>
          </w:cols>
        </w:sectPr>
      </w:pPr>
    </w:p>
    <w:p w14:paraId="7326D40D" w14:textId="77777777" w:rsidR="00EF3DFB" w:rsidRDefault="00D27C17">
      <w:pPr>
        <w:pStyle w:val="BodyText"/>
        <w:tabs>
          <w:tab w:val="left" w:pos="6062"/>
        </w:tabs>
        <w:spacing w:before="77" w:after="19"/>
        <w:ind w:left="422"/>
      </w:pPr>
      <w:r>
        <w:t>/s/ Patrick</w:t>
      </w:r>
      <w:r>
        <w:rPr>
          <w:spacing w:val="-6"/>
        </w:rPr>
        <w:t xml:space="preserve"> </w:t>
      </w:r>
      <w:r>
        <w:t>D.</w:t>
      </w:r>
      <w:r>
        <w:rPr>
          <w:spacing w:val="-3"/>
        </w:rPr>
        <w:t xml:space="preserve"> </w:t>
      </w:r>
      <w:r>
        <w:t>Camp</w:t>
      </w:r>
      <w:r>
        <w:t>bell</w:t>
      </w:r>
      <w:r>
        <w:tab/>
        <w:t>Chairman of the</w:t>
      </w:r>
      <w:r>
        <w:rPr>
          <w:spacing w:val="-2"/>
        </w:rPr>
        <w:t xml:space="preserve"> </w:t>
      </w:r>
      <w:r>
        <w:t>Board</w:t>
      </w:r>
    </w:p>
    <w:p w14:paraId="7326D40E" w14:textId="5E7EF666" w:rsidR="00EF3DFB" w:rsidRDefault="00D27C17">
      <w:pPr>
        <w:pStyle w:val="BodyText"/>
        <w:spacing w:line="20" w:lineRule="exact"/>
        <w:ind w:left="360"/>
        <w:rPr>
          <w:sz w:val="2"/>
        </w:rPr>
      </w:pPr>
      <w:r>
        <w:rPr>
          <w:noProof/>
          <w:sz w:val="2"/>
        </w:rPr>
        <mc:AlternateContent>
          <mc:Choice Requires="wpg">
            <w:drawing>
              <wp:inline distT="0" distB="0" distL="0" distR="0" wp14:anchorId="7326D7B0" wp14:editId="2714A808">
                <wp:extent cx="3495675" cy="12700"/>
                <wp:effectExtent l="12700" t="8890" r="6350" b="6985"/>
                <wp:docPr id="10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110" name="Line 94"/>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93"/>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3E5F6D" id="Group 92"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">
                <v:line id="Line 94"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line id="Line 93"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" strokeweight="1pt"/>
                <w10:anchorlock/>
              </v:group>
            </w:pict>
          </mc:Fallback>
        </mc:AlternateContent>
      </w:r>
    </w:p>
    <w:p w14:paraId="7326D40F" w14:textId="77777777" w:rsidR="00EF3DFB" w:rsidRDefault="00D27C17">
      <w:pPr>
        <w:pStyle w:val="BodyText"/>
        <w:spacing w:before="30"/>
        <w:ind w:left="422"/>
      </w:pPr>
      <w:r>
        <w:t>Patrick D. Campbell</w:t>
      </w:r>
    </w:p>
    <w:p w14:paraId="7326D410" w14:textId="77777777" w:rsidR="00EF3DFB" w:rsidRDefault="00D27C17">
      <w:pPr>
        <w:pStyle w:val="BodyText"/>
        <w:tabs>
          <w:tab w:val="left" w:pos="6062"/>
        </w:tabs>
        <w:spacing w:before="145" w:after="19"/>
        <w:ind w:left="422"/>
      </w:pPr>
      <w:r>
        <w:t>/s/ Bridget</w:t>
      </w:r>
      <w:r>
        <w:rPr>
          <w:spacing w:val="-7"/>
        </w:rPr>
        <w:t xml:space="preserve"> </w:t>
      </w:r>
      <w:r>
        <w:t>Ryan</w:t>
      </w:r>
      <w:r>
        <w:rPr>
          <w:spacing w:val="-3"/>
        </w:rPr>
        <w:t xml:space="preserve"> </w:t>
      </w:r>
      <w:r>
        <w:t>Berman</w:t>
      </w:r>
      <w:r>
        <w:tab/>
        <w:t>Director</w:t>
      </w:r>
    </w:p>
    <w:p w14:paraId="7326D411" w14:textId="49A49162" w:rsidR="00EF3DFB" w:rsidRDefault="00D27C17">
      <w:pPr>
        <w:pStyle w:val="BodyText"/>
        <w:spacing w:line="20" w:lineRule="exact"/>
        <w:ind w:left="360"/>
        <w:rPr>
          <w:sz w:val="2"/>
        </w:rPr>
      </w:pPr>
      <w:r>
        <w:rPr>
          <w:noProof/>
          <w:sz w:val="2"/>
        </w:rPr>
        <mc:AlternateContent>
          <mc:Choice Requires="wpg">
            <w:drawing>
              <wp:inline distT="0" distB="0" distL="0" distR="0" wp14:anchorId="7326D7B2" wp14:editId="1A3A4CE4">
                <wp:extent cx="3495675" cy="12700"/>
                <wp:effectExtent l="12700" t="8255" r="6350" b="7620"/>
                <wp:docPr id="10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107" name="Line 91"/>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90"/>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C4CC1" id="Group 89"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">
                <v:line id="Line 91"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line id="Line 90"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" strokeweight="1pt"/>
                <w10:anchorlock/>
              </v:group>
            </w:pict>
          </mc:Fallback>
        </mc:AlternateContent>
      </w:r>
    </w:p>
    <w:p w14:paraId="7326D412" w14:textId="77777777" w:rsidR="00EF3DFB" w:rsidRDefault="00D27C17">
      <w:pPr>
        <w:pStyle w:val="BodyText"/>
        <w:spacing w:before="30"/>
        <w:ind w:left="422"/>
      </w:pPr>
      <w:r>
        <w:t>Bridget Ryan Berman</w:t>
      </w:r>
    </w:p>
    <w:p w14:paraId="7326D413" w14:textId="77777777" w:rsidR="00EF3DFB" w:rsidRDefault="00D27C17">
      <w:pPr>
        <w:pStyle w:val="BodyText"/>
        <w:tabs>
          <w:tab w:val="left" w:pos="6062"/>
        </w:tabs>
        <w:spacing w:before="145" w:after="19"/>
        <w:ind w:left="422"/>
      </w:pPr>
      <w:r>
        <w:t>/s/ James</w:t>
      </w:r>
      <w:r>
        <w:rPr>
          <w:spacing w:val="-7"/>
        </w:rPr>
        <w:t xml:space="preserve"> </w:t>
      </w:r>
      <w:r>
        <w:t>R.</w:t>
      </w:r>
      <w:r>
        <w:rPr>
          <w:spacing w:val="-3"/>
        </w:rPr>
        <w:t xml:space="preserve"> </w:t>
      </w:r>
      <w:r>
        <w:t>Craigie</w:t>
      </w:r>
      <w:r>
        <w:tab/>
        <w:t>Director</w:t>
      </w:r>
    </w:p>
    <w:p w14:paraId="7326D414" w14:textId="2018FB68" w:rsidR="00EF3DFB" w:rsidRDefault="00D27C17">
      <w:pPr>
        <w:pStyle w:val="BodyText"/>
        <w:spacing w:line="20" w:lineRule="exact"/>
        <w:ind w:left="360"/>
        <w:rPr>
          <w:sz w:val="2"/>
        </w:rPr>
      </w:pPr>
      <w:r>
        <w:rPr>
          <w:noProof/>
          <w:sz w:val="2"/>
        </w:rPr>
        <mc:AlternateContent>
          <mc:Choice Requires="wpg">
            <w:drawing>
              <wp:inline distT="0" distB="0" distL="0" distR="0" wp14:anchorId="7326D7B4" wp14:editId="4E8003A7">
                <wp:extent cx="3495675" cy="12700"/>
                <wp:effectExtent l="12700" t="7620" r="6350" b="8255"/>
                <wp:docPr id="10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104" name="Line 88"/>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87"/>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3E6C6" id="Group 86"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">
                <v:line id="Line 88"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line id="Line 87"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" strokeweight="1pt"/>
                <w10:anchorlock/>
              </v:group>
            </w:pict>
          </mc:Fallback>
        </mc:AlternateContent>
      </w:r>
    </w:p>
    <w:p w14:paraId="7326D415" w14:textId="77777777" w:rsidR="00EF3DFB" w:rsidRDefault="00D27C17">
      <w:pPr>
        <w:pStyle w:val="BodyText"/>
        <w:spacing w:before="30"/>
        <w:ind w:left="422"/>
      </w:pPr>
      <w:r>
        <w:t>James R. Craigie</w:t>
      </w:r>
    </w:p>
    <w:p w14:paraId="7326D416" w14:textId="77777777" w:rsidR="00EF3DFB" w:rsidRDefault="00D27C17">
      <w:pPr>
        <w:pStyle w:val="BodyText"/>
        <w:tabs>
          <w:tab w:val="left" w:pos="6062"/>
        </w:tabs>
        <w:spacing w:before="145" w:after="19"/>
        <w:ind w:left="422"/>
      </w:pPr>
      <w:r>
        <w:t>/s/</w:t>
      </w:r>
      <w:r>
        <w:rPr>
          <w:spacing w:val="-3"/>
        </w:rPr>
        <w:t xml:space="preserve"> </w:t>
      </w:r>
      <w:r>
        <w:t>Brett</w:t>
      </w:r>
      <w:r>
        <w:rPr>
          <w:spacing w:val="-3"/>
        </w:rPr>
        <w:t xml:space="preserve"> </w:t>
      </w:r>
      <w:r>
        <w:t>Icahn</w:t>
      </w:r>
      <w:r>
        <w:tab/>
        <w:t>Director</w:t>
      </w:r>
    </w:p>
    <w:p w14:paraId="7326D417" w14:textId="2BE17048" w:rsidR="00EF3DFB" w:rsidRDefault="00D27C17">
      <w:pPr>
        <w:pStyle w:val="BodyText"/>
        <w:spacing w:line="20" w:lineRule="exact"/>
        <w:ind w:left="360"/>
        <w:rPr>
          <w:sz w:val="2"/>
        </w:rPr>
      </w:pPr>
      <w:r>
        <w:rPr>
          <w:noProof/>
          <w:sz w:val="2"/>
        </w:rPr>
        <mc:AlternateContent>
          <mc:Choice Requires="wpg">
            <w:drawing>
              <wp:inline distT="0" distB="0" distL="0" distR="0" wp14:anchorId="7326D7B6" wp14:editId="6598A43C">
                <wp:extent cx="3495675" cy="12700"/>
                <wp:effectExtent l="12700" t="6985" r="6350" b="8890"/>
                <wp:docPr id="10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101" name="Line 85"/>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84"/>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AF0DE3" id="Group 83"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">
                <v:line id="Line 85"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line id="Line 84"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" strokeweight="1pt"/>
                <w10:anchorlock/>
              </v:group>
            </w:pict>
          </mc:Fallback>
        </mc:AlternateContent>
      </w:r>
    </w:p>
    <w:p w14:paraId="7326D418" w14:textId="77777777" w:rsidR="00EF3DFB" w:rsidRDefault="00D27C17">
      <w:pPr>
        <w:pStyle w:val="BodyText"/>
        <w:spacing w:before="30"/>
        <w:ind w:left="422"/>
      </w:pPr>
      <w:r>
        <w:t>Brett Icahn</w:t>
      </w:r>
    </w:p>
    <w:p w14:paraId="7326D419" w14:textId="77777777" w:rsidR="00EF3DFB" w:rsidRDefault="00D27C17">
      <w:pPr>
        <w:pStyle w:val="BodyText"/>
        <w:tabs>
          <w:tab w:val="left" w:pos="6062"/>
        </w:tabs>
        <w:spacing w:before="145" w:after="19"/>
        <w:ind w:left="422"/>
      </w:pPr>
      <w:r>
        <w:t>/s/ Jay</w:t>
      </w:r>
      <w:r>
        <w:rPr>
          <w:spacing w:val="-4"/>
        </w:rPr>
        <w:t xml:space="preserve"> </w:t>
      </w:r>
      <w:r>
        <w:t>L.</w:t>
      </w:r>
      <w:r>
        <w:rPr>
          <w:spacing w:val="-2"/>
        </w:rPr>
        <w:t xml:space="preserve"> </w:t>
      </w:r>
      <w:r>
        <w:t>Johnson</w:t>
      </w:r>
      <w:r>
        <w:tab/>
        <w:t>Director</w:t>
      </w:r>
    </w:p>
    <w:p w14:paraId="7326D41A" w14:textId="1ABCD1E5" w:rsidR="00EF3DFB" w:rsidRDefault="00D27C17">
      <w:pPr>
        <w:pStyle w:val="BodyText"/>
        <w:spacing w:line="20" w:lineRule="exact"/>
        <w:ind w:left="360"/>
        <w:rPr>
          <w:sz w:val="2"/>
        </w:rPr>
      </w:pPr>
      <w:r>
        <w:rPr>
          <w:noProof/>
          <w:sz w:val="2"/>
        </w:rPr>
        <mc:AlternateContent>
          <mc:Choice Requires="wpg">
            <w:drawing>
              <wp:inline distT="0" distB="0" distL="0" distR="0" wp14:anchorId="7326D7B8" wp14:editId="74707EC9">
                <wp:extent cx="3495675" cy="12700"/>
                <wp:effectExtent l="12700" t="6350" r="6350" b="0"/>
                <wp:docPr id="9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98" name="Line 82"/>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81"/>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260A1" id="Group 80"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">
                <v:line id="Line 82"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line id="Line 81"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w10:anchorlock/>
              </v:group>
            </w:pict>
          </mc:Fallback>
        </mc:AlternateContent>
      </w:r>
    </w:p>
    <w:p w14:paraId="7326D41B" w14:textId="77777777" w:rsidR="00EF3DFB" w:rsidRDefault="00D27C17">
      <w:pPr>
        <w:pStyle w:val="BodyText"/>
        <w:spacing w:before="30"/>
        <w:ind w:left="422"/>
      </w:pPr>
      <w:r>
        <w:t>Jay L. Johnson</w:t>
      </w:r>
    </w:p>
    <w:p w14:paraId="7326D41C" w14:textId="77777777" w:rsidR="00EF3DFB" w:rsidRDefault="00D27C17">
      <w:pPr>
        <w:pStyle w:val="BodyText"/>
        <w:tabs>
          <w:tab w:val="left" w:pos="6062"/>
        </w:tabs>
        <w:spacing w:before="145" w:after="19"/>
        <w:ind w:left="422"/>
      </w:pPr>
      <w:r>
        <w:t>/s/ Gerardo</w:t>
      </w:r>
      <w:r>
        <w:rPr>
          <w:spacing w:val="-4"/>
        </w:rPr>
        <w:t xml:space="preserve"> </w:t>
      </w:r>
      <w:r>
        <w:t>I.</w:t>
      </w:r>
      <w:r>
        <w:rPr>
          <w:spacing w:val="-2"/>
        </w:rPr>
        <w:t xml:space="preserve"> </w:t>
      </w:r>
      <w:r>
        <w:t>Lopez</w:t>
      </w:r>
      <w:r>
        <w:tab/>
        <w:t>Director</w:t>
      </w:r>
    </w:p>
    <w:p w14:paraId="7326D41D" w14:textId="22D8F4DE" w:rsidR="00EF3DFB" w:rsidRDefault="00D27C17">
      <w:pPr>
        <w:pStyle w:val="BodyText"/>
        <w:spacing w:line="20" w:lineRule="exact"/>
        <w:ind w:left="360"/>
        <w:rPr>
          <w:sz w:val="2"/>
        </w:rPr>
      </w:pPr>
      <w:r>
        <w:rPr>
          <w:noProof/>
          <w:sz w:val="2"/>
        </w:rPr>
        <mc:AlternateContent>
          <mc:Choice Requires="wpg">
            <w:drawing>
              <wp:inline distT="0" distB="0" distL="0" distR="0" wp14:anchorId="7326D7BA" wp14:editId="5D33AF4D">
                <wp:extent cx="3495675" cy="12700"/>
                <wp:effectExtent l="12700" t="5715" r="6350" b="635"/>
                <wp:docPr id="9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95" name="Line 79"/>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AD0DC" id="Group 77"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">
                <v:line id="Line 79"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line id="Line 78"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w10:anchorlock/>
              </v:group>
            </w:pict>
          </mc:Fallback>
        </mc:AlternateContent>
      </w:r>
    </w:p>
    <w:p w14:paraId="7326D41E" w14:textId="77777777" w:rsidR="00EF3DFB" w:rsidRDefault="00D27C17">
      <w:pPr>
        <w:pStyle w:val="BodyText"/>
        <w:spacing w:before="30"/>
        <w:ind w:left="422"/>
      </w:pPr>
      <w:r>
        <w:t>Gerardo I. Lopez</w:t>
      </w:r>
    </w:p>
    <w:p w14:paraId="7326D41F" w14:textId="77777777" w:rsidR="00EF3DFB" w:rsidRDefault="00D27C17">
      <w:pPr>
        <w:pStyle w:val="BodyText"/>
        <w:tabs>
          <w:tab w:val="left" w:pos="6062"/>
        </w:tabs>
        <w:spacing w:before="145" w:after="19"/>
        <w:ind w:left="422"/>
      </w:pPr>
      <w:r>
        <w:t>/s/ Courtney</w:t>
      </w:r>
      <w:r>
        <w:rPr>
          <w:spacing w:val="-5"/>
        </w:rPr>
        <w:t xml:space="preserve"> </w:t>
      </w:r>
      <w:r>
        <w:t>R.</w:t>
      </w:r>
      <w:r>
        <w:rPr>
          <w:spacing w:val="-2"/>
        </w:rPr>
        <w:t xml:space="preserve"> </w:t>
      </w:r>
      <w:r>
        <w:t>Mather</w:t>
      </w:r>
      <w:r>
        <w:tab/>
        <w:t>Director</w:t>
      </w:r>
    </w:p>
    <w:p w14:paraId="7326D420" w14:textId="09821CA6" w:rsidR="00EF3DFB" w:rsidRDefault="00D27C17">
      <w:pPr>
        <w:pStyle w:val="BodyText"/>
        <w:spacing w:line="20" w:lineRule="exact"/>
        <w:ind w:left="360"/>
        <w:rPr>
          <w:sz w:val="2"/>
        </w:rPr>
      </w:pPr>
      <w:r>
        <w:rPr>
          <w:noProof/>
          <w:sz w:val="2"/>
        </w:rPr>
        <mc:AlternateContent>
          <mc:Choice Requires="wpg">
            <w:drawing>
              <wp:inline distT="0" distB="0" distL="0" distR="0" wp14:anchorId="7326D7BC" wp14:editId="7E3D1CAD">
                <wp:extent cx="3495675" cy="12700"/>
                <wp:effectExtent l="12700" t="5080" r="6350" b="1270"/>
                <wp:docPr id="9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92" name="Line 76"/>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75"/>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4C6378" id="Group 74"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">
                <v:line id="Line 76"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line id="Line 75"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strokeweight="1pt"/>
                <w10:anchorlock/>
              </v:group>
            </w:pict>
          </mc:Fallback>
        </mc:AlternateContent>
      </w:r>
    </w:p>
    <w:p w14:paraId="7326D421" w14:textId="77777777" w:rsidR="00EF3DFB" w:rsidRDefault="00D27C17">
      <w:pPr>
        <w:pStyle w:val="BodyText"/>
        <w:spacing w:before="30"/>
        <w:ind w:left="422"/>
      </w:pPr>
      <w:r>
        <w:t>Courtney R. Mather</w:t>
      </w:r>
    </w:p>
    <w:p w14:paraId="7326D422" w14:textId="77777777" w:rsidR="00EF3DFB" w:rsidRDefault="00D27C17">
      <w:pPr>
        <w:pStyle w:val="BodyText"/>
        <w:tabs>
          <w:tab w:val="left" w:pos="6062"/>
        </w:tabs>
        <w:spacing w:before="145" w:after="19"/>
        <w:ind w:left="422"/>
      </w:pPr>
      <w:r>
        <w:t>/s/ Judith</w:t>
      </w:r>
      <w:r>
        <w:rPr>
          <w:spacing w:val="-6"/>
        </w:rPr>
        <w:t xml:space="preserve"> </w:t>
      </w:r>
      <w:r>
        <w:t>A.</w:t>
      </w:r>
      <w:r>
        <w:rPr>
          <w:spacing w:val="-3"/>
        </w:rPr>
        <w:t xml:space="preserve"> </w:t>
      </w:r>
      <w:r>
        <w:t>Sprieser</w:t>
      </w:r>
      <w:r>
        <w:tab/>
        <w:t>Director</w:t>
      </w:r>
    </w:p>
    <w:p w14:paraId="7326D423" w14:textId="5C2258D5" w:rsidR="00EF3DFB" w:rsidRDefault="00D27C17">
      <w:pPr>
        <w:pStyle w:val="BodyText"/>
        <w:spacing w:line="20" w:lineRule="exact"/>
        <w:ind w:left="360"/>
        <w:rPr>
          <w:sz w:val="2"/>
        </w:rPr>
      </w:pPr>
      <w:r>
        <w:rPr>
          <w:noProof/>
          <w:sz w:val="2"/>
        </w:rPr>
        <mc:AlternateContent>
          <mc:Choice Requires="wpg">
            <w:drawing>
              <wp:inline distT="0" distB="0" distL="0" distR="0" wp14:anchorId="7326D7BE" wp14:editId="187BB02C">
                <wp:extent cx="3495675" cy="12700"/>
                <wp:effectExtent l="12700" t="4445" r="6350" b="1905"/>
                <wp:docPr id="8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89" name="Line 73"/>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2"/>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4AC2A" id="Group 71"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">
                <v:line id="Line 73"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line id="Line 72"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w10:anchorlock/>
              </v:group>
            </w:pict>
          </mc:Fallback>
        </mc:AlternateContent>
      </w:r>
    </w:p>
    <w:p w14:paraId="7326D424" w14:textId="77777777" w:rsidR="00EF3DFB" w:rsidRDefault="00D27C17">
      <w:pPr>
        <w:pStyle w:val="BodyText"/>
        <w:spacing w:before="30"/>
        <w:ind w:left="422"/>
      </w:pPr>
      <w:r>
        <w:t>Judith A. Sprieser</w:t>
      </w:r>
    </w:p>
    <w:p w14:paraId="7326D425" w14:textId="77777777" w:rsidR="00EF3DFB" w:rsidRDefault="00D27C17">
      <w:pPr>
        <w:pStyle w:val="BodyText"/>
        <w:tabs>
          <w:tab w:val="left" w:pos="6062"/>
        </w:tabs>
        <w:spacing w:before="145" w:after="19"/>
        <w:ind w:left="422"/>
      </w:pPr>
      <w:r>
        <w:t>/s/ Robert</w:t>
      </w:r>
      <w:r>
        <w:rPr>
          <w:spacing w:val="-6"/>
        </w:rPr>
        <w:t xml:space="preserve"> </w:t>
      </w:r>
      <w:r>
        <w:t>A.</w:t>
      </w:r>
      <w:r>
        <w:rPr>
          <w:spacing w:val="-2"/>
        </w:rPr>
        <w:t xml:space="preserve"> </w:t>
      </w:r>
      <w:r>
        <w:t>Steele</w:t>
      </w:r>
      <w:r>
        <w:tab/>
        <w:t>Director</w:t>
      </w:r>
    </w:p>
    <w:p w14:paraId="7326D426" w14:textId="1F6CDCF8" w:rsidR="00EF3DFB" w:rsidRDefault="00D27C17">
      <w:pPr>
        <w:pStyle w:val="BodyText"/>
        <w:spacing w:line="20" w:lineRule="exact"/>
        <w:ind w:left="360"/>
        <w:rPr>
          <w:sz w:val="2"/>
        </w:rPr>
      </w:pPr>
      <w:r>
        <w:rPr>
          <w:noProof/>
          <w:sz w:val="2"/>
        </w:rPr>
        <mc:AlternateContent>
          <mc:Choice Requires="wpg">
            <w:drawing>
              <wp:inline distT="0" distB="0" distL="0" distR="0" wp14:anchorId="7326D7C0" wp14:editId="6129E617">
                <wp:extent cx="3495675" cy="12700"/>
                <wp:effectExtent l="12700" t="3810" r="6350" b="2540"/>
                <wp:docPr id="8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86" name="Line 70"/>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69"/>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5B7F4" id="Group 68"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">
                <v:line id="Line 70"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line id="Line 69"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" strokeweight="1pt"/>
                <w10:anchorlock/>
              </v:group>
            </w:pict>
          </mc:Fallback>
        </mc:AlternateContent>
      </w:r>
    </w:p>
    <w:p w14:paraId="7326D427" w14:textId="77777777" w:rsidR="00EF3DFB" w:rsidRDefault="00D27C17">
      <w:pPr>
        <w:pStyle w:val="BodyText"/>
        <w:spacing w:before="30"/>
        <w:ind w:left="422"/>
      </w:pPr>
      <w:r>
        <w:t>Robert A. Steele</w:t>
      </w:r>
    </w:p>
    <w:p w14:paraId="7326D428" w14:textId="77777777" w:rsidR="00EF3DFB" w:rsidRDefault="00D27C17">
      <w:pPr>
        <w:pStyle w:val="BodyText"/>
        <w:tabs>
          <w:tab w:val="left" w:pos="6062"/>
        </w:tabs>
        <w:spacing w:before="145" w:after="19"/>
        <w:ind w:left="422"/>
      </w:pPr>
      <w:r>
        <w:t>/s/ Steven</w:t>
      </w:r>
      <w:r>
        <w:rPr>
          <w:spacing w:val="-5"/>
        </w:rPr>
        <w:t xml:space="preserve"> </w:t>
      </w:r>
      <w:r>
        <w:t>J.</w:t>
      </w:r>
      <w:r>
        <w:rPr>
          <w:spacing w:val="-2"/>
        </w:rPr>
        <w:t xml:space="preserve"> </w:t>
      </w:r>
      <w:r>
        <w:t>Strobel</w:t>
      </w:r>
      <w:r>
        <w:tab/>
        <w:t>Director</w:t>
      </w:r>
    </w:p>
    <w:p w14:paraId="7326D429" w14:textId="79112C79" w:rsidR="00EF3DFB" w:rsidRDefault="00D27C17">
      <w:pPr>
        <w:pStyle w:val="BodyText"/>
        <w:spacing w:line="20" w:lineRule="exact"/>
        <w:ind w:left="360"/>
        <w:rPr>
          <w:sz w:val="2"/>
        </w:rPr>
      </w:pPr>
      <w:r>
        <w:rPr>
          <w:noProof/>
          <w:sz w:val="2"/>
        </w:rPr>
        <mc:AlternateContent>
          <mc:Choice Requires="wpg">
            <w:drawing>
              <wp:inline distT="0" distB="0" distL="0" distR="0" wp14:anchorId="7326D7C2" wp14:editId="03FC1729">
                <wp:extent cx="3495675" cy="12700"/>
                <wp:effectExtent l="12700" t="3175" r="6350" b="3175"/>
                <wp:docPr id="8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2700"/>
                          <a:chOff x="0" y="0"/>
                          <a:chExt cx="5505" cy="20"/>
                        </a:xfrm>
                      </wpg:grpSpPr>
                      <wps:wsp>
                        <wps:cNvPr id="83" name="Line 67"/>
                        <wps:cNvCnPr>
                          <a:cxnSpLocks noChangeShapeType="1"/>
                        </wps:cNvCnPr>
                        <wps:spPr bwMode="auto">
                          <a:xfrm>
                            <a:off x="0" y="10"/>
                            <a:ext cx="55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66"/>
                        <wps:cNvCnPr>
                          <a:cxnSpLocks noChangeShapeType="1"/>
                        </wps:cNvCnPr>
                        <wps:spPr bwMode="auto">
                          <a:xfrm>
                            <a:off x="0" y="10"/>
                            <a:ext cx="55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B8E96" id="Group 65" o:spid="_x0000_s1026" style="width:275.25pt;height:1pt;mso-position-horizontal-relative:char;mso-position-vertical-relative:line" coordsize="5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">
                <v:line id="Line 67" o:spid="_x0000_s1027"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line id="Line 66" o:spid="_x0000_s1028" style="position:absolute;visibility:visible;mso-wrap-style:square" from="0,10" to="55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XMwwAAANsAAAAPAAAAZHJzL2Rvd25yZXYueG1sRI/dagIx&#10;FITvBd8hHKF3NWsp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Wm91zMMAAADbAAAADwAA&#10;AAAAAAAAAAAAAAAHAgAAZHJzL2Rvd25yZXYueG1sUEsFBgAAAAADAAMAtwAAAPcCAAAAAA==&#10;" strokeweight="1pt"/>
                <w10:anchorlock/>
              </v:group>
            </w:pict>
          </mc:Fallback>
        </mc:AlternateContent>
      </w:r>
    </w:p>
    <w:p w14:paraId="7326D42A" w14:textId="77777777" w:rsidR="00EF3DFB" w:rsidRDefault="00D27C17">
      <w:pPr>
        <w:pStyle w:val="BodyText"/>
        <w:spacing w:before="30"/>
        <w:ind w:left="422"/>
      </w:pPr>
      <w:r>
        <w:t>Steven J. Strobel</w:t>
      </w:r>
    </w:p>
    <w:p w14:paraId="7326D42B" w14:textId="77777777" w:rsidR="00EF3DFB" w:rsidRDefault="00EF3DFB">
      <w:pPr>
        <w:sectPr w:rsidR="00EF3DFB">
          <w:type w:val="continuous"/>
          <w:pgSz w:w="12240" w:h="15840"/>
          <w:pgMar w:top="760" w:right="640" w:bottom="280" w:left="620" w:header="720" w:footer="720" w:gutter="0"/>
          <w:cols w:space="720"/>
        </w:sectPr>
      </w:pPr>
    </w:p>
    <w:p w14:paraId="7326D42C" w14:textId="77777777" w:rsidR="00EF3DFB" w:rsidRDefault="00EF3DFB">
      <w:pPr>
        <w:pStyle w:val="BodyText"/>
        <w:spacing w:before="9"/>
        <w:rPr>
          <w:sz w:val="26"/>
        </w:rPr>
      </w:pPr>
    </w:p>
    <w:p w14:paraId="7326D42D" w14:textId="77777777" w:rsidR="00EF3DFB" w:rsidRDefault="00D27C17">
      <w:pPr>
        <w:pStyle w:val="Heading2"/>
        <w:jc w:val="left"/>
      </w:pPr>
      <w:bookmarkStart w:id="93" w:name="Schedule_II"/>
      <w:bookmarkEnd w:id="93"/>
      <w:r>
        <w:t>NEWELL BRANDS INC. AND SUBSIDIARIES</w:t>
      </w:r>
    </w:p>
    <w:p w14:paraId="7326D42E" w14:textId="77777777" w:rsidR="00EF3DFB" w:rsidRDefault="00D27C17">
      <w:pPr>
        <w:spacing w:before="10"/>
        <w:ind w:left="190"/>
        <w:rPr>
          <w:b/>
          <w:sz w:val="20"/>
        </w:rPr>
      </w:pPr>
      <w:r>
        <w:rPr>
          <w:b/>
          <w:sz w:val="20"/>
        </w:rPr>
        <w:t>Valuation and Qualifying Accounts</w:t>
      </w:r>
    </w:p>
    <w:p w14:paraId="7326D42F" w14:textId="77777777" w:rsidR="00EF3DFB" w:rsidRDefault="00D27C17">
      <w:pPr>
        <w:spacing w:before="68"/>
        <w:ind w:left="190"/>
        <w:rPr>
          <w:b/>
          <w:sz w:val="20"/>
        </w:rPr>
      </w:pPr>
      <w:r>
        <w:br w:type="column"/>
      </w:r>
      <w:r>
        <w:rPr>
          <w:b/>
          <w:sz w:val="20"/>
        </w:rPr>
        <w:t>Schedule II</w:t>
      </w:r>
    </w:p>
    <w:p w14:paraId="7326D430" w14:textId="77777777" w:rsidR="00EF3DFB" w:rsidRDefault="00EF3DFB">
      <w:pPr>
        <w:rPr>
          <w:sz w:val="20"/>
        </w:rPr>
        <w:sectPr w:rsidR="00EF3DFB">
          <w:pgSz w:w="12240" w:h="15840"/>
          <w:pgMar w:top="600" w:right="640" w:bottom="480" w:left="620" w:header="0" w:footer="291" w:gutter="0"/>
          <w:cols w:num="2" w:space="720" w:equalWidth="0">
            <w:col w:w="4391" w:space="5258"/>
            <w:col w:w="1331"/>
          </w:cols>
        </w:sectPr>
      </w:pPr>
    </w:p>
    <w:p w14:paraId="7326D431" w14:textId="77777777" w:rsidR="00EF3DFB" w:rsidRDefault="00EF3DFB">
      <w:pPr>
        <w:pStyle w:val="BodyText"/>
        <w:spacing w:before="3"/>
        <w:rPr>
          <w:b/>
          <w:sz w:val="18"/>
        </w:rPr>
      </w:pPr>
    </w:p>
    <w:p w14:paraId="7326D432" w14:textId="77777777" w:rsidR="00EF3DFB" w:rsidRDefault="00EF3DFB">
      <w:pPr>
        <w:rPr>
          <w:sz w:val="18"/>
        </w:rPr>
        <w:sectPr w:rsidR="00EF3DFB">
          <w:type w:val="continuous"/>
          <w:pgSz w:w="12240" w:h="15840"/>
          <w:pgMar w:top="760" w:right="640" w:bottom="280" w:left="620" w:header="720" w:footer="720" w:gutter="0"/>
          <w:cols w:space="720"/>
        </w:sectPr>
      </w:pPr>
    </w:p>
    <w:p w14:paraId="7326D433" w14:textId="77777777" w:rsidR="00EF3DFB" w:rsidRDefault="00EF3DFB">
      <w:pPr>
        <w:pStyle w:val="BodyText"/>
        <w:rPr>
          <w:b/>
          <w:sz w:val="22"/>
        </w:rPr>
      </w:pPr>
    </w:p>
    <w:p w14:paraId="7326D434" w14:textId="77777777" w:rsidR="00EF3DFB" w:rsidRDefault="00EF3DFB">
      <w:pPr>
        <w:pStyle w:val="BodyText"/>
        <w:rPr>
          <w:b/>
          <w:sz w:val="22"/>
        </w:rPr>
      </w:pPr>
    </w:p>
    <w:p w14:paraId="7326D435" w14:textId="77777777" w:rsidR="00EF3DFB" w:rsidRDefault="00D27C17">
      <w:pPr>
        <w:spacing w:before="161"/>
        <w:ind w:left="242"/>
        <w:rPr>
          <w:i/>
          <w:sz w:val="20"/>
        </w:rPr>
      </w:pPr>
      <w:r>
        <w:rPr>
          <w:i/>
          <w:sz w:val="20"/>
        </w:rPr>
        <w:t>(in millions)</w:t>
      </w:r>
    </w:p>
    <w:p w14:paraId="7326D436" w14:textId="77777777" w:rsidR="00EF3DFB" w:rsidRDefault="00D27C17">
      <w:pPr>
        <w:pStyle w:val="Heading2"/>
        <w:spacing w:before="70"/>
        <w:ind w:left="242"/>
        <w:jc w:val="left"/>
      </w:pPr>
      <w:r>
        <w:t>Reserve for Expected Credit Losses:</w:t>
      </w:r>
    </w:p>
    <w:p w14:paraId="7326D437" w14:textId="77777777" w:rsidR="00EF3DFB" w:rsidRDefault="00D27C17">
      <w:pPr>
        <w:spacing w:before="112" w:line="208" w:lineRule="auto"/>
        <w:ind w:left="242" w:right="1832" w:firstLine="75"/>
        <w:rPr>
          <w:b/>
          <w:sz w:val="16"/>
        </w:rPr>
      </w:pPr>
      <w:r>
        <w:br w:type="column"/>
      </w:r>
      <w:r>
        <w:rPr>
          <w:b/>
          <w:sz w:val="16"/>
        </w:rPr>
        <w:t>Balance at Beginning of</w:t>
      </w:r>
    </w:p>
    <w:p w14:paraId="7326D438" w14:textId="62987DA4" w:rsidR="00EF3DFB" w:rsidRDefault="00D27C17">
      <w:pPr>
        <w:tabs>
          <w:tab w:val="left" w:pos="1401"/>
          <w:tab w:val="left" w:pos="2511"/>
        </w:tabs>
        <w:spacing w:line="164" w:lineRule="exact"/>
        <w:ind w:left="449"/>
        <w:rPr>
          <w:b/>
          <w:sz w:val="16"/>
        </w:rPr>
      </w:pPr>
      <w:r>
        <w:rPr>
          <w:noProof/>
        </w:rPr>
        <mc:AlternateContent>
          <mc:Choice Requires="wpg">
            <w:drawing>
              <wp:anchor distT="0" distB="0" distL="114300" distR="114300" simplePos="0" relativeHeight="5680" behindDoc="0" locked="0" layoutInCell="1" allowOverlap="1" wp14:anchorId="7326D7C4" wp14:editId="1BCEAB90">
                <wp:simplePos x="0" y="0"/>
                <wp:positionH relativeFrom="page">
                  <wp:posOffset>5153025</wp:posOffset>
                </wp:positionH>
                <wp:positionV relativeFrom="paragraph">
                  <wp:posOffset>116840</wp:posOffset>
                </wp:positionV>
                <wp:extent cx="581025" cy="12700"/>
                <wp:effectExtent l="9525" t="8255" r="9525" b="7620"/>
                <wp:wrapNone/>
                <wp:docPr id="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8115" y="184"/>
                          <a:chExt cx="915" cy="20"/>
                        </a:xfrm>
                      </wpg:grpSpPr>
                      <wps:wsp>
                        <wps:cNvPr id="80" name="Line 64"/>
                        <wps:cNvCnPr>
                          <a:cxnSpLocks noChangeShapeType="1"/>
                        </wps:cNvCnPr>
                        <wps:spPr bwMode="auto">
                          <a:xfrm>
                            <a:off x="8115" y="194"/>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63"/>
                        <wps:cNvCnPr>
                          <a:cxnSpLocks noChangeShapeType="1"/>
                        </wps:cNvCnPr>
                        <wps:spPr bwMode="auto">
                          <a:xfrm>
                            <a:off x="8115" y="194"/>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00AE04" id="Group 62" o:spid="_x0000_s1026" style="position:absolute;margin-left:405.75pt;margin-top:9.2pt;width:45.75pt;height:1pt;z-index:5680;mso-position-horizontal-relative:page" coordorigin="8115,184"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">
                <v:line id="Line 64" o:spid="_x0000_s1027"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line id="Line 63" o:spid="_x0000_s1028"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w10:wrap anchorx="page"/>
              </v:group>
            </w:pict>
          </mc:Fallback>
        </mc:AlternateContent>
      </w:r>
      <w:r>
        <w:rPr>
          <w:b/>
          <w:sz w:val="16"/>
        </w:rPr>
        <w:t>Period</w:t>
      </w:r>
      <w:r>
        <w:rPr>
          <w:b/>
          <w:sz w:val="16"/>
        </w:rPr>
        <w:tab/>
        <w:t>Provision</w:t>
      </w:r>
      <w:r>
        <w:rPr>
          <w:b/>
          <w:sz w:val="16"/>
        </w:rPr>
        <w:tab/>
        <w:t>Other</w:t>
      </w:r>
    </w:p>
    <w:p w14:paraId="7326D439" w14:textId="7A598ECF" w:rsidR="00EF3DFB" w:rsidRDefault="00D27C17">
      <w:pPr>
        <w:spacing w:line="20" w:lineRule="exact"/>
        <w:ind w:left="148"/>
        <w:rPr>
          <w:sz w:val="2"/>
        </w:rPr>
      </w:pPr>
      <w:r>
        <w:rPr>
          <w:noProof/>
          <w:sz w:val="2"/>
        </w:rPr>
        <mc:AlternateContent>
          <mc:Choice Requires="wpg">
            <w:drawing>
              <wp:inline distT="0" distB="0" distL="0" distR="0" wp14:anchorId="7326D7C5" wp14:editId="4BA454E4">
                <wp:extent cx="657225" cy="12700"/>
                <wp:effectExtent l="12700" t="5715" r="6350" b="635"/>
                <wp:docPr id="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12700"/>
                          <a:chOff x="0" y="0"/>
                          <a:chExt cx="1035" cy="20"/>
                        </a:xfrm>
                      </wpg:grpSpPr>
                      <wps:wsp>
                        <wps:cNvPr id="77" name="Line 61"/>
                        <wps:cNvCnPr>
                          <a:cxnSpLocks noChangeShapeType="1"/>
                        </wps:cNvCnPr>
                        <wps:spPr bwMode="auto">
                          <a:xfrm>
                            <a:off x="0" y="10"/>
                            <a:ext cx="1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60"/>
                        <wps:cNvCnPr>
                          <a:cxnSpLocks noChangeShapeType="1"/>
                        </wps:cNvCnPr>
                        <wps:spPr bwMode="auto">
                          <a:xfrm>
                            <a:off x="0" y="10"/>
                            <a:ext cx="10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D5D9A" id="Group 59" o:spid="_x0000_s1026" style="width:51.75pt;height:1pt;mso-position-horizontal-relative:char;mso-position-vertical-relative:line" coordsize="1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">
                <v:line id="Line 61" o:spid="_x0000_s1027"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line id="Line 60" o:spid="_x0000_s1028"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C7" wp14:editId="14B4A728">
                <wp:extent cx="581025" cy="12700"/>
                <wp:effectExtent l="12700" t="5715" r="15875" b="635"/>
                <wp:docPr id="7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74" name="Line 58"/>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4789F0" id="Group 56"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">
                <v:line id="Line 58"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line id="Line 57"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w10:anchorlock/>
              </v:group>
            </w:pict>
          </mc:Fallback>
        </mc:AlternateContent>
      </w:r>
    </w:p>
    <w:p w14:paraId="7326D43A" w14:textId="77777777" w:rsidR="00EF3DFB" w:rsidRDefault="00D27C17">
      <w:pPr>
        <w:pStyle w:val="BodyText"/>
        <w:spacing w:before="8"/>
        <w:rPr>
          <w:b/>
          <w:sz w:val="23"/>
        </w:rPr>
      </w:pPr>
      <w:r>
        <w:br w:type="column"/>
      </w:r>
    </w:p>
    <w:p w14:paraId="7326D43B" w14:textId="4D48D82A" w:rsidR="00EF3DFB" w:rsidRDefault="00D27C17">
      <w:pPr>
        <w:spacing w:line="208" w:lineRule="auto"/>
        <w:ind w:left="242" w:right="-19" w:firstLine="9"/>
        <w:rPr>
          <w:b/>
          <w:sz w:val="16"/>
        </w:rPr>
      </w:pPr>
      <w:r>
        <w:rPr>
          <w:noProof/>
        </w:rPr>
        <mc:AlternateContent>
          <mc:Choice Requires="wpg">
            <w:drawing>
              <wp:anchor distT="0" distB="0" distL="114300" distR="114300" simplePos="0" relativeHeight="5704" behindDoc="0" locked="0" layoutInCell="1" allowOverlap="1" wp14:anchorId="7326D7C9" wp14:editId="15B148F7">
                <wp:simplePos x="0" y="0"/>
                <wp:positionH relativeFrom="page">
                  <wp:posOffset>5781675</wp:posOffset>
                </wp:positionH>
                <wp:positionV relativeFrom="paragraph">
                  <wp:posOffset>218440</wp:posOffset>
                </wp:positionV>
                <wp:extent cx="581025" cy="12700"/>
                <wp:effectExtent l="9525" t="8890" r="9525" b="6985"/>
                <wp:wrapNone/>
                <wp:docPr id="7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9105" y="344"/>
                          <a:chExt cx="915" cy="20"/>
                        </a:xfrm>
                      </wpg:grpSpPr>
                      <wps:wsp>
                        <wps:cNvPr id="71" name="Line 55"/>
                        <wps:cNvCnPr>
                          <a:cxnSpLocks noChangeShapeType="1"/>
                        </wps:cNvCnPr>
                        <wps:spPr bwMode="auto">
                          <a:xfrm>
                            <a:off x="9105" y="354"/>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54"/>
                        <wps:cNvCnPr>
                          <a:cxnSpLocks noChangeShapeType="1"/>
                        </wps:cNvCnPr>
                        <wps:spPr bwMode="auto">
                          <a:xfrm>
                            <a:off x="9105" y="354"/>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7C887" id="Group 53" o:spid="_x0000_s1026" style="position:absolute;margin-left:455.25pt;margin-top:17.2pt;width:45.75pt;height:1pt;z-index:5704;mso-position-horizontal-relative:page" coordorigin="9105,344"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">
                <v:line id="Line 55" o:spid="_x0000_s1027" style="position:absolute;visibility:visible;mso-wrap-style:square" from="9105,354" to="100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line id="Line 54" o:spid="_x0000_s1028" style="position:absolute;visibility:visible;mso-wrap-style:square" from="9105,354" to="100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w10:wrap anchorx="page"/>
              </v:group>
            </w:pict>
          </mc:Fallback>
        </mc:AlternateContent>
      </w:r>
      <w:r>
        <w:rPr>
          <w:b/>
          <w:sz w:val="16"/>
        </w:rPr>
        <w:t>Write-offs/ Disposition</w:t>
      </w:r>
    </w:p>
    <w:p w14:paraId="7326D43C" w14:textId="77777777" w:rsidR="00EF3DFB" w:rsidRDefault="00D27C17">
      <w:pPr>
        <w:spacing w:before="112" w:line="208" w:lineRule="auto"/>
        <w:ind w:left="338" w:right="669" w:hanging="129"/>
        <w:rPr>
          <w:b/>
          <w:sz w:val="16"/>
        </w:rPr>
      </w:pPr>
      <w:r>
        <w:br w:type="column"/>
      </w:r>
      <w:r>
        <w:rPr>
          <w:b/>
          <w:sz w:val="16"/>
        </w:rPr>
        <w:t>Balance at End of Period</w:t>
      </w:r>
    </w:p>
    <w:p w14:paraId="7326D43D" w14:textId="77777777" w:rsidR="00EF3DFB" w:rsidRDefault="00EF3DFB">
      <w:pPr>
        <w:pStyle w:val="BodyText"/>
        <w:spacing w:before="1"/>
        <w:rPr>
          <w:b/>
          <w:sz w:val="2"/>
        </w:rPr>
      </w:pPr>
    </w:p>
    <w:p w14:paraId="7326D43E" w14:textId="729DCD3A" w:rsidR="00EF3DFB" w:rsidRDefault="00D27C17">
      <w:pPr>
        <w:pStyle w:val="BodyText"/>
        <w:spacing w:line="20" w:lineRule="exact"/>
        <w:ind w:left="99"/>
        <w:rPr>
          <w:sz w:val="2"/>
        </w:rPr>
      </w:pPr>
      <w:r>
        <w:rPr>
          <w:noProof/>
          <w:sz w:val="2"/>
        </w:rPr>
        <mc:AlternateContent>
          <mc:Choice Requires="wpg">
            <w:drawing>
              <wp:inline distT="0" distB="0" distL="0" distR="0" wp14:anchorId="7326D7CA" wp14:editId="19E49E68">
                <wp:extent cx="581025" cy="12700"/>
                <wp:effectExtent l="12700" t="8255" r="6350" b="7620"/>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68" name="Line 52"/>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BD379C" id="Group 50"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">
                <v:line id="Line 52"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51"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w10:anchorlock/>
              </v:group>
            </w:pict>
          </mc:Fallback>
        </mc:AlternateContent>
      </w:r>
    </w:p>
    <w:p w14:paraId="7326D43F" w14:textId="77777777" w:rsidR="00EF3DFB" w:rsidRDefault="00EF3DFB">
      <w:pPr>
        <w:spacing w:line="20" w:lineRule="exact"/>
        <w:rPr>
          <w:sz w:val="2"/>
        </w:rPr>
        <w:sectPr w:rsidR="00EF3DFB">
          <w:type w:val="continuous"/>
          <w:pgSz w:w="12240" w:h="15840"/>
          <w:pgMar w:top="760" w:right="640" w:bottom="280" w:left="620" w:header="720" w:footer="720" w:gutter="0"/>
          <w:cols w:num="4" w:space="720" w:equalWidth="0">
            <w:col w:w="3380" w:space="1857"/>
            <w:col w:w="2961" w:space="120"/>
            <w:col w:w="1008" w:space="40"/>
            <w:col w:w="1614"/>
          </w:cols>
        </w:sectPr>
      </w:pPr>
    </w:p>
    <w:p w14:paraId="7326D440" w14:textId="6A37F241" w:rsidR="00EF3DFB" w:rsidRDefault="00D27C17">
      <w:pPr>
        <w:pStyle w:val="BodyText"/>
        <w:tabs>
          <w:tab w:val="left" w:pos="5447"/>
          <w:tab w:val="left" w:pos="6148"/>
          <w:tab w:val="left" w:pos="6557"/>
          <w:tab w:val="left" w:pos="7138"/>
          <w:tab w:val="left" w:pos="7547"/>
          <w:tab w:val="left" w:pos="8128"/>
          <w:tab w:val="left" w:pos="8537"/>
          <w:tab w:val="left" w:pos="9051"/>
          <w:tab w:val="right" w:pos="10308"/>
        </w:tabs>
        <w:spacing w:before="70"/>
        <w:ind w:left="242"/>
      </w:pPr>
      <w:r>
        <w:rPr>
          <w:noProof/>
        </w:rPr>
        <mc:AlternateContent>
          <mc:Choice Requires="wps">
            <w:drawing>
              <wp:anchor distT="0" distB="0" distL="114300" distR="114300" simplePos="0" relativeHeight="502909208" behindDoc="1" locked="0" layoutInCell="1" allowOverlap="1" wp14:anchorId="7326D7CC" wp14:editId="345634E5">
                <wp:simplePos x="0" y="0"/>
                <wp:positionH relativeFrom="page">
                  <wp:posOffset>514350</wp:posOffset>
                </wp:positionH>
                <wp:positionV relativeFrom="paragraph">
                  <wp:posOffset>19050</wp:posOffset>
                </wp:positionV>
                <wp:extent cx="6477000" cy="190500"/>
                <wp:effectExtent l="0" t="0" r="0" b="3175"/>
                <wp:wrapNone/>
                <wp:docPr id="6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3917" id="Rectangle 49" o:spid="_x0000_s1026" style="position:absolute;margin-left:40.5pt;margin-top:1.5pt;width:510pt;height:15pt;z-index:-407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" fillcolor="#ccedff" stroked="f">
                <w10:wrap anchorx="page"/>
              </v:rect>
            </w:pict>
          </mc:Fallback>
        </mc:AlternateContent>
      </w:r>
      <w:r>
        <w:t>Year Ended December</w:t>
      </w:r>
      <w:r>
        <w:rPr>
          <w:spacing w:val="-6"/>
        </w:rPr>
        <w:t xml:space="preserve"> </w:t>
      </w:r>
      <w:r>
        <w:t>31,</w:t>
      </w:r>
      <w:r>
        <w:rPr>
          <w:spacing w:val="-2"/>
        </w:rPr>
        <w:t xml:space="preserve"> </w:t>
      </w:r>
      <w:r>
        <w:t>2020</w:t>
      </w:r>
      <w:r>
        <w:tab/>
        <w:t>$</w:t>
      </w:r>
      <w:r>
        <w:tab/>
        <w:t>29</w:t>
      </w:r>
      <w:r>
        <w:tab/>
        <w:t>$</w:t>
      </w:r>
      <w:r>
        <w:tab/>
        <w:t>17</w:t>
      </w:r>
      <w:r>
        <w:tab/>
        <w:t>$</w:t>
      </w:r>
      <w:r>
        <w:tab/>
        <w:t>—</w:t>
      </w:r>
      <w:r>
        <w:tab/>
        <w:t>$</w:t>
      </w:r>
      <w:r>
        <w:tab/>
        <w:t xml:space="preserve">(10) </w:t>
      </w:r>
      <w:r>
        <w:rPr>
          <w:spacing w:val="41"/>
        </w:rPr>
        <w:t xml:space="preserve"> </w:t>
      </w:r>
      <w:r>
        <w:t>$</w:t>
      </w:r>
      <w:r>
        <w:tab/>
        <w:t>36</w:t>
      </w:r>
    </w:p>
    <w:p w14:paraId="7326D441" w14:textId="62808A0D" w:rsidR="00EF3DFB" w:rsidRDefault="00D27C17">
      <w:pPr>
        <w:pStyle w:val="BodyText"/>
        <w:tabs>
          <w:tab w:val="left" w:pos="6148"/>
          <w:tab w:val="left" w:pos="7138"/>
          <w:tab w:val="left" w:pos="8128"/>
          <w:tab w:val="left" w:pos="9151"/>
          <w:tab w:val="right" w:pos="10308"/>
        </w:tabs>
        <w:spacing w:before="70"/>
        <w:ind w:left="242"/>
      </w:pPr>
      <w:r>
        <w:rPr>
          <w:noProof/>
        </w:rPr>
        <mc:AlternateContent>
          <mc:Choice Requires="wps">
            <w:drawing>
              <wp:anchor distT="0" distB="0" distL="114300" distR="114300" simplePos="0" relativeHeight="502909232" behindDoc="1" locked="0" layoutInCell="1" allowOverlap="1" wp14:anchorId="7326D7CD" wp14:editId="04A5AA3D">
                <wp:simplePos x="0" y="0"/>
                <wp:positionH relativeFrom="page">
                  <wp:posOffset>514350</wp:posOffset>
                </wp:positionH>
                <wp:positionV relativeFrom="paragraph">
                  <wp:posOffset>209550</wp:posOffset>
                </wp:positionV>
                <wp:extent cx="6477000" cy="190500"/>
                <wp:effectExtent l="0" t="0" r="0" b="3175"/>
                <wp:wrapNone/>
                <wp:docPr id="6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E3B3" id="Rectangle 48" o:spid="_x0000_s1026" style="position:absolute;margin-left:40.5pt;margin-top:16.5pt;width:510pt;height:15pt;z-index:-40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" fillcolor="#ccedff" stroked="f">
                <w10:wrap anchorx="page"/>
              </v:rect>
            </w:pict>
          </mc:Fallback>
        </mc:AlternateContent>
      </w:r>
      <w:r>
        <w:t>Year Ended December</w:t>
      </w:r>
      <w:r>
        <w:rPr>
          <w:spacing w:val="-6"/>
        </w:rPr>
        <w:t xml:space="preserve"> </w:t>
      </w:r>
      <w:r>
        <w:t>31,</w:t>
      </w:r>
      <w:r>
        <w:rPr>
          <w:spacing w:val="-2"/>
        </w:rPr>
        <w:t xml:space="preserve"> </w:t>
      </w:r>
      <w:r>
        <w:t>2019</w:t>
      </w:r>
      <w:r>
        <w:tab/>
        <w:t>27</w:t>
      </w:r>
      <w:r>
        <w:tab/>
        <w:t>11</w:t>
      </w:r>
      <w:r>
        <w:tab/>
        <w:t>—</w:t>
      </w:r>
      <w:r>
        <w:tab/>
        <w:t>(9)</w:t>
      </w:r>
      <w:r>
        <w:tab/>
        <w:t>29</w:t>
      </w:r>
    </w:p>
    <w:p w14:paraId="7326D442" w14:textId="77777777" w:rsidR="00EF3DFB" w:rsidRDefault="00D27C17">
      <w:pPr>
        <w:pStyle w:val="BodyText"/>
        <w:tabs>
          <w:tab w:val="left" w:pos="6148"/>
          <w:tab w:val="left" w:pos="7138"/>
          <w:tab w:val="left" w:pos="8161"/>
          <w:tab w:val="left" w:pos="9051"/>
          <w:tab w:val="right" w:pos="10308"/>
        </w:tabs>
        <w:spacing w:before="70"/>
        <w:ind w:left="242"/>
      </w:pPr>
      <w:r>
        <w:t>Year Ended December</w:t>
      </w:r>
      <w:r>
        <w:rPr>
          <w:spacing w:val="-6"/>
        </w:rPr>
        <w:t xml:space="preserve"> </w:t>
      </w:r>
      <w:r>
        <w:t>31,</w:t>
      </w:r>
      <w:r>
        <w:rPr>
          <w:spacing w:val="-2"/>
        </w:rPr>
        <w:t xml:space="preserve"> </w:t>
      </w:r>
      <w:r>
        <w:t>2018</w:t>
      </w:r>
      <w:r>
        <w:tab/>
        <w:t>33</w:t>
      </w:r>
      <w:r>
        <w:tab/>
        <w:t>37</w:t>
      </w:r>
      <w:r>
        <w:tab/>
        <w:t>(2)</w:t>
      </w:r>
      <w:r>
        <w:tab/>
        <w:t>(41)</w:t>
      </w:r>
      <w:r>
        <w:tab/>
        <w:t>27</w:t>
      </w:r>
    </w:p>
    <w:p w14:paraId="7326D443" w14:textId="77777777" w:rsidR="00EF3DFB" w:rsidRDefault="00EF3DFB">
      <w:pPr>
        <w:sectPr w:rsidR="00EF3DFB">
          <w:type w:val="continuous"/>
          <w:pgSz w:w="12240" w:h="15840"/>
          <w:pgMar w:top="760" w:right="640" w:bottom="280" w:left="620" w:header="720" w:footer="720" w:gutter="0"/>
          <w:cols w:space="720"/>
        </w:sectPr>
      </w:pPr>
    </w:p>
    <w:p w14:paraId="7326D444" w14:textId="77777777" w:rsidR="00EF3DFB" w:rsidRDefault="00EF3DFB">
      <w:pPr>
        <w:pStyle w:val="BodyText"/>
        <w:rPr>
          <w:sz w:val="22"/>
        </w:rPr>
      </w:pPr>
    </w:p>
    <w:p w14:paraId="7326D445" w14:textId="77777777" w:rsidR="00EF3DFB" w:rsidRDefault="00EF3DFB">
      <w:pPr>
        <w:pStyle w:val="BodyText"/>
        <w:rPr>
          <w:sz w:val="22"/>
        </w:rPr>
      </w:pPr>
    </w:p>
    <w:p w14:paraId="7326D446" w14:textId="77777777" w:rsidR="00EF3DFB" w:rsidRDefault="00EF3DFB">
      <w:pPr>
        <w:pStyle w:val="BodyText"/>
        <w:rPr>
          <w:sz w:val="22"/>
        </w:rPr>
      </w:pPr>
    </w:p>
    <w:p w14:paraId="7326D447" w14:textId="77777777" w:rsidR="00EF3DFB" w:rsidRDefault="00EF3DFB">
      <w:pPr>
        <w:pStyle w:val="BodyText"/>
        <w:spacing w:before="3"/>
        <w:rPr>
          <w:sz w:val="29"/>
        </w:rPr>
      </w:pPr>
    </w:p>
    <w:p w14:paraId="7326D448" w14:textId="77777777" w:rsidR="00EF3DFB" w:rsidRDefault="00D27C17">
      <w:pPr>
        <w:ind w:left="242"/>
        <w:rPr>
          <w:i/>
          <w:sz w:val="20"/>
        </w:rPr>
      </w:pPr>
      <w:r>
        <w:rPr>
          <w:i/>
          <w:sz w:val="20"/>
        </w:rPr>
        <w:t>(in millions)</w:t>
      </w:r>
    </w:p>
    <w:p w14:paraId="7326D449" w14:textId="77777777" w:rsidR="00EF3DFB" w:rsidRDefault="00D27C17">
      <w:pPr>
        <w:pStyle w:val="Heading2"/>
        <w:spacing w:before="35" w:line="215" w:lineRule="exact"/>
        <w:ind w:left="242"/>
        <w:jc w:val="left"/>
      </w:pPr>
      <w:r>
        <w:t>Inventory Reserves:</w:t>
      </w:r>
    </w:p>
    <w:p w14:paraId="7326D44A" w14:textId="77777777" w:rsidR="00EF3DFB" w:rsidRDefault="00D27C17">
      <w:pPr>
        <w:spacing w:line="215" w:lineRule="exact"/>
        <w:ind w:left="242"/>
        <w:rPr>
          <w:b/>
          <w:sz w:val="20"/>
        </w:rPr>
      </w:pPr>
      <w:r>
        <w:rPr>
          <w:b/>
          <w:sz w:val="20"/>
        </w:rPr>
        <w:t>(including excess, obsolescence and shrink reserves)</w:t>
      </w:r>
    </w:p>
    <w:p w14:paraId="7326D44B" w14:textId="77777777" w:rsidR="00EF3DFB" w:rsidRDefault="00D27C17">
      <w:pPr>
        <w:pStyle w:val="BodyText"/>
        <w:rPr>
          <w:b/>
          <w:sz w:val="18"/>
        </w:rPr>
      </w:pPr>
      <w:r>
        <w:br w:type="column"/>
      </w:r>
    </w:p>
    <w:p w14:paraId="7326D44C" w14:textId="77777777" w:rsidR="00EF3DFB" w:rsidRDefault="00EF3DFB">
      <w:pPr>
        <w:pStyle w:val="BodyText"/>
        <w:rPr>
          <w:b/>
          <w:sz w:val="18"/>
        </w:rPr>
      </w:pPr>
    </w:p>
    <w:p w14:paraId="7326D44D" w14:textId="77777777" w:rsidR="00EF3DFB" w:rsidRDefault="00D27C17">
      <w:pPr>
        <w:spacing w:before="127" w:line="208" w:lineRule="auto"/>
        <w:ind w:left="242" w:right="1832" w:firstLine="75"/>
        <w:rPr>
          <w:b/>
          <w:sz w:val="16"/>
        </w:rPr>
      </w:pPr>
      <w:r>
        <w:rPr>
          <w:b/>
          <w:sz w:val="16"/>
        </w:rPr>
        <w:t>Balance at Beginning of</w:t>
      </w:r>
    </w:p>
    <w:p w14:paraId="7326D44E" w14:textId="42FC393C" w:rsidR="00EF3DFB" w:rsidRDefault="00D27C17">
      <w:pPr>
        <w:tabs>
          <w:tab w:val="left" w:pos="1401"/>
          <w:tab w:val="left" w:pos="2511"/>
        </w:tabs>
        <w:spacing w:line="164" w:lineRule="exact"/>
        <w:ind w:left="449"/>
        <w:rPr>
          <w:b/>
          <w:sz w:val="16"/>
        </w:rPr>
      </w:pPr>
      <w:r>
        <w:rPr>
          <w:noProof/>
        </w:rPr>
        <mc:AlternateContent>
          <mc:Choice Requires="wpg">
            <w:drawing>
              <wp:anchor distT="0" distB="0" distL="114300" distR="114300" simplePos="0" relativeHeight="5776" behindDoc="0" locked="0" layoutInCell="1" allowOverlap="1" wp14:anchorId="7326D7CE" wp14:editId="744CD7B5">
                <wp:simplePos x="0" y="0"/>
                <wp:positionH relativeFrom="page">
                  <wp:posOffset>5153025</wp:posOffset>
                </wp:positionH>
                <wp:positionV relativeFrom="paragraph">
                  <wp:posOffset>116840</wp:posOffset>
                </wp:positionV>
                <wp:extent cx="581025" cy="12700"/>
                <wp:effectExtent l="9525" t="2540" r="9525" b="3810"/>
                <wp:wrapNone/>
                <wp:docPr id="6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8115" y="184"/>
                          <a:chExt cx="915" cy="20"/>
                        </a:xfrm>
                      </wpg:grpSpPr>
                      <wps:wsp>
                        <wps:cNvPr id="63" name="Line 47"/>
                        <wps:cNvCnPr>
                          <a:cxnSpLocks noChangeShapeType="1"/>
                        </wps:cNvCnPr>
                        <wps:spPr bwMode="auto">
                          <a:xfrm>
                            <a:off x="8115" y="194"/>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6"/>
                        <wps:cNvCnPr>
                          <a:cxnSpLocks noChangeShapeType="1"/>
                        </wps:cNvCnPr>
                        <wps:spPr bwMode="auto">
                          <a:xfrm>
                            <a:off x="8115" y="194"/>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59F4D0" id="Group 45" o:spid="_x0000_s1026" style="position:absolute;margin-left:405.75pt;margin-top:9.2pt;width:45.75pt;height:1pt;z-index:5776;mso-position-horizontal-relative:page" coordorigin="8115,184"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">
                <v:line id="Line 47" o:spid="_x0000_s1027"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line id="Line 46" o:spid="_x0000_s1028"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w10:wrap anchorx="page"/>
              </v:group>
            </w:pict>
          </mc:Fallback>
        </mc:AlternateContent>
      </w:r>
      <w:r>
        <w:rPr>
          <w:b/>
          <w:sz w:val="16"/>
        </w:rPr>
        <w:t>Period</w:t>
      </w:r>
      <w:r>
        <w:rPr>
          <w:b/>
          <w:sz w:val="16"/>
        </w:rPr>
        <w:tab/>
        <w:t>Provision</w:t>
      </w:r>
      <w:r>
        <w:rPr>
          <w:b/>
          <w:sz w:val="16"/>
        </w:rPr>
        <w:tab/>
        <w:t>Other</w:t>
      </w:r>
    </w:p>
    <w:p w14:paraId="7326D44F" w14:textId="7D473942" w:rsidR="00EF3DFB" w:rsidRDefault="00D27C17">
      <w:pPr>
        <w:spacing w:line="20" w:lineRule="exact"/>
        <w:ind w:left="148"/>
        <w:rPr>
          <w:sz w:val="2"/>
        </w:rPr>
      </w:pPr>
      <w:r>
        <w:rPr>
          <w:noProof/>
          <w:sz w:val="2"/>
        </w:rPr>
        <mc:AlternateContent>
          <mc:Choice Requires="wpg">
            <w:drawing>
              <wp:inline distT="0" distB="0" distL="0" distR="0" wp14:anchorId="7326D7CF" wp14:editId="386E5F35">
                <wp:extent cx="657225" cy="12700"/>
                <wp:effectExtent l="12700" t="0" r="6350" b="6350"/>
                <wp:docPr id="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12700"/>
                          <a:chOff x="0" y="0"/>
                          <a:chExt cx="1035" cy="20"/>
                        </a:xfrm>
                      </wpg:grpSpPr>
                      <wps:wsp>
                        <wps:cNvPr id="60" name="Line 44"/>
                        <wps:cNvCnPr>
                          <a:cxnSpLocks noChangeShapeType="1"/>
                        </wps:cNvCnPr>
                        <wps:spPr bwMode="auto">
                          <a:xfrm>
                            <a:off x="0" y="10"/>
                            <a:ext cx="1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3"/>
                        <wps:cNvCnPr>
                          <a:cxnSpLocks noChangeShapeType="1"/>
                        </wps:cNvCnPr>
                        <wps:spPr bwMode="auto">
                          <a:xfrm>
                            <a:off x="0" y="10"/>
                            <a:ext cx="10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A7B912" id="Group 42" o:spid="_x0000_s1026" style="width:51.75pt;height:1pt;mso-position-horizontal-relative:char;mso-position-vertical-relative:line" coordsize="1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">
                <v:line id="Line 44" o:spid="_x0000_s1027"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line id="Line 43" o:spid="_x0000_s1028"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D1" wp14:editId="21F73DDE">
                <wp:extent cx="581025" cy="12700"/>
                <wp:effectExtent l="12700" t="0" r="15875" b="6350"/>
                <wp:docPr id="5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57" name="Line 41"/>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999EB" id="Group 39"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">
                <v:line id="Line 41"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line id="Line 40"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w10:anchorlock/>
              </v:group>
            </w:pict>
          </mc:Fallback>
        </mc:AlternateContent>
      </w:r>
    </w:p>
    <w:p w14:paraId="7326D450" w14:textId="77777777" w:rsidR="00EF3DFB" w:rsidRDefault="00D27C17">
      <w:pPr>
        <w:pStyle w:val="BodyText"/>
        <w:rPr>
          <w:b/>
          <w:sz w:val="18"/>
        </w:rPr>
      </w:pPr>
      <w:r>
        <w:br w:type="column"/>
      </w:r>
    </w:p>
    <w:p w14:paraId="7326D451" w14:textId="77777777" w:rsidR="00EF3DFB" w:rsidRDefault="00EF3DFB">
      <w:pPr>
        <w:pStyle w:val="BodyText"/>
        <w:rPr>
          <w:b/>
          <w:sz w:val="18"/>
        </w:rPr>
      </w:pPr>
    </w:p>
    <w:p w14:paraId="7326D452" w14:textId="77777777" w:rsidR="00EF3DFB" w:rsidRDefault="00EF3DFB">
      <w:pPr>
        <w:pStyle w:val="BodyText"/>
        <w:spacing w:before="10"/>
        <w:rPr>
          <w:b/>
          <w:sz w:val="24"/>
        </w:rPr>
      </w:pPr>
    </w:p>
    <w:p w14:paraId="7326D453" w14:textId="4B6B5F64" w:rsidR="00EF3DFB" w:rsidRDefault="00D27C17">
      <w:pPr>
        <w:spacing w:before="1" w:line="208" w:lineRule="auto"/>
        <w:ind w:left="242" w:right="-19" w:firstLine="9"/>
        <w:rPr>
          <w:b/>
          <w:sz w:val="16"/>
        </w:rPr>
      </w:pPr>
      <w:r>
        <w:rPr>
          <w:noProof/>
        </w:rPr>
        <mc:AlternateContent>
          <mc:Choice Requires="wpg">
            <w:drawing>
              <wp:anchor distT="0" distB="0" distL="114300" distR="114300" simplePos="0" relativeHeight="5800" behindDoc="0" locked="0" layoutInCell="1" allowOverlap="1" wp14:anchorId="7326D7D3" wp14:editId="2C942C11">
                <wp:simplePos x="0" y="0"/>
                <wp:positionH relativeFrom="page">
                  <wp:posOffset>5781675</wp:posOffset>
                </wp:positionH>
                <wp:positionV relativeFrom="paragraph">
                  <wp:posOffset>219075</wp:posOffset>
                </wp:positionV>
                <wp:extent cx="581025" cy="12700"/>
                <wp:effectExtent l="9525" t="3175" r="9525" b="3175"/>
                <wp:wrapNone/>
                <wp:docPr id="5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9105" y="345"/>
                          <a:chExt cx="915" cy="20"/>
                        </a:xfrm>
                      </wpg:grpSpPr>
                      <wps:wsp>
                        <wps:cNvPr id="54" name="Line 38"/>
                        <wps:cNvCnPr>
                          <a:cxnSpLocks noChangeShapeType="1"/>
                        </wps:cNvCnPr>
                        <wps:spPr bwMode="auto">
                          <a:xfrm>
                            <a:off x="9105" y="355"/>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7"/>
                        <wps:cNvCnPr>
                          <a:cxnSpLocks noChangeShapeType="1"/>
                        </wps:cNvCnPr>
                        <wps:spPr bwMode="auto">
                          <a:xfrm>
                            <a:off x="9105" y="355"/>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FB5D2" id="Group 36" o:spid="_x0000_s1026" style="position:absolute;margin-left:455.25pt;margin-top:17.25pt;width:45.75pt;height:1pt;z-index:5800;mso-position-horizontal-relative:page" coordorigin="9105,345"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">
                <v:line id="Line 38" o:spid="_x0000_s1027" style="position:absolute;visibility:visible;mso-wrap-style:square" from="9105,355" to="100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line id="Line 37" o:spid="_x0000_s1028" style="position:absolute;visibility:visible;mso-wrap-style:square" from="9105,355" to="100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w10:wrap anchorx="page"/>
              </v:group>
            </w:pict>
          </mc:Fallback>
        </mc:AlternateContent>
      </w:r>
      <w:r>
        <w:rPr>
          <w:b/>
          <w:sz w:val="16"/>
        </w:rPr>
        <w:t>Write-offs/ Disposition</w:t>
      </w:r>
    </w:p>
    <w:p w14:paraId="7326D454" w14:textId="77777777" w:rsidR="00EF3DFB" w:rsidRDefault="00D27C17">
      <w:pPr>
        <w:pStyle w:val="BodyText"/>
        <w:rPr>
          <w:b/>
          <w:sz w:val="18"/>
        </w:rPr>
      </w:pPr>
      <w:r>
        <w:br w:type="column"/>
      </w:r>
    </w:p>
    <w:p w14:paraId="7326D455" w14:textId="77777777" w:rsidR="00EF3DFB" w:rsidRDefault="00EF3DFB">
      <w:pPr>
        <w:pStyle w:val="BodyText"/>
        <w:rPr>
          <w:b/>
          <w:sz w:val="18"/>
        </w:rPr>
      </w:pPr>
    </w:p>
    <w:p w14:paraId="7326D456" w14:textId="77777777" w:rsidR="00EF3DFB" w:rsidRDefault="00D27C17">
      <w:pPr>
        <w:spacing w:before="127" w:line="208" w:lineRule="auto"/>
        <w:ind w:left="338" w:right="669" w:hanging="129"/>
        <w:rPr>
          <w:b/>
          <w:sz w:val="16"/>
        </w:rPr>
      </w:pPr>
      <w:r>
        <w:rPr>
          <w:b/>
          <w:sz w:val="16"/>
        </w:rPr>
        <w:t>Balance at End of Period</w:t>
      </w:r>
    </w:p>
    <w:p w14:paraId="7326D457" w14:textId="77777777" w:rsidR="00EF3DFB" w:rsidRDefault="00EF3DFB">
      <w:pPr>
        <w:pStyle w:val="BodyText"/>
        <w:spacing w:before="1"/>
        <w:rPr>
          <w:b/>
          <w:sz w:val="2"/>
        </w:rPr>
      </w:pPr>
    </w:p>
    <w:p w14:paraId="7326D458" w14:textId="16AA15C8" w:rsidR="00EF3DFB" w:rsidRDefault="00D27C17">
      <w:pPr>
        <w:pStyle w:val="BodyText"/>
        <w:spacing w:line="20" w:lineRule="exact"/>
        <w:ind w:left="99"/>
        <w:rPr>
          <w:sz w:val="2"/>
        </w:rPr>
      </w:pPr>
      <w:r>
        <w:rPr>
          <w:noProof/>
          <w:sz w:val="2"/>
        </w:rPr>
        <mc:AlternateContent>
          <mc:Choice Requires="wpg">
            <w:drawing>
              <wp:inline distT="0" distB="0" distL="0" distR="0" wp14:anchorId="7326D7D4" wp14:editId="07F9D697">
                <wp:extent cx="581025" cy="12700"/>
                <wp:effectExtent l="12700" t="2540" r="6350" b="3810"/>
                <wp:docPr id="5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51" name="Line 35"/>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9E5ACA" id="Group 33"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">
                <v:line id="Line 35"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line id="Line 34"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w10:anchorlock/>
              </v:group>
            </w:pict>
          </mc:Fallback>
        </mc:AlternateContent>
      </w:r>
    </w:p>
    <w:p w14:paraId="7326D459" w14:textId="77777777" w:rsidR="00EF3DFB" w:rsidRDefault="00EF3DFB">
      <w:pPr>
        <w:spacing w:line="20" w:lineRule="exact"/>
        <w:rPr>
          <w:sz w:val="2"/>
        </w:rPr>
        <w:sectPr w:rsidR="00EF3DFB">
          <w:type w:val="continuous"/>
          <w:pgSz w:w="12240" w:h="15840"/>
          <w:pgMar w:top="760" w:right="640" w:bottom="280" w:left="620" w:header="720" w:footer="720" w:gutter="0"/>
          <w:cols w:num="4" w:space="720" w:equalWidth="0">
            <w:col w:w="4690" w:space="547"/>
            <w:col w:w="2961" w:space="120"/>
            <w:col w:w="1008" w:space="40"/>
            <w:col w:w="1614"/>
          </w:cols>
        </w:sectPr>
      </w:pPr>
    </w:p>
    <w:p w14:paraId="7326D45A" w14:textId="194BD495" w:rsidR="00EF3DFB" w:rsidRDefault="00D27C17">
      <w:pPr>
        <w:pStyle w:val="BodyText"/>
        <w:tabs>
          <w:tab w:val="left" w:pos="5447"/>
          <w:tab w:val="left" w:pos="6148"/>
          <w:tab w:val="left" w:pos="6557"/>
          <w:tab w:val="left" w:pos="7138"/>
          <w:tab w:val="left" w:pos="7547"/>
          <w:tab w:val="left" w:pos="8228"/>
          <w:tab w:val="left" w:pos="8537"/>
          <w:tab w:val="left" w:pos="9051"/>
          <w:tab w:val="right" w:pos="10308"/>
        </w:tabs>
        <w:spacing w:before="70"/>
        <w:ind w:left="242"/>
      </w:pPr>
      <w:r>
        <w:rPr>
          <w:noProof/>
        </w:rPr>
        <mc:AlternateContent>
          <mc:Choice Requires="wps">
            <w:drawing>
              <wp:anchor distT="0" distB="0" distL="114300" distR="114300" simplePos="0" relativeHeight="502909304" behindDoc="1" locked="0" layoutInCell="1" allowOverlap="1" wp14:anchorId="7326D7D6" wp14:editId="0FCBD234">
                <wp:simplePos x="0" y="0"/>
                <wp:positionH relativeFrom="page">
                  <wp:posOffset>514350</wp:posOffset>
                </wp:positionH>
                <wp:positionV relativeFrom="paragraph">
                  <wp:posOffset>19050</wp:posOffset>
                </wp:positionV>
                <wp:extent cx="6477000" cy="190500"/>
                <wp:effectExtent l="0" t="0" r="0" b="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2314" id="Rectangle 32" o:spid="_x0000_s1026" style="position:absolute;margin-left:40.5pt;margin-top:1.5pt;width:510pt;height:15pt;z-index:-407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" fillcolor="#ccedff" stroked="f">
                <w10:wrap anchorx="page"/>
              </v:rect>
            </w:pict>
          </mc:Fallback>
        </mc:AlternateContent>
      </w:r>
      <w:r>
        <w:t>Year Ended December</w:t>
      </w:r>
      <w:r>
        <w:rPr>
          <w:spacing w:val="-6"/>
        </w:rPr>
        <w:t xml:space="preserve"> </w:t>
      </w:r>
      <w:r>
        <w:t>31,</w:t>
      </w:r>
      <w:r>
        <w:rPr>
          <w:spacing w:val="-2"/>
        </w:rPr>
        <w:t xml:space="preserve"> </w:t>
      </w:r>
      <w:r>
        <w:t>2020</w:t>
      </w:r>
      <w:r>
        <w:tab/>
        <w:t>$</w:t>
      </w:r>
      <w:r>
        <w:tab/>
        <w:t>78</w:t>
      </w:r>
      <w:r>
        <w:tab/>
        <w:t>$</w:t>
      </w:r>
      <w:r>
        <w:tab/>
        <w:t>68</w:t>
      </w:r>
      <w:r>
        <w:tab/>
        <w:t>$</w:t>
      </w:r>
      <w:r>
        <w:tab/>
        <w:t>2</w:t>
      </w:r>
      <w:r>
        <w:tab/>
        <w:t>$</w:t>
      </w:r>
      <w:r>
        <w:tab/>
        <w:t xml:space="preserve">(66) </w:t>
      </w:r>
      <w:r>
        <w:rPr>
          <w:spacing w:val="41"/>
        </w:rPr>
        <w:t xml:space="preserve"> </w:t>
      </w:r>
      <w:r>
        <w:t>$</w:t>
      </w:r>
      <w:r>
        <w:tab/>
        <w:t>82</w:t>
      </w:r>
    </w:p>
    <w:p w14:paraId="7326D45B" w14:textId="33CFAAEB" w:rsidR="00EF3DFB" w:rsidRDefault="00D27C17">
      <w:pPr>
        <w:pStyle w:val="BodyText"/>
        <w:tabs>
          <w:tab w:val="left" w:pos="6148"/>
          <w:tab w:val="left" w:pos="7138"/>
          <w:tab w:val="left" w:pos="8128"/>
          <w:tab w:val="left" w:pos="9051"/>
          <w:tab w:val="right" w:pos="10308"/>
        </w:tabs>
        <w:spacing w:before="70"/>
        <w:ind w:left="242"/>
      </w:pPr>
      <w:r>
        <w:rPr>
          <w:noProof/>
        </w:rPr>
        <mc:AlternateContent>
          <mc:Choice Requires="wps">
            <w:drawing>
              <wp:anchor distT="0" distB="0" distL="114300" distR="114300" simplePos="0" relativeHeight="502909328" behindDoc="1" locked="0" layoutInCell="1" allowOverlap="1" wp14:anchorId="7326D7D7" wp14:editId="3BE74F08">
                <wp:simplePos x="0" y="0"/>
                <wp:positionH relativeFrom="page">
                  <wp:posOffset>514350</wp:posOffset>
                </wp:positionH>
                <wp:positionV relativeFrom="paragraph">
                  <wp:posOffset>209550</wp:posOffset>
                </wp:positionV>
                <wp:extent cx="6477000" cy="200025"/>
                <wp:effectExtent l="0" t="0" r="0" b="0"/>
                <wp:wrapNone/>
                <wp:docPr id="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0002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9214F" id="Rectangle 31" o:spid="_x0000_s1026" style="position:absolute;margin-left:40.5pt;margin-top:16.5pt;width:510pt;height:15.75pt;z-index:-40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" fillcolor="#ccedff" stroked="f">
                <w10:wrap anchorx="page"/>
              </v:rect>
            </w:pict>
          </mc:Fallback>
        </mc:AlternateContent>
      </w:r>
      <w:r>
        <w:t>Year Ended December</w:t>
      </w:r>
      <w:r>
        <w:rPr>
          <w:spacing w:val="-6"/>
        </w:rPr>
        <w:t xml:space="preserve"> </w:t>
      </w:r>
      <w:r>
        <w:t>31,</w:t>
      </w:r>
      <w:r>
        <w:rPr>
          <w:spacing w:val="-2"/>
        </w:rPr>
        <w:t xml:space="preserve"> </w:t>
      </w:r>
      <w:r>
        <w:t>2019</w:t>
      </w:r>
      <w:r>
        <w:tab/>
        <w:t>84</w:t>
      </w:r>
      <w:r>
        <w:tab/>
        <w:t>56</w:t>
      </w:r>
      <w:r>
        <w:tab/>
        <w:t>—</w:t>
      </w:r>
      <w:r>
        <w:tab/>
        <w:t>(62)</w:t>
      </w:r>
      <w:r>
        <w:tab/>
        <w:t>78</w:t>
      </w:r>
    </w:p>
    <w:p w14:paraId="7326D45C" w14:textId="77777777" w:rsidR="00EF3DFB" w:rsidRDefault="00D27C17">
      <w:pPr>
        <w:pStyle w:val="BodyText"/>
        <w:tabs>
          <w:tab w:val="left" w:pos="6177"/>
          <w:tab w:val="left" w:pos="7167"/>
          <w:tab w:val="left" w:pos="8161"/>
          <w:tab w:val="left" w:pos="9051"/>
          <w:tab w:val="right" w:pos="10337"/>
        </w:tabs>
        <w:spacing w:before="85"/>
        <w:ind w:left="242"/>
      </w:pPr>
      <w:r>
        <w:t>Year Ended December</w:t>
      </w:r>
      <w:r>
        <w:rPr>
          <w:spacing w:val="-6"/>
        </w:rPr>
        <w:t xml:space="preserve"> </w:t>
      </w:r>
      <w:r>
        <w:t>31,</w:t>
      </w:r>
      <w:r>
        <w:rPr>
          <w:spacing w:val="-2"/>
        </w:rPr>
        <w:t xml:space="preserve"> </w:t>
      </w:r>
      <w:r>
        <w:t>2018</w:t>
      </w:r>
      <w:r>
        <w:tab/>
        <w:t>75</w:t>
      </w:r>
      <w:r>
        <w:tab/>
        <w:t>54</w:t>
      </w:r>
      <w:r>
        <w:tab/>
        <w:t>(2)</w:t>
      </w:r>
      <w:r>
        <w:tab/>
        <w:t>(43)</w:t>
      </w:r>
      <w:r>
        <w:tab/>
        <w:t>84</w:t>
      </w:r>
    </w:p>
    <w:p w14:paraId="7326D45D" w14:textId="77777777" w:rsidR="00EF3DFB" w:rsidRDefault="00EF3DFB">
      <w:pPr>
        <w:sectPr w:rsidR="00EF3DFB">
          <w:type w:val="continuous"/>
          <w:pgSz w:w="12240" w:h="15840"/>
          <w:pgMar w:top="760" w:right="640" w:bottom="280" w:left="620" w:header="720" w:footer="720" w:gutter="0"/>
          <w:cols w:space="720"/>
        </w:sectPr>
      </w:pPr>
    </w:p>
    <w:p w14:paraId="7326D45E" w14:textId="77777777" w:rsidR="00EF3DFB" w:rsidRDefault="00EF3DFB">
      <w:pPr>
        <w:pStyle w:val="BodyText"/>
        <w:rPr>
          <w:sz w:val="22"/>
        </w:rPr>
      </w:pPr>
    </w:p>
    <w:p w14:paraId="7326D45F" w14:textId="77777777" w:rsidR="00EF3DFB" w:rsidRDefault="00EF3DFB">
      <w:pPr>
        <w:pStyle w:val="BodyText"/>
        <w:rPr>
          <w:sz w:val="22"/>
        </w:rPr>
      </w:pPr>
    </w:p>
    <w:p w14:paraId="7326D460" w14:textId="77777777" w:rsidR="00EF3DFB" w:rsidRDefault="00EF3DFB">
      <w:pPr>
        <w:pStyle w:val="BodyText"/>
        <w:rPr>
          <w:sz w:val="22"/>
        </w:rPr>
      </w:pPr>
    </w:p>
    <w:p w14:paraId="7326D461" w14:textId="77777777" w:rsidR="00EF3DFB" w:rsidRDefault="00EF3DFB">
      <w:pPr>
        <w:pStyle w:val="BodyText"/>
        <w:spacing w:before="4"/>
        <w:rPr>
          <w:sz w:val="28"/>
        </w:rPr>
      </w:pPr>
    </w:p>
    <w:p w14:paraId="7326D462" w14:textId="77777777" w:rsidR="00EF3DFB" w:rsidRDefault="00D27C17">
      <w:pPr>
        <w:ind w:left="242"/>
        <w:rPr>
          <w:i/>
          <w:sz w:val="20"/>
        </w:rPr>
      </w:pPr>
      <w:r>
        <w:rPr>
          <w:i/>
          <w:sz w:val="20"/>
        </w:rPr>
        <w:t>(in millions)</w:t>
      </w:r>
    </w:p>
    <w:p w14:paraId="7326D463" w14:textId="77777777" w:rsidR="00EF3DFB" w:rsidRDefault="00D27C17">
      <w:pPr>
        <w:pStyle w:val="Heading2"/>
        <w:spacing w:before="70"/>
        <w:ind w:left="242"/>
        <w:jc w:val="left"/>
      </w:pPr>
      <w:r>
        <w:t>Income Tax Valuation Allowance</w:t>
      </w:r>
    </w:p>
    <w:p w14:paraId="7326D464" w14:textId="77777777" w:rsidR="00EF3DFB" w:rsidRDefault="00D27C17">
      <w:pPr>
        <w:pStyle w:val="BodyText"/>
        <w:rPr>
          <w:b/>
          <w:sz w:val="18"/>
        </w:rPr>
      </w:pPr>
      <w:r>
        <w:br w:type="column"/>
      </w:r>
    </w:p>
    <w:p w14:paraId="7326D465" w14:textId="77777777" w:rsidR="00EF3DFB" w:rsidRDefault="00EF3DFB">
      <w:pPr>
        <w:pStyle w:val="BodyText"/>
        <w:rPr>
          <w:b/>
          <w:sz w:val="18"/>
        </w:rPr>
      </w:pPr>
    </w:p>
    <w:p w14:paraId="7326D466" w14:textId="77777777" w:rsidR="00EF3DFB" w:rsidRDefault="00D27C17">
      <w:pPr>
        <w:spacing w:before="116" w:line="208" w:lineRule="auto"/>
        <w:ind w:left="242" w:right="1832" w:firstLine="75"/>
        <w:rPr>
          <w:b/>
          <w:sz w:val="16"/>
        </w:rPr>
      </w:pPr>
      <w:r>
        <w:rPr>
          <w:b/>
          <w:sz w:val="16"/>
        </w:rPr>
        <w:t>Balance at Beginning of</w:t>
      </w:r>
    </w:p>
    <w:p w14:paraId="7326D467" w14:textId="358DDB06" w:rsidR="00EF3DFB" w:rsidRDefault="00D27C17">
      <w:pPr>
        <w:tabs>
          <w:tab w:val="left" w:pos="1401"/>
          <w:tab w:val="left" w:pos="2511"/>
        </w:tabs>
        <w:spacing w:line="164" w:lineRule="exact"/>
        <w:ind w:left="449"/>
        <w:rPr>
          <w:b/>
          <w:sz w:val="16"/>
        </w:rPr>
      </w:pPr>
      <w:r>
        <w:rPr>
          <w:noProof/>
        </w:rPr>
        <mc:AlternateContent>
          <mc:Choice Requires="wpg">
            <w:drawing>
              <wp:anchor distT="0" distB="0" distL="114300" distR="114300" simplePos="0" relativeHeight="5872" behindDoc="0" locked="0" layoutInCell="1" allowOverlap="1" wp14:anchorId="7326D7D8" wp14:editId="5A34C59C">
                <wp:simplePos x="0" y="0"/>
                <wp:positionH relativeFrom="page">
                  <wp:posOffset>5153025</wp:posOffset>
                </wp:positionH>
                <wp:positionV relativeFrom="paragraph">
                  <wp:posOffset>116840</wp:posOffset>
                </wp:positionV>
                <wp:extent cx="581025" cy="12700"/>
                <wp:effectExtent l="9525" t="8255" r="9525" b="7620"/>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8115" y="184"/>
                          <a:chExt cx="915" cy="20"/>
                        </a:xfrm>
                      </wpg:grpSpPr>
                      <wps:wsp>
                        <wps:cNvPr id="46" name="Line 30"/>
                        <wps:cNvCnPr>
                          <a:cxnSpLocks noChangeShapeType="1"/>
                        </wps:cNvCnPr>
                        <wps:spPr bwMode="auto">
                          <a:xfrm>
                            <a:off x="8115" y="194"/>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8115" y="194"/>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FD596" id="Group 28" o:spid="_x0000_s1026" style="position:absolute;margin-left:405.75pt;margin-top:9.2pt;width:45.75pt;height:1pt;z-index:5872;mso-position-horizontal-relative:page" coordorigin="8115,184"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">
                <v:line id="Line 30" o:spid="_x0000_s1027"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line id="Line 29" o:spid="_x0000_s1028" style="position:absolute;visibility:visible;mso-wrap-style:square" from="8115,194" to="9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w10:wrap anchorx="page"/>
              </v:group>
            </w:pict>
          </mc:Fallback>
        </mc:AlternateContent>
      </w:r>
      <w:r>
        <w:rPr>
          <w:b/>
          <w:sz w:val="16"/>
        </w:rPr>
        <w:t>Period</w:t>
      </w:r>
      <w:r>
        <w:rPr>
          <w:b/>
          <w:sz w:val="16"/>
        </w:rPr>
        <w:tab/>
        <w:t>Provision</w:t>
      </w:r>
      <w:r>
        <w:rPr>
          <w:b/>
          <w:sz w:val="16"/>
        </w:rPr>
        <w:tab/>
        <w:t>Other</w:t>
      </w:r>
    </w:p>
    <w:p w14:paraId="7326D468" w14:textId="0C1805C3" w:rsidR="00EF3DFB" w:rsidRDefault="00D27C17">
      <w:pPr>
        <w:spacing w:line="20" w:lineRule="exact"/>
        <w:ind w:left="148"/>
        <w:rPr>
          <w:sz w:val="2"/>
        </w:rPr>
      </w:pPr>
      <w:r>
        <w:rPr>
          <w:noProof/>
          <w:sz w:val="2"/>
        </w:rPr>
        <mc:AlternateContent>
          <mc:Choice Requires="wpg">
            <w:drawing>
              <wp:inline distT="0" distB="0" distL="0" distR="0" wp14:anchorId="7326D7D9" wp14:editId="62951373">
                <wp:extent cx="657225" cy="12700"/>
                <wp:effectExtent l="12065" t="5715" r="6985" b="635"/>
                <wp:docPr id="4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12700"/>
                          <a:chOff x="0" y="0"/>
                          <a:chExt cx="1035" cy="20"/>
                        </a:xfrm>
                      </wpg:grpSpPr>
                      <wps:wsp>
                        <wps:cNvPr id="43" name="Line 27"/>
                        <wps:cNvCnPr>
                          <a:cxnSpLocks noChangeShapeType="1"/>
                        </wps:cNvCnPr>
                        <wps:spPr bwMode="auto">
                          <a:xfrm>
                            <a:off x="0" y="10"/>
                            <a:ext cx="1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a:cxnSpLocks noChangeShapeType="1"/>
                        </wps:cNvCnPr>
                        <wps:spPr bwMode="auto">
                          <a:xfrm>
                            <a:off x="0" y="10"/>
                            <a:ext cx="10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808127" id="Group 25" o:spid="_x0000_s1026" style="width:51.75pt;height:1pt;mso-position-horizontal-relative:char;mso-position-vertical-relative:line" coordsize="1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">
                <v:line id="Line 27" o:spid="_x0000_s1027"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26" o:spid="_x0000_s1028" style="position:absolute;visibility:visible;mso-wrap-style:square" from="0,10" to="1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w10:anchorlock/>
              </v:group>
            </w:pict>
          </mc:Fallback>
        </mc:AlternateContent>
      </w:r>
      <w:r>
        <w:rPr>
          <w:spacing w:val="40"/>
          <w:sz w:val="2"/>
        </w:rPr>
        <w:t xml:space="preserve"> </w:t>
      </w:r>
      <w:r>
        <w:rPr>
          <w:noProof/>
          <w:spacing w:val="40"/>
          <w:sz w:val="2"/>
        </w:rPr>
        <mc:AlternateContent>
          <mc:Choice Requires="wpg">
            <w:drawing>
              <wp:inline distT="0" distB="0" distL="0" distR="0" wp14:anchorId="7326D7DB" wp14:editId="5F0EE206">
                <wp:extent cx="581025" cy="12700"/>
                <wp:effectExtent l="12065" t="5715" r="6985" b="635"/>
                <wp:docPr id="3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40" name="Line 24"/>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75733" id="Group 22"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">
                <v:line id="Line 24"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line id="Line 23"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w10:anchorlock/>
              </v:group>
            </w:pict>
          </mc:Fallback>
        </mc:AlternateContent>
      </w:r>
    </w:p>
    <w:p w14:paraId="7326D469" w14:textId="77777777" w:rsidR="00EF3DFB" w:rsidRDefault="00D27C17">
      <w:pPr>
        <w:pStyle w:val="BodyText"/>
        <w:rPr>
          <w:b/>
          <w:sz w:val="18"/>
        </w:rPr>
      </w:pPr>
      <w:r>
        <w:br w:type="column"/>
      </w:r>
    </w:p>
    <w:p w14:paraId="7326D46A" w14:textId="77777777" w:rsidR="00EF3DFB" w:rsidRDefault="00EF3DFB">
      <w:pPr>
        <w:pStyle w:val="BodyText"/>
        <w:rPr>
          <w:b/>
          <w:sz w:val="18"/>
        </w:rPr>
      </w:pPr>
    </w:p>
    <w:p w14:paraId="7326D46B" w14:textId="77777777" w:rsidR="00EF3DFB" w:rsidRDefault="00EF3DFB">
      <w:pPr>
        <w:pStyle w:val="BodyText"/>
        <w:rPr>
          <w:b/>
          <w:sz w:val="24"/>
        </w:rPr>
      </w:pPr>
    </w:p>
    <w:p w14:paraId="7326D46C" w14:textId="63FAB06F" w:rsidR="00EF3DFB" w:rsidRDefault="00D27C17">
      <w:pPr>
        <w:spacing w:line="208" w:lineRule="auto"/>
        <w:ind w:left="247" w:right="-20" w:hanging="5"/>
        <w:rPr>
          <w:b/>
          <w:sz w:val="16"/>
        </w:rPr>
      </w:pPr>
      <w:r>
        <w:rPr>
          <w:noProof/>
        </w:rPr>
        <mc:AlternateContent>
          <mc:Choice Requires="wpg">
            <w:drawing>
              <wp:anchor distT="0" distB="0" distL="114300" distR="114300" simplePos="0" relativeHeight="5896" behindDoc="0" locked="0" layoutInCell="1" allowOverlap="1" wp14:anchorId="7326D7DD" wp14:editId="56CBD016">
                <wp:simplePos x="0" y="0"/>
                <wp:positionH relativeFrom="page">
                  <wp:posOffset>5781675</wp:posOffset>
                </wp:positionH>
                <wp:positionV relativeFrom="paragraph">
                  <wp:posOffset>218440</wp:posOffset>
                </wp:positionV>
                <wp:extent cx="581025" cy="12700"/>
                <wp:effectExtent l="9525" t="8890" r="9525" b="6985"/>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9105" y="344"/>
                          <a:chExt cx="915" cy="20"/>
                        </a:xfrm>
                      </wpg:grpSpPr>
                      <wps:wsp>
                        <wps:cNvPr id="37" name="Line 21"/>
                        <wps:cNvCnPr>
                          <a:cxnSpLocks noChangeShapeType="1"/>
                        </wps:cNvCnPr>
                        <wps:spPr bwMode="auto">
                          <a:xfrm>
                            <a:off x="9105" y="354"/>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9105" y="354"/>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E98C6" id="Group 19" o:spid="_x0000_s1026" style="position:absolute;margin-left:455.25pt;margin-top:17.2pt;width:45.75pt;height:1pt;z-index:5896;mso-position-horizontal-relative:page" coordorigin="9105,344"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">
                <v:line id="Line 21" o:spid="_x0000_s1027" style="position:absolute;visibility:visible;mso-wrap-style:square" from="9105,354" to="100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20" o:spid="_x0000_s1028" style="position:absolute;visibility:visible;mso-wrap-style:square" from="9105,354" to="100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w10:wrap anchorx="page"/>
              </v:group>
            </w:pict>
          </mc:Fallback>
        </mc:AlternateContent>
      </w:r>
      <w:r>
        <w:rPr>
          <w:b/>
          <w:sz w:val="16"/>
        </w:rPr>
        <w:t>Write-offs/ Recoveries</w:t>
      </w:r>
    </w:p>
    <w:p w14:paraId="7326D46D" w14:textId="77777777" w:rsidR="00EF3DFB" w:rsidRDefault="00D27C17">
      <w:pPr>
        <w:pStyle w:val="BodyText"/>
        <w:rPr>
          <w:b/>
          <w:sz w:val="18"/>
        </w:rPr>
      </w:pPr>
      <w:r>
        <w:br w:type="column"/>
      </w:r>
    </w:p>
    <w:p w14:paraId="7326D46E" w14:textId="77777777" w:rsidR="00EF3DFB" w:rsidRDefault="00EF3DFB">
      <w:pPr>
        <w:pStyle w:val="BodyText"/>
        <w:rPr>
          <w:b/>
          <w:sz w:val="18"/>
        </w:rPr>
      </w:pPr>
    </w:p>
    <w:p w14:paraId="7326D46F" w14:textId="77777777" w:rsidR="00EF3DFB" w:rsidRDefault="00D27C17">
      <w:pPr>
        <w:spacing w:before="116" w:line="208" w:lineRule="auto"/>
        <w:ind w:left="347" w:right="670" w:hanging="129"/>
        <w:rPr>
          <w:b/>
          <w:sz w:val="16"/>
        </w:rPr>
      </w:pPr>
      <w:r>
        <w:rPr>
          <w:b/>
          <w:sz w:val="16"/>
        </w:rPr>
        <w:t>Balance at End of Period</w:t>
      </w:r>
    </w:p>
    <w:p w14:paraId="7326D470" w14:textId="77777777" w:rsidR="00EF3DFB" w:rsidRDefault="00EF3DFB">
      <w:pPr>
        <w:pStyle w:val="BodyText"/>
        <w:spacing w:before="1"/>
        <w:rPr>
          <w:b/>
          <w:sz w:val="2"/>
        </w:rPr>
      </w:pPr>
    </w:p>
    <w:p w14:paraId="7326D471" w14:textId="08B2525F" w:rsidR="00EF3DFB" w:rsidRDefault="00D27C17">
      <w:pPr>
        <w:pStyle w:val="BodyText"/>
        <w:spacing w:line="20" w:lineRule="exact"/>
        <w:ind w:left="109"/>
        <w:rPr>
          <w:sz w:val="2"/>
        </w:rPr>
      </w:pPr>
      <w:r>
        <w:rPr>
          <w:noProof/>
          <w:sz w:val="2"/>
        </w:rPr>
        <mc:AlternateContent>
          <mc:Choice Requires="wpg">
            <w:drawing>
              <wp:inline distT="0" distB="0" distL="0" distR="0" wp14:anchorId="7326D7DE" wp14:editId="19706A7F">
                <wp:extent cx="581025" cy="12700"/>
                <wp:effectExtent l="12700" t="8255" r="6350" b="7620"/>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0"/>
                          <a:chOff x="0" y="0"/>
                          <a:chExt cx="915" cy="20"/>
                        </a:xfrm>
                      </wpg:grpSpPr>
                      <wps:wsp>
                        <wps:cNvPr id="34" name="Line 18"/>
                        <wps:cNvCnPr>
                          <a:cxnSpLocks noChangeShapeType="1"/>
                        </wps:cNvCnPr>
                        <wps:spPr bwMode="auto">
                          <a:xfrm>
                            <a:off x="0" y="10"/>
                            <a:ext cx="9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0" y="10"/>
                            <a:ext cx="9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4E228A" id="Group 16" o:spid="_x0000_s1026" style="width:45.75pt;height:1pt;mso-position-horizontal-relative:char;mso-position-vertical-relative:line" coordsize="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">
                <v:line id="Line 18" o:spid="_x0000_s1027"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line id="Line 17" o:spid="_x0000_s1028" style="position:absolute;visibility:visible;mso-wrap-style:square" from="0,10" to="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w10:anchorlock/>
              </v:group>
            </w:pict>
          </mc:Fallback>
        </mc:AlternateContent>
      </w:r>
    </w:p>
    <w:p w14:paraId="7326D472" w14:textId="77777777" w:rsidR="00EF3DFB" w:rsidRDefault="00EF3DFB">
      <w:pPr>
        <w:spacing w:line="20" w:lineRule="exact"/>
        <w:rPr>
          <w:sz w:val="2"/>
        </w:rPr>
        <w:sectPr w:rsidR="00EF3DFB">
          <w:type w:val="continuous"/>
          <w:pgSz w:w="12240" w:h="15840"/>
          <w:pgMar w:top="760" w:right="640" w:bottom="280" w:left="620" w:header="720" w:footer="720" w:gutter="0"/>
          <w:cols w:num="4" w:space="720" w:equalWidth="0">
            <w:col w:w="3131" w:space="2105"/>
            <w:col w:w="2961" w:space="130"/>
            <w:col w:w="989" w:space="40"/>
            <w:col w:w="1624"/>
          </w:cols>
        </w:sectPr>
      </w:pPr>
    </w:p>
    <w:p w14:paraId="7326D473" w14:textId="03896A3D" w:rsidR="00EF3DFB" w:rsidRDefault="00D27C17">
      <w:pPr>
        <w:pStyle w:val="BodyText"/>
        <w:tabs>
          <w:tab w:val="left" w:pos="5447"/>
          <w:tab w:val="left" w:pos="6048"/>
          <w:tab w:val="left" w:pos="6557"/>
          <w:tab w:val="left" w:pos="7138"/>
          <w:tab w:val="left" w:pos="7547"/>
          <w:tab w:val="left" w:pos="8228"/>
          <w:tab w:val="left" w:pos="8537"/>
          <w:tab w:val="left" w:pos="9051"/>
          <w:tab w:val="left" w:pos="10008"/>
        </w:tabs>
        <w:spacing w:before="70"/>
        <w:ind w:left="242"/>
      </w:pPr>
      <w:r>
        <w:rPr>
          <w:noProof/>
        </w:rPr>
        <mc:AlternateContent>
          <mc:Choice Requires="wps">
            <w:drawing>
              <wp:anchor distT="0" distB="0" distL="114300" distR="114300" simplePos="0" relativeHeight="502909400" behindDoc="1" locked="0" layoutInCell="1" allowOverlap="1" wp14:anchorId="7326D7E0" wp14:editId="2311F8FB">
                <wp:simplePos x="0" y="0"/>
                <wp:positionH relativeFrom="page">
                  <wp:posOffset>514350</wp:posOffset>
                </wp:positionH>
                <wp:positionV relativeFrom="paragraph">
                  <wp:posOffset>19050</wp:posOffset>
                </wp:positionV>
                <wp:extent cx="6477000" cy="190500"/>
                <wp:effectExtent l="0" t="0" r="0" b="3175"/>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C586" id="Rectangle 15" o:spid="_x0000_s1026" style="position:absolute;margin-left:40.5pt;margin-top:1.5pt;width:510pt;height:15pt;z-index:-407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" fillcolor="#ccedff" stroked="f">
                <w10:wrap anchorx="page"/>
              </v:rect>
            </w:pict>
          </mc:Fallback>
        </mc:AlternateContent>
      </w:r>
      <w:r>
        <w:t>Year Ended December</w:t>
      </w:r>
      <w:r>
        <w:rPr>
          <w:spacing w:val="-6"/>
        </w:rPr>
        <w:t xml:space="preserve"> </w:t>
      </w:r>
      <w:r>
        <w:t>31,</w:t>
      </w:r>
      <w:r>
        <w:rPr>
          <w:spacing w:val="-2"/>
        </w:rPr>
        <w:t xml:space="preserve"> </w:t>
      </w:r>
      <w:r>
        <w:t>2020</w:t>
      </w:r>
      <w:r>
        <w:tab/>
        <w:t>$</w:t>
      </w:r>
      <w:r>
        <w:tab/>
        <w:t>271</w:t>
      </w:r>
      <w:r>
        <w:tab/>
        <w:t>$</w:t>
      </w:r>
      <w:r>
        <w:tab/>
        <w:t>30</w:t>
      </w:r>
      <w:r>
        <w:tab/>
        <w:t>$</w:t>
      </w:r>
      <w:r>
        <w:tab/>
        <w:t>5</w:t>
      </w:r>
      <w:r>
        <w:tab/>
        <w:t>$</w:t>
      </w:r>
      <w:r>
        <w:tab/>
        <w:t xml:space="preserve">(93) </w:t>
      </w:r>
      <w:r>
        <w:rPr>
          <w:spacing w:val="41"/>
        </w:rPr>
        <w:t xml:space="preserve"> </w:t>
      </w:r>
      <w:r>
        <w:t>$</w:t>
      </w:r>
      <w:r>
        <w:tab/>
        <w:t>213</w:t>
      </w:r>
    </w:p>
    <w:p w14:paraId="7326D474" w14:textId="7B417352" w:rsidR="00EF3DFB" w:rsidRDefault="00D27C17">
      <w:pPr>
        <w:pStyle w:val="BodyText"/>
        <w:tabs>
          <w:tab w:val="left" w:pos="6048"/>
          <w:tab w:val="left" w:pos="7038"/>
          <w:tab w:val="left" w:pos="8161"/>
          <w:tab w:val="left" w:pos="9051"/>
          <w:tab w:val="right" w:pos="10308"/>
        </w:tabs>
        <w:spacing w:before="70"/>
        <w:ind w:left="242"/>
      </w:pPr>
      <w:r>
        <w:rPr>
          <w:noProof/>
        </w:rPr>
        <mc:AlternateContent>
          <mc:Choice Requires="wps">
            <w:drawing>
              <wp:anchor distT="0" distB="0" distL="114300" distR="114300" simplePos="0" relativeHeight="502909424" behindDoc="1" locked="0" layoutInCell="1" allowOverlap="1" wp14:anchorId="7326D7E1" wp14:editId="09B4E1A7">
                <wp:simplePos x="0" y="0"/>
                <wp:positionH relativeFrom="page">
                  <wp:posOffset>514350</wp:posOffset>
                </wp:positionH>
                <wp:positionV relativeFrom="paragraph">
                  <wp:posOffset>209550</wp:posOffset>
                </wp:positionV>
                <wp:extent cx="6477000" cy="190500"/>
                <wp:effectExtent l="0" t="0" r="0" b="3175"/>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9050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4D998" id="Rectangle 14" o:spid="_x0000_s1026" style="position:absolute;margin-left:40.5pt;margin-top:16.5pt;width:510pt;height:15pt;z-index:-40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" fillcolor="#ccedff" stroked="f">
                <w10:wrap anchorx="page"/>
              </v:rect>
            </w:pict>
          </mc:Fallback>
        </mc:AlternateContent>
      </w:r>
      <w:r>
        <w:t>Year Ended December</w:t>
      </w:r>
      <w:r>
        <w:rPr>
          <w:spacing w:val="-6"/>
        </w:rPr>
        <w:t xml:space="preserve"> </w:t>
      </w:r>
      <w:r>
        <w:t>31,</w:t>
      </w:r>
      <w:r>
        <w:rPr>
          <w:spacing w:val="-2"/>
        </w:rPr>
        <w:t xml:space="preserve"> </w:t>
      </w:r>
      <w:r>
        <w:t>2019</w:t>
      </w:r>
      <w:r>
        <w:tab/>
        <w:t>195</w:t>
      </w:r>
      <w:r>
        <w:tab/>
        <w:t>122</w:t>
      </w:r>
      <w:r>
        <w:tab/>
        <w:t>(1)</w:t>
      </w:r>
      <w:r>
        <w:tab/>
        <w:t>(45)</w:t>
      </w:r>
      <w:r>
        <w:tab/>
        <w:t>271</w:t>
      </w:r>
    </w:p>
    <w:p w14:paraId="7326D475" w14:textId="77777777" w:rsidR="00EF3DFB" w:rsidRDefault="00D27C17">
      <w:pPr>
        <w:pStyle w:val="BodyText"/>
        <w:tabs>
          <w:tab w:val="left" w:pos="6048"/>
          <w:tab w:val="left" w:pos="7138"/>
          <w:tab w:val="left" w:pos="8061"/>
          <w:tab w:val="left" w:pos="9051"/>
          <w:tab w:val="right" w:pos="10308"/>
        </w:tabs>
        <w:spacing w:before="70"/>
        <w:ind w:left="242"/>
      </w:pPr>
      <w:r>
        <w:t>Year Ended December</w:t>
      </w:r>
      <w:r>
        <w:rPr>
          <w:spacing w:val="-6"/>
        </w:rPr>
        <w:t xml:space="preserve"> </w:t>
      </w:r>
      <w:r>
        <w:t>31,</w:t>
      </w:r>
      <w:r>
        <w:rPr>
          <w:spacing w:val="-2"/>
        </w:rPr>
        <w:t xml:space="preserve"> </w:t>
      </w:r>
      <w:r>
        <w:t>2018</w:t>
      </w:r>
      <w:r>
        <w:tab/>
        <w:t>293</w:t>
      </w:r>
      <w:r>
        <w:tab/>
        <w:t>14</w:t>
      </w:r>
      <w:r>
        <w:tab/>
        <w:t>(27)</w:t>
      </w:r>
      <w:r>
        <w:tab/>
        <w:t>(85)</w:t>
      </w:r>
      <w:r>
        <w:tab/>
        <w:t>195</w:t>
      </w:r>
    </w:p>
    <w:p w14:paraId="7326D476" w14:textId="77777777" w:rsidR="00EF3DFB" w:rsidRDefault="00EF3DFB">
      <w:pPr>
        <w:sectPr w:rsidR="00EF3DFB">
          <w:type w:val="continuous"/>
          <w:pgSz w:w="12240" w:h="15840"/>
          <w:pgMar w:top="760" w:right="640" w:bottom="280" w:left="620" w:header="720" w:footer="720" w:gutter="0"/>
          <w:cols w:space="720"/>
        </w:sectPr>
      </w:pPr>
    </w:p>
    <w:p w14:paraId="7326D477" w14:textId="77777777" w:rsidR="00EF3DFB" w:rsidRDefault="00D27C17">
      <w:pPr>
        <w:spacing w:before="63"/>
        <w:ind w:right="914"/>
        <w:jc w:val="right"/>
        <w:rPr>
          <w:b/>
        </w:rPr>
      </w:pPr>
      <w:bookmarkStart w:id="94" w:name="EXHIBIT_4.1"/>
      <w:bookmarkEnd w:id="94"/>
      <w:r>
        <w:rPr>
          <w:b/>
        </w:rPr>
        <w:lastRenderedPageBreak/>
        <w:t>EXHIBIT 4.1</w:t>
      </w:r>
    </w:p>
    <w:p w14:paraId="7326D478" w14:textId="77777777" w:rsidR="00EF3DFB" w:rsidRDefault="00EF3DFB">
      <w:pPr>
        <w:pStyle w:val="BodyText"/>
        <w:spacing w:before="2"/>
        <w:rPr>
          <w:b/>
          <w:sz w:val="30"/>
        </w:rPr>
      </w:pPr>
    </w:p>
    <w:p w14:paraId="7326D479" w14:textId="77777777" w:rsidR="00EF3DFB" w:rsidRDefault="00D27C17">
      <w:pPr>
        <w:spacing w:line="268" w:lineRule="auto"/>
        <w:ind w:left="2812" w:right="2787" w:hanging="1"/>
        <w:jc w:val="center"/>
        <w:rPr>
          <w:b/>
        </w:rPr>
      </w:pPr>
      <w:r>
        <w:rPr>
          <w:b/>
        </w:rPr>
        <w:t>DESCRIPTION OF THE REGISTRANT’S SECURITIES REGISTERED PURSUANT TO SECTION 12 OF THE SECURITIES EXCHANGE ACT OF 1934</w:t>
      </w:r>
    </w:p>
    <w:p w14:paraId="7326D47A" w14:textId="77777777" w:rsidR="00EF3DFB" w:rsidRDefault="00EF3DFB">
      <w:pPr>
        <w:pStyle w:val="BodyText"/>
        <w:rPr>
          <w:b/>
          <w:sz w:val="24"/>
        </w:rPr>
      </w:pPr>
    </w:p>
    <w:p w14:paraId="7326D47B" w14:textId="77777777" w:rsidR="00EF3DFB" w:rsidRDefault="00D27C17">
      <w:pPr>
        <w:spacing w:before="210" w:line="268" w:lineRule="auto"/>
        <w:ind w:left="939" w:right="858" w:firstLine="720"/>
      </w:pPr>
      <w:r>
        <w:t>As of February 18, 2021, Newell Brands Inc. (the “Company,” “we,” or “our,”) has one class of securities, our Common Stock (as defined below), registered under Section 12 of the Securities Exchange Act of 1934, as amended.</w:t>
      </w:r>
    </w:p>
    <w:p w14:paraId="7326D47C" w14:textId="77777777" w:rsidR="00EF3DFB" w:rsidRDefault="00EF3DFB">
      <w:pPr>
        <w:pStyle w:val="BodyText"/>
        <w:spacing w:before="5"/>
        <w:rPr>
          <w:sz w:val="21"/>
        </w:rPr>
      </w:pPr>
    </w:p>
    <w:p w14:paraId="7326D47D" w14:textId="77777777" w:rsidR="00EF3DFB" w:rsidRDefault="00D27C17">
      <w:pPr>
        <w:spacing w:line="249" w:lineRule="auto"/>
        <w:ind w:left="4736" w:right="4713"/>
        <w:jc w:val="center"/>
        <w:rPr>
          <w:b/>
        </w:rPr>
      </w:pPr>
      <w:r>
        <w:rPr>
          <w:b/>
        </w:rPr>
        <w:t>DESCRIPTION OF COMMON STOCK</w:t>
      </w:r>
    </w:p>
    <w:p w14:paraId="7326D47E" w14:textId="77777777" w:rsidR="00EF3DFB" w:rsidRDefault="00EF3DFB">
      <w:pPr>
        <w:pStyle w:val="BodyText"/>
        <w:spacing w:before="7"/>
        <w:rPr>
          <w:b/>
          <w:sz w:val="19"/>
        </w:rPr>
      </w:pPr>
    </w:p>
    <w:p w14:paraId="7326D47F" w14:textId="77777777" w:rsidR="00EF3DFB" w:rsidRDefault="00D27C17">
      <w:pPr>
        <w:spacing w:line="284" w:lineRule="exact"/>
        <w:ind w:left="939" w:right="937" w:firstLine="720"/>
      </w:pPr>
      <w:r>
        <w:t>The</w:t>
      </w:r>
      <w:r>
        <w:t xml:space="preserve"> following description of our common stock is a summary and does not purport to be complete. This summary is subject to and qualified in its entirety by reference to the General Corporation Law of the State of Delaware (the “DGCL”) the complete text of the</w:t>
      </w:r>
      <w:r>
        <w:t xml:space="preserve"> Company’s Restated Certificate of Incorporation, as amended (the “Charter”), and By-Laws, as amended (the “By-Laws”), which are filed as Exhibits 3.1</w:t>
      </w:r>
      <w:r>
        <w:rPr>
          <w:rFonts w:ascii="Lucida Sans Unicode" w:hAnsi="Lucida Sans Unicode"/>
        </w:rPr>
        <w:t>‑</w:t>
      </w:r>
      <w:r>
        <w:t>3.2, and 3.3, respectively, to our Annual Report on Form 10-K of which this Exhibit 4.1 is a part. We enc</w:t>
      </w:r>
      <w:r>
        <w:t>ourage you to read those materials carefully.</w:t>
      </w:r>
    </w:p>
    <w:p w14:paraId="7326D480" w14:textId="77777777" w:rsidR="00EF3DFB" w:rsidRDefault="00EF3DFB">
      <w:pPr>
        <w:pStyle w:val="BodyText"/>
        <w:spacing w:before="1"/>
        <w:rPr>
          <w:sz w:val="23"/>
        </w:rPr>
      </w:pPr>
    </w:p>
    <w:p w14:paraId="7326D481" w14:textId="77777777" w:rsidR="00EF3DFB" w:rsidRDefault="00D27C17">
      <w:pPr>
        <w:spacing w:before="1"/>
        <w:ind w:left="939"/>
        <w:rPr>
          <w:b/>
          <w:i/>
        </w:rPr>
      </w:pPr>
      <w:r>
        <w:rPr>
          <w:b/>
          <w:i/>
        </w:rPr>
        <w:t>Authorized Capital Stock</w:t>
      </w:r>
    </w:p>
    <w:p w14:paraId="7326D482" w14:textId="77777777" w:rsidR="00EF3DFB" w:rsidRDefault="00EF3DFB">
      <w:pPr>
        <w:pStyle w:val="BodyText"/>
        <w:spacing w:before="1"/>
        <w:rPr>
          <w:b/>
          <w:i/>
          <w:sz w:val="22"/>
        </w:rPr>
      </w:pPr>
    </w:p>
    <w:p w14:paraId="7326D483" w14:textId="77777777" w:rsidR="00EF3DFB" w:rsidRDefault="00D27C17">
      <w:pPr>
        <w:spacing w:line="268" w:lineRule="auto"/>
        <w:ind w:left="939" w:right="1326" w:firstLine="720"/>
      </w:pPr>
      <w:r>
        <w:t>The Company has one class of securities, our common stock, par value $1.00 per share, registered under Section 12 of the Securities Exchange Act of 1934, as amended. Our authorized ca</w:t>
      </w:r>
      <w:r>
        <w:t>pital stock consists of 800,000,000 shares of common stock and 10,000,000 shares of preferred stock, consisting of 10,000 shares without par value and 9,990,000 shares of the par value of $1.00 per share.</w:t>
      </w:r>
    </w:p>
    <w:p w14:paraId="7326D484" w14:textId="77777777" w:rsidR="00EF3DFB" w:rsidRDefault="00EF3DFB">
      <w:pPr>
        <w:pStyle w:val="BodyText"/>
        <w:spacing w:before="6"/>
        <w:rPr>
          <w:sz w:val="21"/>
        </w:rPr>
      </w:pPr>
    </w:p>
    <w:p w14:paraId="7326D485" w14:textId="77777777" w:rsidR="00EF3DFB" w:rsidRDefault="00D27C17">
      <w:pPr>
        <w:ind w:left="939"/>
        <w:rPr>
          <w:b/>
          <w:i/>
        </w:rPr>
      </w:pPr>
      <w:r>
        <w:rPr>
          <w:b/>
          <w:i/>
        </w:rPr>
        <w:t>Common Stock</w:t>
      </w:r>
    </w:p>
    <w:p w14:paraId="7326D486" w14:textId="77777777" w:rsidR="00EF3DFB" w:rsidRDefault="00EF3DFB">
      <w:pPr>
        <w:pStyle w:val="BodyText"/>
        <w:spacing w:before="6"/>
        <w:rPr>
          <w:b/>
          <w:i/>
          <w:sz w:val="22"/>
        </w:rPr>
      </w:pPr>
    </w:p>
    <w:p w14:paraId="7326D487" w14:textId="77777777" w:rsidR="00EF3DFB" w:rsidRDefault="00D27C17">
      <w:pPr>
        <w:spacing w:line="249" w:lineRule="auto"/>
        <w:ind w:left="1659" w:right="796"/>
      </w:pPr>
      <w:r>
        <w:rPr>
          <w:i/>
        </w:rPr>
        <w:t>Voting rights</w:t>
      </w:r>
      <w:r>
        <w:t>. Holders of our common stock are entitled to one vote for each share on all matters voted on by our stockholders.</w:t>
      </w:r>
    </w:p>
    <w:p w14:paraId="7326D488" w14:textId="77777777" w:rsidR="00EF3DFB" w:rsidRDefault="00D27C17">
      <w:pPr>
        <w:spacing w:before="72" w:line="316" w:lineRule="auto"/>
        <w:ind w:left="939" w:right="1022"/>
      </w:pPr>
      <w:r>
        <w:t xml:space="preserve">The By-Laws provide that directors are elected by the vote of the majority of the votes cast with respect to that director’s election at any </w:t>
      </w:r>
      <w:r>
        <w:t>meeting for the election of directors at which a quorum is present, except as otherwise required by the DGCL or as provided for in the Restated Certificate of Incorporation or the By-Laws, provided, however, that if the number of nominees exceeds the numbe</w:t>
      </w:r>
      <w:r>
        <w:t>r of directors to be elected, then the directors shall be elected by the vote of a plurality of the votes of the shares present in person or represented by proxy at any such meeting and entitled to vote on the election of directors. All directors are elect</w:t>
      </w:r>
      <w:r>
        <w:t>ed at each annual meeting of stockholders for a one-year term and until his or her successor shall have been duly elected and qualified, unless he or she shall cease to serve by reason of death, resignation or other cause. Holders of our common stock do no</w:t>
      </w:r>
      <w:r>
        <w:t>t have cumulative voting rights in the election of directors.</w:t>
      </w:r>
    </w:p>
    <w:p w14:paraId="7326D489" w14:textId="77777777" w:rsidR="00EF3DFB" w:rsidRDefault="00EF3DFB">
      <w:pPr>
        <w:spacing w:line="316" w:lineRule="auto"/>
        <w:sectPr w:rsidR="00EF3DFB">
          <w:footerReference w:type="default" r:id="rId312"/>
          <w:pgSz w:w="12240" w:h="15840"/>
          <w:pgMar w:top="1320" w:right="640" w:bottom="280" w:left="620" w:header="0" w:footer="0" w:gutter="0"/>
          <w:cols w:space="720"/>
        </w:sectPr>
      </w:pPr>
    </w:p>
    <w:p w14:paraId="7326D48A" w14:textId="77777777" w:rsidR="00EF3DFB" w:rsidRDefault="00D27C17">
      <w:pPr>
        <w:spacing w:before="127" w:line="268" w:lineRule="auto"/>
        <w:ind w:left="939" w:right="1194" w:firstLine="720"/>
      </w:pPr>
      <w:r>
        <w:lastRenderedPageBreak/>
        <w:t>For all other matters, the affirmative vote of a majority of the votes entitled to be cast by the holders of shares of capital stock represented at the meeting shall be the act o</w:t>
      </w:r>
      <w:r>
        <w:t>f the stockholders.</w:t>
      </w:r>
    </w:p>
    <w:p w14:paraId="7326D48B" w14:textId="77777777" w:rsidR="00EF3DFB" w:rsidRDefault="00EF3DFB">
      <w:pPr>
        <w:pStyle w:val="BodyText"/>
        <w:spacing w:before="8"/>
        <w:rPr>
          <w:sz w:val="21"/>
        </w:rPr>
      </w:pPr>
    </w:p>
    <w:p w14:paraId="7326D48C" w14:textId="77777777" w:rsidR="00EF3DFB" w:rsidRDefault="00D27C17">
      <w:pPr>
        <w:spacing w:line="268" w:lineRule="auto"/>
        <w:ind w:left="939" w:right="917" w:firstLine="720"/>
      </w:pPr>
      <w:r>
        <w:rPr>
          <w:i/>
        </w:rPr>
        <w:t>Subscription, Redemption or Conversion Privileges</w:t>
      </w:r>
      <w:r>
        <w:t xml:space="preserve">. Holders of our common stock do not have any subscription, redemption or conversion privileges. Holders of our common stock do not have any pre-emptive right to purchase, subscribe for </w:t>
      </w:r>
      <w:r>
        <w:t>or otherwise acquire stock of any class of the Company or any security convertible into, or any warrant, option or right to purchase, subscribe for or otherwise acquire stock of any class of the Company, whether now or hereafter authorized. All outstanding</w:t>
      </w:r>
      <w:r>
        <w:t xml:space="preserve"> shares of common stock are validly issued, fully paid and non-assessable.</w:t>
      </w:r>
    </w:p>
    <w:p w14:paraId="7326D48D" w14:textId="77777777" w:rsidR="00EF3DFB" w:rsidRDefault="00EF3DFB">
      <w:pPr>
        <w:pStyle w:val="BodyText"/>
        <w:spacing w:before="4"/>
        <w:rPr>
          <w:sz w:val="29"/>
        </w:rPr>
      </w:pPr>
    </w:p>
    <w:p w14:paraId="7326D48E" w14:textId="77777777" w:rsidR="00EF3DFB" w:rsidRDefault="00D27C17">
      <w:pPr>
        <w:spacing w:before="1" w:line="268" w:lineRule="auto"/>
        <w:ind w:left="939" w:right="1646" w:firstLine="720"/>
      </w:pPr>
      <w:r>
        <w:rPr>
          <w:i/>
        </w:rPr>
        <w:t>Dividends</w:t>
      </w:r>
      <w:r>
        <w:t>. Subject to the preferences or other rights of any preferred stock that may be issued from time to time, holders of our common stock are entitled to participate ratably i</w:t>
      </w:r>
      <w:r>
        <w:t>n dividends on our common stock as declared by our board of directors (our “Board”).</w:t>
      </w:r>
    </w:p>
    <w:p w14:paraId="7326D48F" w14:textId="77777777" w:rsidR="00EF3DFB" w:rsidRDefault="00EF3DFB">
      <w:pPr>
        <w:pStyle w:val="BodyText"/>
        <w:spacing w:before="9"/>
        <w:rPr>
          <w:sz w:val="21"/>
        </w:rPr>
      </w:pPr>
    </w:p>
    <w:p w14:paraId="7326D490" w14:textId="77777777" w:rsidR="00EF3DFB" w:rsidRDefault="00D27C17">
      <w:pPr>
        <w:spacing w:before="1" w:line="268" w:lineRule="auto"/>
        <w:ind w:left="939" w:right="1099" w:firstLine="720"/>
      </w:pPr>
      <w:r>
        <w:rPr>
          <w:i/>
        </w:rPr>
        <w:t>Liquidation</w:t>
      </w:r>
      <w:r>
        <w:t>. Holders of our common stock are entitled to share ratably in all assets available for distribution to stockholders in the event of our liquidation or dissolu</w:t>
      </w:r>
      <w:r>
        <w:t>tion, subject to distribution of the preferential amount, if any, to be distributed to holders of our preferred stock.</w:t>
      </w:r>
    </w:p>
    <w:p w14:paraId="7326D491" w14:textId="77777777" w:rsidR="00EF3DFB" w:rsidRDefault="00EF3DFB">
      <w:pPr>
        <w:pStyle w:val="BodyText"/>
        <w:spacing w:before="4"/>
        <w:rPr>
          <w:sz w:val="21"/>
        </w:rPr>
      </w:pPr>
    </w:p>
    <w:p w14:paraId="7326D492" w14:textId="77777777" w:rsidR="00EF3DFB" w:rsidRDefault="00D27C17">
      <w:pPr>
        <w:spacing w:before="1"/>
        <w:ind w:left="939"/>
        <w:rPr>
          <w:b/>
          <w:i/>
        </w:rPr>
      </w:pPr>
      <w:r>
        <w:rPr>
          <w:b/>
          <w:i/>
        </w:rPr>
        <w:t>Stock Exchange Listing</w:t>
      </w:r>
    </w:p>
    <w:p w14:paraId="7326D493" w14:textId="77777777" w:rsidR="00EF3DFB" w:rsidRDefault="00EF3DFB">
      <w:pPr>
        <w:pStyle w:val="BodyText"/>
        <w:spacing w:before="1"/>
        <w:rPr>
          <w:b/>
          <w:i/>
          <w:sz w:val="22"/>
        </w:rPr>
      </w:pPr>
    </w:p>
    <w:p w14:paraId="7326D494" w14:textId="77777777" w:rsidR="00EF3DFB" w:rsidRDefault="00D27C17">
      <w:pPr>
        <w:ind w:left="1659"/>
      </w:pPr>
      <w:r>
        <w:t>Our common stock is listed on the Nasdaq Stock Market under the symbol “NWL.”</w:t>
      </w:r>
    </w:p>
    <w:p w14:paraId="7326D495" w14:textId="77777777" w:rsidR="00EF3DFB" w:rsidRDefault="00EF3DFB">
      <w:pPr>
        <w:pStyle w:val="BodyText"/>
        <w:spacing w:before="7"/>
        <w:rPr>
          <w:sz w:val="21"/>
        </w:rPr>
      </w:pPr>
    </w:p>
    <w:p w14:paraId="7326D496" w14:textId="77777777" w:rsidR="00EF3DFB" w:rsidRDefault="00D27C17">
      <w:pPr>
        <w:ind w:left="939"/>
        <w:rPr>
          <w:b/>
          <w:i/>
        </w:rPr>
      </w:pPr>
      <w:r>
        <w:rPr>
          <w:b/>
          <w:i/>
        </w:rPr>
        <w:t>Certain Provisions Affecting Control of the Company</w:t>
      </w:r>
    </w:p>
    <w:p w14:paraId="7326D497" w14:textId="77777777" w:rsidR="00EF3DFB" w:rsidRDefault="00EF3DFB">
      <w:pPr>
        <w:pStyle w:val="BodyText"/>
        <w:spacing w:before="2"/>
        <w:rPr>
          <w:b/>
          <w:i/>
          <w:sz w:val="22"/>
        </w:rPr>
      </w:pPr>
    </w:p>
    <w:p w14:paraId="7326D498" w14:textId="77777777" w:rsidR="00EF3DFB" w:rsidRDefault="00D27C17">
      <w:pPr>
        <w:spacing w:line="268" w:lineRule="auto"/>
        <w:ind w:left="939" w:right="1057" w:firstLine="720"/>
      </w:pPr>
      <w:r>
        <w:rPr>
          <w:i/>
        </w:rPr>
        <w:t xml:space="preserve">General. </w:t>
      </w:r>
      <w:r>
        <w:t>Certain provisions of the Charter, the By-Laws and the DGCL described in this section may delay or make more diffic</w:t>
      </w:r>
      <w:r>
        <w:t>ult acquisitions or changes of control of the Company not approved by our Board. These provisions could have the effect of discouraging third parties from making proposals involving an acquisition or change of control of the Company, although these kinds o</w:t>
      </w:r>
      <w:r>
        <w:t>f proposals, if made, might be considered desirable by a majority of our stockholders. These provisions may also have the effect of making it more difficult for third parties to cause the replacement of our current management without the concurrence of our</w:t>
      </w:r>
      <w:r>
        <w:t xml:space="preserve"> Board.</w:t>
      </w:r>
    </w:p>
    <w:p w14:paraId="7326D499" w14:textId="77777777" w:rsidR="00EF3DFB" w:rsidRDefault="00EF3DFB">
      <w:pPr>
        <w:pStyle w:val="BodyText"/>
        <w:spacing w:before="11"/>
        <w:rPr>
          <w:sz w:val="21"/>
        </w:rPr>
      </w:pPr>
    </w:p>
    <w:p w14:paraId="7326D49A" w14:textId="77777777" w:rsidR="00EF3DFB" w:rsidRDefault="00D27C17">
      <w:pPr>
        <w:spacing w:line="268" w:lineRule="auto"/>
        <w:ind w:left="939" w:right="956" w:firstLine="720"/>
      </w:pPr>
      <w:r>
        <w:rPr>
          <w:i/>
        </w:rPr>
        <w:t>Number of Directors; Removal; Vacancies</w:t>
      </w:r>
      <w:r>
        <w:t>. The By-Laws provide that the number of directors shall be not less than nine and not more than thirteen, with the exact number to be fixed from time to time by our board of directors. The Charter also provides that newly created directorships resulting f</w:t>
      </w:r>
      <w:r>
        <w:t>rom any increase in the authorized number of directors or any vacancies in the Board resulting from death, resignation or other cause may be filled only by a majority vote of the directors then in office, though less than a quorum, or by a sole remaining d</w:t>
      </w:r>
      <w:r>
        <w:t>irector. This provision could have the effect of discouraging a potential acquiror from attempting to obtain control of the Company. The Charter further provides that any director, or the entire Board, may be removed from office at any time, with or withou</w:t>
      </w:r>
      <w:r>
        <w:t>t cause by a majority of the shares then entitled to vote at an election of directors. This provision, in conjunction with the provision authorizing our Board to fill vacant directorships, could prevent stockholders from removing certain incumbent director</w:t>
      </w:r>
      <w:r>
        <w:t>s and filling the resulting vacancies with their own nominees.</w:t>
      </w:r>
    </w:p>
    <w:p w14:paraId="7326D49B" w14:textId="77777777" w:rsidR="00EF3DFB" w:rsidRDefault="00EF3DFB">
      <w:pPr>
        <w:spacing w:line="268" w:lineRule="auto"/>
        <w:sectPr w:rsidR="00EF3DFB">
          <w:footerReference w:type="default" r:id="rId313"/>
          <w:pgSz w:w="12240" w:h="15840"/>
          <w:pgMar w:top="1500" w:right="640" w:bottom="740" w:left="620" w:header="0" w:footer="559" w:gutter="0"/>
          <w:pgNumType w:start="2"/>
          <w:cols w:space="720"/>
        </w:sectPr>
      </w:pPr>
    </w:p>
    <w:p w14:paraId="7326D49C" w14:textId="77777777" w:rsidR="00EF3DFB" w:rsidRDefault="00D27C17">
      <w:pPr>
        <w:spacing w:before="67" w:line="268" w:lineRule="auto"/>
        <w:ind w:left="935" w:right="1239" w:firstLine="720"/>
      </w:pPr>
      <w:r>
        <w:rPr>
          <w:i/>
        </w:rPr>
        <w:lastRenderedPageBreak/>
        <w:t>Stockholder Action by Written Consent; Special Meetings</w:t>
      </w:r>
      <w:r>
        <w:t>. The Charter provides that stockholder action can be taken at an annual or special meeting of stock</w:t>
      </w:r>
      <w:r>
        <w:t>holders or, in certain circumstances, by written consent in lieu of a meeting. The Charter provides that stockholder action by written consent can be requested by a stockholder or a group of stockholders holding at least fifteen percent (15%) of the outsta</w:t>
      </w:r>
      <w:r>
        <w:t>nding voting stock of the Company for at least one year and such request must comply with the other procedural requirements set forth in the Charter.</w:t>
      </w:r>
    </w:p>
    <w:p w14:paraId="7326D49D" w14:textId="77777777" w:rsidR="00EF3DFB" w:rsidRDefault="00EF3DFB">
      <w:pPr>
        <w:pStyle w:val="BodyText"/>
        <w:spacing w:before="10"/>
        <w:rPr>
          <w:sz w:val="21"/>
        </w:rPr>
      </w:pPr>
    </w:p>
    <w:p w14:paraId="7326D49E" w14:textId="77777777" w:rsidR="00EF3DFB" w:rsidRDefault="00D27C17">
      <w:pPr>
        <w:spacing w:line="268" w:lineRule="auto"/>
        <w:ind w:left="939" w:right="936" w:firstLine="720"/>
      </w:pPr>
      <w:r>
        <w:t xml:space="preserve">The By-Laws provide that special meetings of the stockholders may be called by the chairman of the Board, the Board or the president of the Company and must also be called by the Board upon the written request of stockholders representing in the aggregate </w:t>
      </w:r>
      <w:r>
        <w:t>at least 15% of the outstanding voting stock of the Company for at least one year and such request must comply with the other procedural requirements set forth in the By-Laws. These provisions could delay a stockholder vote on certain matters, such as busi</w:t>
      </w:r>
      <w:r>
        <w:t>ness combinations and removal of directors, and could have the effect of discouraging a potential acquiror from making a tender offer.</w:t>
      </w:r>
    </w:p>
    <w:p w14:paraId="7326D49F" w14:textId="77777777" w:rsidR="00EF3DFB" w:rsidRDefault="00EF3DFB">
      <w:pPr>
        <w:pStyle w:val="BodyText"/>
        <w:spacing w:before="11"/>
        <w:rPr>
          <w:sz w:val="21"/>
        </w:rPr>
      </w:pPr>
    </w:p>
    <w:p w14:paraId="7326D4A0" w14:textId="77777777" w:rsidR="00EF3DFB" w:rsidRDefault="00D27C17">
      <w:pPr>
        <w:spacing w:line="268" w:lineRule="auto"/>
        <w:ind w:left="939" w:right="922" w:firstLine="720"/>
      </w:pPr>
      <w:r>
        <w:rPr>
          <w:i/>
        </w:rPr>
        <w:t xml:space="preserve">Advance Notice for Stockholder Proposals; Director Nominations; Proxy Access. </w:t>
      </w:r>
      <w:r>
        <w:t>The Charter and the By-Laws establish an a</w:t>
      </w:r>
      <w:r>
        <w:t>dvance notice procedure for stockholder proposals to be brought before a meeting of stockholders and for nominations by our stockholders of candidates for election as directors at an annual or special meeting of stockholders called for that purpose. As des</w:t>
      </w:r>
      <w:r>
        <w:t>cribed in the Charter and the By-Laws, any business conducted at a meeting of stockholders must be brought before the stockholders by our Board or a stockholder who has given to the secretary of the Company timely written notice, in proper form, of the sto</w:t>
      </w:r>
      <w:r>
        <w:t>ckholder’s intention to bring that business before the meeting. Individuals who are nominated by our Board, or who are nominated by a stockholder who has given to the secretary of the Company timely written notice, in proper form, prior to an annual or spe</w:t>
      </w:r>
      <w:r>
        <w:t>cial meeting of stockholders at which directors are to be elected, will be eligible for election to our Board. In addition to the director nomination process described above, the By- Laws permit any stockholder or group of up to 20 stockholders who have ma</w:t>
      </w:r>
      <w:r>
        <w:t>intained continuous qualifying ownership of 3% or more of our outstanding common stock for at least the previous three years to include up to a specified number of director nominees in our proxy materials for an annual meeting. The maximum number of stockh</w:t>
      </w:r>
      <w:r>
        <w:t>older nominees permitted under the proxy access provisions of the By-Laws is the greater of one or 20% of the total number of directors serving on the last day a notice of proxy access nomination may be submitted. Stockholders must give timely written noti</w:t>
      </w:r>
      <w:r>
        <w:t>ce to the secretary of the Company, in proper form, to include nominees in our proxy materials for an annual meeting. With the exception of proxy access, these provisions could make it more difficult for stockholders to raise matters affecting control of t</w:t>
      </w:r>
      <w:r>
        <w:t>he Company, including tender offers, business combinations or the election or removal of directors, for a stockholder</w:t>
      </w:r>
      <w:r>
        <w:rPr>
          <w:spacing w:val="-1"/>
        </w:rPr>
        <w:t xml:space="preserve"> </w:t>
      </w:r>
      <w:r>
        <w:t>vote.</w:t>
      </w:r>
    </w:p>
    <w:p w14:paraId="7326D4A1" w14:textId="77777777" w:rsidR="00EF3DFB" w:rsidRDefault="00EF3DFB">
      <w:pPr>
        <w:pStyle w:val="BodyText"/>
        <w:spacing w:before="4"/>
        <w:rPr>
          <w:sz w:val="22"/>
        </w:rPr>
      </w:pPr>
    </w:p>
    <w:p w14:paraId="7326D4A2" w14:textId="77777777" w:rsidR="00EF3DFB" w:rsidRDefault="00D27C17">
      <w:pPr>
        <w:spacing w:line="268" w:lineRule="auto"/>
        <w:ind w:left="939" w:right="1095" w:firstLine="720"/>
      </w:pPr>
      <w:r>
        <w:rPr>
          <w:i/>
        </w:rPr>
        <w:t>Amendment of the Certificate of Incorporation</w:t>
      </w:r>
      <w:r>
        <w:t>. Any proposal to amend, alter, change or repeal any provision of the Charter requires</w:t>
      </w:r>
      <w:r>
        <w:t xml:space="preserve"> approval by the affirmative vote of both a majority of the members of our Board then in office and a majority vote of the voting power of all of the shares of our capital stock entitled to vote generally in the election of directors. This provision is the</w:t>
      </w:r>
      <w:r>
        <w:t xml:space="preserve"> minimum approval required under the DGCL.</w:t>
      </w:r>
    </w:p>
    <w:p w14:paraId="7326D4A3" w14:textId="77777777" w:rsidR="00EF3DFB" w:rsidRDefault="00EF3DFB">
      <w:pPr>
        <w:pStyle w:val="BodyText"/>
        <w:spacing w:before="9"/>
        <w:rPr>
          <w:sz w:val="21"/>
        </w:rPr>
      </w:pPr>
    </w:p>
    <w:p w14:paraId="7326D4A4" w14:textId="77777777" w:rsidR="00EF3DFB" w:rsidRDefault="00D27C17">
      <w:pPr>
        <w:spacing w:before="1" w:line="268" w:lineRule="auto"/>
        <w:ind w:left="939" w:right="949" w:firstLine="720"/>
      </w:pPr>
      <w:r>
        <w:rPr>
          <w:i/>
        </w:rPr>
        <w:t>Preferred Stock and Additional Common Stock</w:t>
      </w:r>
      <w:r>
        <w:t>. Under the Charter, our Board has the authority to provide by resolution for the issuance of shares of one or more classes or series of preferred stock. Our Board is au</w:t>
      </w:r>
      <w:r>
        <w:t>thorized to fix by resolution the terms and conditions of each such other class or series.</w:t>
      </w:r>
    </w:p>
    <w:p w14:paraId="7326D4A5" w14:textId="77777777" w:rsidR="00EF3DFB" w:rsidRDefault="00EF3DFB">
      <w:pPr>
        <w:spacing w:line="268" w:lineRule="auto"/>
        <w:sectPr w:rsidR="00EF3DFB">
          <w:pgSz w:w="12240" w:h="15840"/>
          <w:pgMar w:top="1320" w:right="640" w:bottom="740" w:left="620" w:header="0" w:footer="559" w:gutter="0"/>
          <w:cols w:space="720"/>
        </w:sectPr>
      </w:pPr>
    </w:p>
    <w:p w14:paraId="7326D4A6" w14:textId="77777777" w:rsidR="00EF3DFB" w:rsidRDefault="00D27C17">
      <w:pPr>
        <w:spacing w:before="67" w:line="268" w:lineRule="auto"/>
        <w:ind w:left="939" w:right="959"/>
      </w:pPr>
      <w:r>
        <w:lastRenderedPageBreak/>
        <w:t>The authorized shares of our preferred stock, as well as authorized but unissued shares of our common stock, are available for issuance without further</w:t>
      </w:r>
      <w:r>
        <w:t xml:space="preserve"> action by our stockholders, unless stockholder action is required by applicable law or the rules of Nasdaq or any other stock exchange on which any class or series of our stock may then be listed. These provisions give our Board the power to approve the i</w:t>
      </w:r>
      <w:r>
        <w:t>ssuance of a class or series of our preferred capital stock, or additional shares of our common stock, that could, depending on the terms of the stock, either impede or facilitate the completion of a merger, tender offer or other takeover attempt. For exam</w:t>
      </w:r>
      <w:r>
        <w:t>ple, the issuance of new shares might impede a business combination if the terms of those shares include voting rights which would enable a holder to block business combinations. Alternatively, the issuance of new shares might facilitate a business combina</w:t>
      </w:r>
      <w:r>
        <w:t>tion if those shares have general voting rights sufficient to cause an applicable percentage vote requirement to be</w:t>
      </w:r>
      <w:r>
        <w:rPr>
          <w:spacing w:val="-1"/>
        </w:rPr>
        <w:t xml:space="preserve"> </w:t>
      </w:r>
      <w:r>
        <w:t>satisfied.</w:t>
      </w:r>
    </w:p>
    <w:p w14:paraId="7326D4A7" w14:textId="77777777" w:rsidR="00EF3DFB" w:rsidRDefault="00EF3DFB">
      <w:pPr>
        <w:pStyle w:val="BodyText"/>
        <w:spacing w:before="10"/>
        <w:rPr>
          <w:sz w:val="21"/>
        </w:rPr>
      </w:pPr>
    </w:p>
    <w:p w14:paraId="7326D4A8" w14:textId="77777777" w:rsidR="00EF3DFB" w:rsidRDefault="00D27C17">
      <w:pPr>
        <w:spacing w:before="1" w:line="268" w:lineRule="auto"/>
        <w:ind w:left="939" w:right="942" w:firstLine="720"/>
      </w:pPr>
      <w:r>
        <w:rPr>
          <w:i/>
        </w:rPr>
        <w:t>Delaware Business Combination Statute</w:t>
      </w:r>
      <w:r>
        <w:t>. The Company is subject to the “business combination” provisions of Section 203 of the DGC</w:t>
      </w:r>
      <w:r>
        <w:t>L. In general, such provisions prohibit a publicly held Delaware corporation from engaging in various “business combination” transactions with any interested stockholder for a period of three years after the date of the transaction in which the person beca</w:t>
      </w:r>
      <w:r>
        <w:t>me an interested stockholder, unless the business combination is approved in a prescribed manner. A “business combination” is defined to include mergers, asset sales and other transactions resulting in financial benefit to an interested stockholder. In gen</w:t>
      </w:r>
      <w:r>
        <w:t>eral, an “interested stockholder” is a person who, together with affiliates and associates, owns (or within three years, did own) 15% or more of a corporation’s voting stock. The statute could prohibit or delay mergers or other takeover or change in contro</w:t>
      </w:r>
      <w:r>
        <w:t>l attempts with respect to the Company and, accordingly, may discourage attempts to acquire the Company even though such a transaction may offer the Company’s shareowners the opportunity to sell their stock at a price above the prevailing market price.</w:t>
      </w:r>
    </w:p>
    <w:p w14:paraId="7326D4A9" w14:textId="77777777" w:rsidR="00EF3DFB" w:rsidRDefault="00EF3DFB">
      <w:pPr>
        <w:pStyle w:val="BodyText"/>
        <w:spacing w:before="7"/>
        <w:rPr>
          <w:sz w:val="21"/>
        </w:rPr>
      </w:pPr>
    </w:p>
    <w:p w14:paraId="7326D4AA" w14:textId="77777777" w:rsidR="00EF3DFB" w:rsidRDefault="00D27C17">
      <w:pPr>
        <w:ind w:left="939"/>
        <w:rPr>
          <w:b/>
          <w:i/>
        </w:rPr>
      </w:pPr>
      <w:r>
        <w:rPr>
          <w:b/>
          <w:i/>
        </w:rPr>
        <w:t>Ex</w:t>
      </w:r>
      <w:r>
        <w:rPr>
          <w:b/>
          <w:i/>
        </w:rPr>
        <w:t>clusive Forum</w:t>
      </w:r>
    </w:p>
    <w:p w14:paraId="7326D4AB" w14:textId="77777777" w:rsidR="00EF3DFB" w:rsidRDefault="00EF3DFB">
      <w:pPr>
        <w:pStyle w:val="BodyText"/>
        <w:spacing w:before="2"/>
        <w:rPr>
          <w:b/>
          <w:i/>
          <w:sz w:val="22"/>
        </w:rPr>
      </w:pPr>
    </w:p>
    <w:p w14:paraId="7326D4AC" w14:textId="77777777" w:rsidR="00EF3DFB" w:rsidRDefault="00D27C17">
      <w:pPr>
        <w:spacing w:line="268" w:lineRule="auto"/>
        <w:ind w:left="939" w:right="1382" w:firstLine="720"/>
      </w:pPr>
      <w:r>
        <w:t>Our By-Laws provide that, unless we consent in writing to the selection of another forum, a state court located within the State of Delaware (or the federal district court for the District of Delaware, as applicable) shall be the exclusive forum for (i) an</w:t>
      </w:r>
      <w:r>
        <w:t>y derivative action or proceeding brought on behalf of the Company, (ii) any action</w:t>
      </w:r>
    </w:p>
    <w:p w14:paraId="7326D4AD" w14:textId="77777777" w:rsidR="00EF3DFB" w:rsidRDefault="00EF3DFB">
      <w:pPr>
        <w:pStyle w:val="BodyText"/>
        <w:rPr>
          <w:sz w:val="29"/>
        </w:rPr>
      </w:pPr>
    </w:p>
    <w:p w14:paraId="7326D4AE" w14:textId="77777777" w:rsidR="00EF3DFB" w:rsidRDefault="00D27C17">
      <w:pPr>
        <w:spacing w:line="268" w:lineRule="auto"/>
        <w:ind w:left="939" w:right="1100"/>
      </w:pPr>
      <w:r>
        <w:t>asserting a claim of breach of a fiduciary duty owed by any director or officer or other employee of the Company to the Company or the Company’s stockholders, (iii) any ac</w:t>
      </w:r>
      <w:r>
        <w:t>tion asserting a claim against the Company or any director or officer or other employee of the Company arising pursuant to any provision of the DGCL, the Charter or the By-Laws, or (iv) any action asserting a claim against the Company or any director or of</w:t>
      </w:r>
      <w:r>
        <w:t>ficer or other employee of the Company governed by the internal affairs doctrine. Although we believe this provision benefits us by providing increased consistency in the application of Delaware law in the types of lawsuits to which it applies, the provisi</w:t>
      </w:r>
      <w:r>
        <w:t>on may have the effect of discouraging lawsuits against our directors and officers. The enforceability of similar choice of forum provisions in other companies’ bylaws and certificates of incorporation has been challenged in legal proceedings, and it is po</w:t>
      </w:r>
      <w:r>
        <w:t>ssible that, in connection with any action, a court could find the choice of forum provisions contained in our By-Laws to be inapplicable or unenforceable in such action.</w:t>
      </w:r>
    </w:p>
    <w:p w14:paraId="7326D4AF" w14:textId="77777777" w:rsidR="00EF3DFB" w:rsidRDefault="00EF3DFB">
      <w:pPr>
        <w:spacing w:line="268" w:lineRule="auto"/>
        <w:sectPr w:rsidR="00EF3DFB">
          <w:pgSz w:w="12240" w:h="15840"/>
          <w:pgMar w:top="1320" w:right="640" w:bottom="740" w:left="620" w:header="0" w:footer="559" w:gutter="0"/>
          <w:cols w:space="720"/>
        </w:sectPr>
      </w:pPr>
    </w:p>
    <w:p w14:paraId="7326D4B0" w14:textId="77777777" w:rsidR="00EF3DFB" w:rsidRDefault="00D27C17">
      <w:pPr>
        <w:pStyle w:val="Heading2"/>
        <w:spacing w:before="68"/>
        <w:ind w:left="0" w:right="915"/>
        <w:jc w:val="right"/>
      </w:pPr>
      <w:bookmarkStart w:id="95" w:name="EXHIBIT_10.36_Newell_Brands_RSU_Award"/>
      <w:bookmarkEnd w:id="95"/>
      <w:r>
        <w:lastRenderedPageBreak/>
        <w:t>EXHIBIT 10.36</w:t>
      </w:r>
    </w:p>
    <w:p w14:paraId="7326D4B1" w14:textId="77777777" w:rsidR="00EF3DFB" w:rsidRDefault="00D27C17">
      <w:pPr>
        <w:spacing w:before="10"/>
        <w:ind w:right="913"/>
        <w:jc w:val="right"/>
        <w:rPr>
          <w:b/>
          <w:sz w:val="20"/>
        </w:rPr>
      </w:pPr>
      <w:r>
        <w:rPr>
          <w:b/>
          <w:sz w:val="20"/>
        </w:rPr>
        <w:t>Newell Brands RSU Award</w:t>
      </w:r>
    </w:p>
    <w:p w14:paraId="7326D4B2" w14:textId="77777777" w:rsidR="00EF3DFB" w:rsidRDefault="00EF3DFB">
      <w:pPr>
        <w:pStyle w:val="BodyText"/>
        <w:rPr>
          <w:b/>
          <w:sz w:val="18"/>
        </w:rPr>
      </w:pPr>
    </w:p>
    <w:p w14:paraId="7326D4B3" w14:textId="77777777" w:rsidR="00EF3DFB" w:rsidRDefault="00D27C17">
      <w:pPr>
        <w:spacing w:before="91"/>
        <w:ind w:left="3278"/>
        <w:rPr>
          <w:b/>
          <w:sz w:val="20"/>
        </w:rPr>
      </w:pPr>
      <w:r>
        <w:rPr>
          <w:b/>
          <w:sz w:val="20"/>
        </w:rPr>
        <w:t>NEWELL BRANDS INC. 2013 INCENTIV</w:t>
      </w:r>
      <w:r>
        <w:rPr>
          <w:b/>
          <w:sz w:val="20"/>
        </w:rPr>
        <w:t>E PLAN</w:t>
      </w:r>
    </w:p>
    <w:p w14:paraId="7326D4B4" w14:textId="77777777" w:rsidR="00EF3DFB" w:rsidRDefault="00EF3DFB">
      <w:pPr>
        <w:pStyle w:val="BodyText"/>
        <w:spacing w:before="11"/>
        <w:rPr>
          <w:b/>
          <w:sz w:val="25"/>
        </w:rPr>
      </w:pPr>
    </w:p>
    <w:p w14:paraId="7326D4B5" w14:textId="77777777" w:rsidR="00EF3DFB" w:rsidRDefault="00D27C17">
      <w:pPr>
        <w:spacing w:line="249" w:lineRule="auto"/>
        <w:ind w:left="2350" w:right="2328"/>
        <w:jc w:val="center"/>
        <w:rPr>
          <w:b/>
          <w:sz w:val="20"/>
        </w:rPr>
      </w:pPr>
      <w:r>
        <w:rPr>
          <w:b/>
          <w:sz w:val="20"/>
        </w:rPr>
        <w:t>NON-EMPLOYEE DIRECTOR RESTRICTED STOCK UNIT AWARD AGREEMENT</w:t>
      </w:r>
    </w:p>
    <w:p w14:paraId="7326D4B6" w14:textId="77777777" w:rsidR="00EF3DFB" w:rsidRDefault="00EF3DFB">
      <w:pPr>
        <w:pStyle w:val="BodyText"/>
        <w:spacing w:before="5"/>
        <w:rPr>
          <w:b/>
          <w:sz w:val="25"/>
        </w:rPr>
      </w:pPr>
    </w:p>
    <w:p w14:paraId="7326D4B7" w14:textId="77777777" w:rsidR="00EF3DFB" w:rsidRDefault="00D27C17">
      <w:pPr>
        <w:pStyle w:val="BodyText"/>
        <w:spacing w:line="249" w:lineRule="auto"/>
        <w:ind w:left="820" w:right="798" w:firstLine="720"/>
        <w:jc w:val="both"/>
      </w:pPr>
      <w:r>
        <w:t>A Restricted Stock Unit (“RSU”) Award (the “Award”) granted by Newell Brands Inc., a Delaware corporation (the “Company”), to the non-employee director named in the attached Award letter (the “Grantee”) relating to the common stock, par value $1.00 per sha</w:t>
      </w:r>
      <w:r>
        <w:t>re (the “Common Stock”), of the Company, shall be subject to the following terms and conditions and the provisions of the Newell Rubbermaid Inc. 2013 Incentive Plan (the “Plan”), a copy of which is attached hereto and the terms of which are hereby incorpor</w:t>
      </w:r>
      <w:r>
        <w:t>ated by reference.</w:t>
      </w:r>
    </w:p>
    <w:p w14:paraId="7326D4B8" w14:textId="77777777" w:rsidR="00EF3DFB" w:rsidRDefault="00EF3DFB">
      <w:pPr>
        <w:pStyle w:val="BodyText"/>
        <w:spacing w:before="6"/>
        <w:rPr>
          <w:sz w:val="26"/>
        </w:rPr>
      </w:pPr>
    </w:p>
    <w:p w14:paraId="7326D4B9" w14:textId="77777777" w:rsidR="00EF3DFB" w:rsidRDefault="00D27C17">
      <w:pPr>
        <w:pStyle w:val="ListParagraph"/>
        <w:numPr>
          <w:ilvl w:val="0"/>
          <w:numId w:val="1"/>
        </w:numPr>
        <w:tabs>
          <w:tab w:val="left" w:pos="2259"/>
          <w:tab w:val="left" w:pos="2260"/>
        </w:tabs>
        <w:spacing w:line="232" w:lineRule="auto"/>
        <w:ind w:right="797" w:firstLine="720"/>
        <w:jc w:val="both"/>
        <w:rPr>
          <w:sz w:val="20"/>
        </w:rPr>
      </w:pPr>
      <w:r>
        <w:rPr>
          <w:sz w:val="20"/>
          <w:u w:val="single"/>
        </w:rPr>
        <w:t>Acceptance by Grantee</w:t>
      </w:r>
      <w:r>
        <w:rPr>
          <w:sz w:val="20"/>
        </w:rPr>
        <w:t>. The receipt of the Award is conditioned upon its acceptance by the Grantee in the space provided therefor at the end of the attached Award letter and the return of an executed copy of such Award letter to the Secretary of the Company no later than 60 day</w:t>
      </w:r>
      <w:r>
        <w:rPr>
          <w:sz w:val="20"/>
        </w:rPr>
        <w:t>s after the Award Date set forth therein or, if later, 30 days after the Grantee receives this</w:t>
      </w:r>
      <w:r>
        <w:rPr>
          <w:spacing w:val="-7"/>
          <w:sz w:val="20"/>
        </w:rPr>
        <w:t xml:space="preserve"> </w:t>
      </w:r>
      <w:r>
        <w:rPr>
          <w:sz w:val="20"/>
        </w:rPr>
        <w:t>Agreement.</w:t>
      </w:r>
    </w:p>
    <w:p w14:paraId="7326D4BA" w14:textId="77777777" w:rsidR="00EF3DFB" w:rsidRDefault="00EF3DFB">
      <w:pPr>
        <w:pStyle w:val="BodyText"/>
        <w:rPr>
          <w:sz w:val="26"/>
        </w:rPr>
      </w:pPr>
    </w:p>
    <w:p w14:paraId="7326D4BB" w14:textId="77777777" w:rsidR="00EF3DFB" w:rsidRDefault="00D27C17">
      <w:pPr>
        <w:pStyle w:val="ListParagraph"/>
        <w:numPr>
          <w:ilvl w:val="0"/>
          <w:numId w:val="1"/>
        </w:numPr>
        <w:tabs>
          <w:tab w:val="left" w:pos="2259"/>
          <w:tab w:val="left" w:pos="2260"/>
        </w:tabs>
        <w:spacing w:line="232" w:lineRule="auto"/>
        <w:ind w:right="797" w:firstLine="720"/>
        <w:jc w:val="both"/>
        <w:rPr>
          <w:sz w:val="20"/>
        </w:rPr>
      </w:pPr>
      <w:r>
        <w:rPr>
          <w:sz w:val="20"/>
          <w:u w:val="single"/>
        </w:rPr>
        <w:t>Grant of RSUs</w:t>
      </w:r>
      <w:r>
        <w:rPr>
          <w:sz w:val="20"/>
        </w:rPr>
        <w:t>. The Company hereby grants to the Grantee the Award of RSUs, as set forth in the Award letter. An RSU is the right, subject to the term</w:t>
      </w:r>
      <w:r>
        <w:rPr>
          <w:sz w:val="20"/>
        </w:rPr>
        <w:t>s and conditions of the Plan and this Agreement, to receive a distribution of a share of Common Stock for each RSU as described in Section 6 of this</w:t>
      </w:r>
      <w:r>
        <w:rPr>
          <w:spacing w:val="-20"/>
          <w:sz w:val="20"/>
        </w:rPr>
        <w:t xml:space="preserve"> </w:t>
      </w:r>
      <w:r>
        <w:rPr>
          <w:sz w:val="20"/>
        </w:rPr>
        <w:t>Agreement.</w:t>
      </w:r>
    </w:p>
    <w:p w14:paraId="7326D4BC" w14:textId="77777777" w:rsidR="00EF3DFB" w:rsidRDefault="00EF3DFB">
      <w:pPr>
        <w:pStyle w:val="BodyText"/>
        <w:spacing w:before="4"/>
        <w:rPr>
          <w:sz w:val="25"/>
        </w:rPr>
      </w:pPr>
    </w:p>
    <w:p w14:paraId="7326D4BD" w14:textId="77777777" w:rsidR="00EF3DFB" w:rsidRDefault="00D27C17">
      <w:pPr>
        <w:pStyle w:val="ListParagraph"/>
        <w:numPr>
          <w:ilvl w:val="0"/>
          <w:numId w:val="1"/>
        </w:numPr>
        <w:tabs>
          <w:tab w:val="left" w:pos="2259"/>
          <w:tab w:val="left" w:pos="2260"/>
        </w:tabs>
        <w:spacing w:line="232" w:lineRule="auto"/>
        <w:ind w:right="797" w:firstLine="720"/>
        <w:jc w:val="both"/>
        <w:rPr>
          <w:sz w:val="20"/>
        </w:rPr>
      </w:pPr>
      <w:r>
        <w:rPr>
          <w:sz w:val="20"/>
          <w:u w:val="single"/>
        </w:rPr>
        <w:t>RSU Account</w:t>
      </w:r>
      <w:r>
        <w:rPr>
          <w:sz w:val="20"/>
        </w:rPr>
        <w:t xml:space="preserve">. The Company shall maintain an account (“RSU Account”) on its books in the name of </w:t>
      </w:r>
      <w:r>
        <w:rPr>
          <w:sz w:val="20"/>
        </w:rPr>
        <w:t>the Grantee which shall reflect the number of RSUs awarded to the</w:t>
      </w:r>
      <w:r>
        <w:rPr>
          <w:spacing w:val="-13"/>
          <w:sz w:val="20"/>
        </w:rPr>
        <w:t xml:space="preserve"> </w:t>
      </w:r>
      <w:r>
        <w:rPr>
          <w:sz w:val="20"/>
        </w:rPr>
        <w:t>Grantee.</w:t>
      </w:r>
    </w:p>
    <w:p w14:paraId="7326D4BE" w14:textId="77777777" w:rsidR="00EF3DFB" w:rsidRDefault="00EF3DFB">
      <w:pPr>
        <w:pStyle w:val="BodyText"/>
        <w:rPr>
          <w:sz w:val="26"/>
        </w:rPr>
      </w:pPr>
    </w:p>
    <w:p w14:paraId="7326D4BF" w14:textId="77777777" w:rsidR="00EF3DFB" w:rsidRDefault="00D27C17">
      <w:pPr>
        <w:pStyle w:val="ListParagraph"/>
        <w:numPr>
          <w:ilvl w:val="0"/>
          <w:numId w:val="1"/>
        </w:numPr>
        <w:tabs>
          <w:tab w:val="left" w:pos="2259"/>
          <w:tab w:val="left" w:pos="2260"/>
        </w:tabs>
        <w:spacing w:line="232" w:lineRule="auto"/>
        <w:ind w:right="798" w:firstLine="720"/>
        <w:jc w:val="both"/>
        <w:rPr>
          <w:sz w:val="20"/>
        </w:rPr>
      </w:pPr>
      <w:r>
        <w:rPr>
          <w:sz w:val="20"/>
          <w:u w:val="single"/>
        </w:rPr>
        <w:t>Dividend Equivalents</w:t>
      </w:r>
      <w:r>
        <w:rPr>
          <w:sz w:val="20"/>
        </w:rPr>
        <w:t>. Upon the payment of any dividend on Common Stock whose record date occurs during the period preceding the earlier of the date of vesting of the Grantee’s Awar</w:t>
      </w:r>
      <w:r>
        <w:rPr>
          <w:sz w:val="20"/>
        </w:rPr>
        <w:t xml:space="preserve">d or the date the Grantee’s Award is forfeited as described with Section 5, the Company shall credit the Grantee’s RSU Account with an amount equal in value to the dividends that the Grantee would have received had the Grantee been the actual owner of the </w:t>
      </w:r>
      <w:r>
        <w:rPr>
          <w:sz w:val="20"/>
        </w:rPr>
        <w:t>number of shares of Common Stock represented by the RSUs in the Grantee’s RSU Account on that record date. Such amounts shall be paid to the Grantee at the time and in the form of payment specified in Section 6. Any such dividend equivalents relating to RS</w:t>
      </w:r>
      <w:r>
        <w:rPr>
          <w:sz w:val="20"/>
        </w:rPr>
        <w:t>Us that are forfeited shall also be forfeited. Any such payment shall be payments of dividend equivalents, and shall not constitute the payments of dividends to the Grantee that would violate the provisions of Section 8 of this</w:t>
      </w:r>
      <w:r>
        <w:rPr>
          <w:spacing w:val="-6"/>
          <w:sz w:val="20"/>
        </w:rPr>
        <w:t xml:space="preserve"> </w:t>
      </w:r>
      <w:r>
        <w:rPr>
          <w:sz w:val="20"/>
        </w:rPr>
        <w:t>Agreement.</w:t>
      </w:r>
    </w:p>
    <w:p w14:paraId="7326D4C0" w14:textId="77777777" w:rsidR="00EF3DFB" w:rsidRDefault="00EF3DFB">
      <w:pPr>
        <w:pStyle w:val="BodyText"/>
        <w:spacing w:before="5"/>
        <w:rPr>
          <w:sz w:val="25"/>
        </w:rPr>
      </w:pPr>
    </w:p>
    <w:p w14:paraId="7326D4C1" w14:textId="77777777" w:rsidR="00EF3DFB" w:rsidRDefault="00D27C17">
      <w:pPr>
        <w:pStyle w:val="ListParagraph"/>
        <w:numPr>
          <w:ilvl w:val="0"/>
          <w:numId w:val="1"/>
        </w:numPr>
        <w:tabs>
          <w:tab w:val="left" w:pos="2259"/>
          <w:tab w:val="left" w:pos="2260"/>
        </w:tabs>
        <w:ind w:firstLine="720"/>
        <w:rPr>
          <w:sz w:val="20"/>
        </w:rPr>
      </w:pPr>
      <w:r>
        <w:rPr>
          <w:sz w:val="20"/>
          <w:u w:val="single"/>
        </w:rPr>
        <w:t>Vesting</w:t>
      </w:r>
      <w:r>
        <w:rPr>
          <w:sz w:val="20"/>
        </w:rPr>
        <w:t>.</w:t>
      </w:r>
    </w:p>
    <w:p w14:paraId="7326D4C2" w14:textId="77777777" w:rsidR="00EF3DFB" w:rsidRDefault="00EF3DFB">
      <w:pPr>
        <w:pStyle w:val="BodyText"/>
        <w:spacing w:before="5"/>
        <w:rPr>
          <w:sz w:val="25"/>
        </w:rPr>
      </w:pPr>
    </w:p>
    <w:p w14:paraId="7326D4C3" w14:textId="77777777" w:rsidR="00EF3DFB" w:rsidRDefault="00D27C17">
      <w:pPr>
        <w:pStyle w:val="ListParagraph"/>
        <w:numPr>
          <w:ilvl w:val="1"/>
          <w:numId w:val="1"/>
        </w:numPr>
        <w:tabs>
          <w:tab w:val="left" w:pos="2980"/>
        </w:tabs>
        <w:spacing w:line="232" w:lineRule="auto"/>
        <w:ind w:right="799" w:firstLine="1440"/>
        <w:jc w:val="both"/>
        <w:rPr>
          <w:sz w:val="20"/>
        </w:rPr>
      </w:pPr>
      <w:r>
        <w:rPr>
          <w:sz w:val="20"/>
        </w:rPr>
        <w:t>Except</w:t>
      </w:r>
      <w:r>
        <w:rPr>
          <w:sz w:val="20"/>
        </w:rPr>
        <w:t xml:space="preserve"> as described in (b) below, the Grantee shall become vested in his Award upon the earlier of: (i) the first anniversary of the date of the grant of the Award (the “Award Date”); or (ii) the date immediately preceding the date of the Company’s annual meetin</w:t>
      </w:r>
      <w:r>
        <w:rPr>
          <w:sz w:val="20"/>
        </w:rPr>
        <w:t>g of shareholders in the calendar year following the calendar year of the Award Date, provided he remains in continuous service on the Board until such</w:t>
      </w:r>
      <w:r>
        <w:rPr>
          <w:spacing w:val="-26"/>
          <w:sz w:val="20"/>
        </w:rPr>
        <w:t xml:space="preserve"> </w:t>
      </w:r>
      <w:r>
        <w:rPr>
          <w:sz w:val="20"/>
        </w:rPr>
        <w:t>date.</w:t>
      </w:r>
    </w:p>
    <w:p w14:paraId="7326D4C4" w14:textId="77777777" w:rsidR="00EF3DFB" w:rsidRDefault="00EF3DFB">
      <w:pPr>
        <w:pStyle w:val="BodyText"/>
        <w:spacing w:before="8"/>
        <w:rPr>
          <w:sz w:val="25"/>
        </w:rPr>
      </w:pPr>
    </w:p>
    <w:p w14:paraId="7326D4C5" w14:textId="77777777" w:rsidR="00EF3DFB" w:rsidRDefault="00D27C17">
      <w:pPr>
        <w:pStyle w:val="ListParagraph"/>
        <w:numPr>
          <w:ilvl w:val="1"/>
          <w:numId w:val="1"/>
        </w:numPr>
        <w:tabs>
          <w:tab w:val="left" w:pos="2980"/>
        </w:tabs>
        <w:spacing w:line="232" w:lineRule="auto"/>
        <w:ind w:right="798" w:firstLine="1440"/>
        <w:jc w:val="both"/>
        <w:rPr>
          <w:sz w:val="20"/>
        </w:rPr>
      </w:pPr>
      <w:r>
        <w:rPr>
          <w:sz w:val="20"/>
        </w:rPr>
        <w:t>If the Grantee’s service on the Board terminates prior to the vesting date of the Award specified</w:t>
      </w:r>
      <w:r>
        <w:rPr>
          <w:sz w:val="20"/>
        </w:rPr>
        <w:t xml:space="preserve"> in (a) above due to his death, disability or retirement, the Grantee shall become fully vested in his Award. For this purpose (i) “disability” means (as determined by the Committee in its sole discretion) the inability of the Grantee to engage in any subs</w:t>
      </w:r>
      <w:r>
        <w:rPr>
          <w:sz w:val="20"/>
        </w:rPr>
        <w:t>tantial gainful activity by reason of any medically determinable physical or mental impairment which is expected to result in death or which can be expected to last for a continuous period of not less than 12 months; and (ii) “retirement” means the Grantee</w:t>
      </w:r>
      <w:r>
        <w:rPr>
          <w:sz w:val="20"/>
        </w:rPr>
        <w:t>’s retirement in accordance with the Company’s retirement policy for</w:t>
      </w:r>
      <w:r>
        <w:rPr>
          <w:spacing w:val="-1"/>
          <w:sz w:val="20"/>
        </w:rPr>
        <w:t xml:space="preserve"> </w:t>
      </w:r>
      <w:r>
        <w:rPr>
          <w:sz w:val="20"/>
        </w:rPr>
        <w:t>Directors.</w:t>
      </w:r>
    </w:p>
    <w:p w14:paraId="7326D4C6" w14:textId="77777777" w:rsidR="00EF3DFB" w:rsidRDefault="00EF3DFB">
      <w:pPr>
        <w:pStyle w:val="BodyText"/>
        <w:spacing w:before="8"/>
        <w:rPr>
          <w:sz w:val="25"/>
        </w:rPr>
      </w:pPr>
    </w:p>
    <w:p w14:paraId="7326D4C7" w14:textId="77777777" w:rsidR="00EF3DFB" w:rsidRDefault="00D27C17">
      <w:pPr>
        <w:pStyle w:val="ListParagraph"/>
        <w:numPr>
          <w:ilvl w:val="1"/>
          <w:numId w:val="1"/>
        </w:numPr>
        <w:tabs>
          <w:tab w:val="left" w:pos="2980"/>
        </w:tabs>
        <w:spacing w:line="232" w:lineRule="auto"/>
        <w:ind w:right="801" w:firstLine="1440"/>
        <w:jc w:val="both"/>
        <w:rPr>
          <w:sz w:val="20"/>
        </w:rPr>
      </w:pPr>
      <w:r>
        <w:rPr>
          <w:sz w:val="20"/>
        </w:rPr>
        <w:t>If the Grantee’s service on the Board terminates prior to the vesting date of the Award specified in (a) above for any reason other than death, disability or retirement, the then- unvested portion of the Award shall be forfeited to the Company, and no port</w:t>
      </w:r>
      <w:r>
        <w:rPr>
          <w:sz w:val="20"/>
        </w:rPr>
        <w:t>ion of the Award shall thereafter</w:t>
      </w:r>
      <w:r>
        <w:rPr>
          <w:spacing w:val="-14"/>
          <w:sz w:val="20"/>
        </w:rPr>
        <w:t xml:space="preserve"> </w:t>
      </w:r>
      <w:r>
        <w:rPr>
          <w:sz w:val="20"/>
        </w:rPr>
        <w:t>vest.</w:t>
      </w:r>
    </w:p>
    <w:p w14:paraId="7326D4C8" w14:textId="77777777" w:rsidR="00EF3DFB" w:rsidRDefault="00EF3DFB">
      <w:pPr>
        <w:spacing w:line="232" w:lineRule="auto"/>
        <w:jc w:val="both"/>
        <w:rPr>
          <w:sz w:val="20"/>
        </w:rPr>
        <w:sectPr w:rsidR="00EF3DFB">
          <w:footerReference w:type="default" r:id="rId314"/>
          <w:pgSz w:w="12240" w:h="15840"/>
          <w:pgMar w:top="1320" w:right="640" w:bottom="280" w:left="620" w:header="0" w:footer="0" w:gutter="0"/>
          <w:cols w:space="720"/>
        </w:sectPr>
      </w:pPr>
    </w:p>
    <w:p w14:paraId="7326D4C9" w14:textId="77777777" w:rsidR="00EF3DFB" w:rsidRDefault="00D27C17">
      <w:pPr>
        <w:pStyle w:val="ListParagraph"/>
        <w:numPr>
          <w:ilvl w:val="0"/>
          <w:numId w:val="1"/>
        </w:numPr>
        <w:tabs>
          <w:tab w:val="left" w:pos="2259"/>
          <w:tab w:val="left" w:pos="2260"/>
        </w:tabs>
        <w:spacing w:before="185" w:line="232" w:lineRule="auto"/>
        <w:ind w:right="798" w:firstLine="720"/>
        <w:jc w:val="both"/>
        <w:rPr>
          <w:sz w:val="20"/>
        </w:rPr>
      </w:pPr>
      <w:r>
        <w:rPr>
          <w:sz w:val="20"/>
          <w:u w:val="single"/>
        </w:rPr>
        <w:lastRenderedPageBreak/>
        <w:t>Settlement of Award</w:t>
      </w:r>
      <w:r>
        <w:rPr>
          <w:sz w:val="20"/>
        </w:rPr>
        <w:t>. If a Grantee becomes vested in the Award in accordance with Section 5, the Company shall pay to the Grantee, or the Grantee’s personal representative, beneficiary or estate, as ap</w:t>
      </w:r>
      <w:r>
        <w:rPr>
          <w:sz w:val="20"/>
        </w:rPr>
        <w:t>plicable, a number of shares of Common Stock equal to the number of vested RSUs and an amount in cash equal to all dividend equivalents credited to the Grantee’s RSU Account. Such shares and cash shall be delivered/paid within thirty (30) days following th</w:t>
      </w:r>
      <w:r>
        <w:rPr>
          <w:sz w:val="20"/>
        </w:rPr>
        <w:t>e date of vesting as defined in Section 5; provided that in the event of a vesting upon retirement pursuant to (b) above, such shares and cash shall be delivered/paid within thirty (30) days following the date specified in Section 5(a) above. Grantee is re</w:t>
      </w:r>
      <w:r>
        <w:rPr>
          <w:sz w:val="20"/>
        </w:rPr>
        <w:t>quired to hold all shares received under this Agreement until he/she is no longer a member of the Board of Directors of the Company as those terms are defined in the</w:t>
      </w:r>
      <w:r>
        <w:rPr>
          <w:spacing w:val="-23"/>
          <w:sz w:val="20"/>
        </w:rPr>
        <w:t xml:space="preserve"> </w:t>
      </w:r>
      <w:r>
        <w:rPr>
          <w:sz w:val="20"/>
        </w:rPr>
        <w:t>Plan.</w:t>
      </w:r>
    </w:p>
    <w:p w14:paraId="7326D4CA" w14:textId="77777777" w:rsidR="00EF3DFB" w:rsidRDefault="00EF3DFB">
      <w:pPr>
        <w:pStyle w:val="BodyText"/>
        <w:spacing w:before="10"/>
        <w:rPr>
          <w:sz w:val="25"/>
        </w:rPr>
      </w:pPr>
    </w:p>
    <w:p w14:paraId="7326D4CB" w14:textId="77777777" w:rsidR="00EF3DFB" w:rsidRDefault="00D27C17">
      <w:pPr>
        <w:pStyle w:val="ListParagraph"/>
        <w:numPr>
          <w:ilvl w:val="0"/>
          <w:numId w:val="1"/>
        </w:numPr>
        <w:tabs>
          <w:tab w:val="left" w:pos="2259"/>
          <w:tab w:val="left" w:pos="2260"/>
        </w:tabs>
        <w:spacing w:line="232" w:lineRule="auto"/>
        <w:ind w:right="799" w:firstLine="720"/>
        <w:jc w:val="both"/>
        <w:rPr>
          <w:sz w:val="20"/>
        </w:rPr>
      </w:pPr>
      <w:r>
        <w:rPr>
          <w:sz w:val="20"/>
          <w:u w:val="single"/>
        </w:rPr>
        <w:t>Withholding Taxes</w:t>
      </w:r>
      <w:r>
        <w:rPr>
          <w:sz w:val="20"/>
        </w:rPr>
        <w:t xml:space="preserve">. If applicable, the Company shall withhold from any distribution </w:t>
      </w:r>
      <w:r>
        <w:rPr>
          <w:sz w:val="20"/>
        </w:rPr>
        <w:t>made to the Grantee an amount sufficient to satisfy all minimum Federal, state and local withholding tax requirements. Payment of such taxes may be made by a method specified in the Plan and approved by the</w:t>
      </w:r>
      <w:r>
        <w:rPr>
          <w:spacing w:val="-17"/>
          <w:sz w:val="20"/>
        </w:rPr>
        <w:t xml:space="preserve"> </w:t>
      </w:r>
      <w:r>
        <w:rPr>
          <w:sz w:val="20"/>
        </w:rPr>
        <w:t>Committee.</w:t>
      </w:r>
    </w:p>
    <w:p w14:paraId="7326D4CC" w14:textId="77777777" w:rsidR="00EF3DFB" w:rsidRDefault="00EF3DFB">
      <w:pPr>
        <w:pStyle w:val="BodyText"/>
        <w:spacing w:before="5"/>
        <w:rPr>
          <w:sz w:val="25"/>
        </w:rPr>
      </w:pPr>
    </w:p>
    <w:p w14:paraId="7326D4CD" w14:textId="77777777" w:rsidR="00EF3DFB" w:rsidRDefault="00D27C17">
      <w:pPr>
        <w:pStyle w:val="ListParagraph"/>
        <w:numPr>
          <w:ilvl w:val="0"/>
          <w:numId w:val="1"/>
        </w:numPr>
        <w:tabs>
          <w:tab w:val="left" w:pos="2259"/>
          <w:tab w:val="left" w:pos="2260"/>
        </w:tabs>
        <w:spacing w:line="232" w:lineRule="auto"/>
        <w:ind w:right="799" w:firstLine="720"/>
        <w:jc w:val="both"/>
        <w:rPr>
          <w:sz w:val="20"/>
        </w:rPr>
      </w:pPr>
      <w:r>
        <w:rPr>
          <w:sz w:val="20"/>
          <w:u w:val="single"/>
        </w:rPr>
        <w:t>Rights as Stockholder</w:t>
      </w:r>
      <w:r>
        <w:rPr>
          <w:sz w:val="20"/>
        </w:rPr>
        <w:t>. The Grantee sh</w:t>
      </w:r>
      <w:r>
        <w:rPr>
          <w:sz w:val="20"/>
        </w:rPr>
        <w:t>all not be entitled to any of the rights of a stockholder of the Company with respect to the Award, including the right to vote and to receive dividends and other distributions, until and to the extent the Award is settled in shares of Common</w:t>
      </w:r>
      <w:r>
        <w:rPr>
          <w:spacing w:val="-11"/>
          <w:sz w:val="20"/>
        </w:rPr>
        <w:t xml:space="preserve"> </w:t>
      </w:r>
      <w:r>
        <w:rPr>
          <w:sz w:val="20"/>
        </w:rPr>
        <w:t>Stock.</w:t>
      </w:r>
    </w:p>
    <w:p w14:paraId="7326D4CE" w14:textId="77777777" w:rsidR="00EF3DFB" w:rsidRDefault="00EF3DFB">
      <w:pPr>
        <w:pStyle w:val="BodyText"/>
        <w:spacing w:before="3"/>
        <w:rPr>
          <w:sz w:val="26"/>
        </w:rPr>
      </w:pPr>
    </w:p>
    <w:p w14:paraId="7326D4CF" w14:textId="77777777" w:rsidR="00EF3DFB" w:rsidRDefault="00D27C17">
      <w:pPr>
        <w:pStyle w:val="ListParagraph"/>
        <w:numPr>
          <w:ilvl w:val="0"/>
          <w:numId w:val="1"/>
        </w:numPr>
        <w:tabs>
          <w:tab w:val="left" w:pos="2259"/>
          <w:tab w:val="left" w:pos="2260"/>
        </w:tabs>
        <w:spacing w:line="232" w:lineRule="auto"/>
        <w:ind w:right="798" w:firstLine="720"/>
        <w:jc w:val="both"/>
        <w:rPr>
          <w:sz w:val="20"/>
        </w:rPr>
      </w:pPr>
      <w:r>
        <w:rPr>
          <w:sz w:val="20"/>
          <w:u w:val="single"/>
        </w:rPr>
        <w:t>Share</w:t>
      </w:r>
      <w:r>
        <w:rPr>
          <w:sz w:val="20"/>
          <w:u w:val="single"/>
        </w:rPr>
        <w:t xml:space="preserve"> Delivery</w:t>
      </w:r>
      <w:r>
        <w:rPr>
          <w:sz w:val="20"/>
        </w:rPr>
        <w:t>. Delivery of any shares in connection with settlement of the Award will be by book-entry credit to an account in the Grantee’s name established by the Company with the Company’s transfer agent, or upon written request from the Grantee (or his per</w:t>
      </w:r>
      <w:r>
        <w:rPr>
          <w:sz w:val="20"/>
        </w:rPr>
        <w:t>sonal representative, beneficiary or estate, as the case may be), in certificates in the name of the Grantee (or his personal representative, beneficiary or</w:t>
      </w:r>
      <w:r>
        <w:rPr>
          <w:spacing w:val="-22"/>
          <w:sz w:val="20"/>
        </w:rPr>
        <w:t xml:space="preserve"> </w:t>
      </w:r>
      <w:r>
        <w:rPr>
          <w:sz w:val="20"/>
        </w:rPr>
        <w:t>estate).</w:t>
      </w:r>
    </w:p>
    <w:p w14:paraId="7326D4D0" w14:textId="77777777" w:rsidR="00EF3DFB" w:rsidRDefault="00EF3DFB">
      <w:pPr>
        <w:pStyle w:val="BodyText"/>
        <w:spacing w:before="10"/>
        <w:rPr>
          <w:sz w:val="25"/>
        </w:rPr>
      </w:pPr>
    </w:p>
    <w:p w14:paraId="7326D4D1" w14:textId="77777777" w:rsidR="00EF3DFB" w:rsidRDefault="00D27C17">
      <w:pPr>
        <w:pStyle w:val="ListParagraph"/>
        <w:numPr>
          <w:ilvl w:val="0"/>
          <w:numId w:val="1"/>
        </w:numPr>
        <w:tabs>
          <w:tab w:val="left" w:pos="2260"/>
        </w:tabs>
        <w:spacing w:line="232" w:lineRule="auto"/>
        <w:ind w:right="798" w:firstLine="720"/>
        <w:jc w:val="both"/>
        <w:rPr>
          <w:sz w:val="20"/>
        </w:rPr>
      </w:pPr>
      <w:r>
        <w:rPr>
          <w:sz w:val="20"/>
          <w:u w:val="single"/>
        </w:rPr>
        <w:t>Award Not Transferable</w:t>
      </w:r>
      <w:r>
        <w:rPr>
          <w:sz w:val="20"/>
        </w:rPr>
        <w:t>. The Award may not be transferred other than by will or the applicable laws of descent or distribution or pursuant to a qualified domestic relations order. The Award shall not otherwise be assigned, transferred, or pledged for any purpose whatsoever and i</w:t>
      </w:r>
      <w:r>
        <w:rPr>
          <w:sz w:val="20"/>
        </w:rPr>
        <w:t>s not subject, in whole or in part, to attachment, execution or levy of any kind. Any attempted assignment, transfer, pledge, or encumbrance of the Award, other than in accordance with its terms, shall be void and of no</w:t>
      </w:r>
      <w:r>
        <w:rPr>
          <w:spacing w:val="-7"/>
          <w:sz w:val="20"/>
        </w:rPr>
        <w:t xml:space="preserve"> </w:t>
      </w:r>
      <w:r>
        <w:rPr>
          <w:sz w:val="20"/>
        </w:rPr>
        <w:t>effect.</w:t>
      </w:r>
    </w:p>
    <w:p w14:paraId="7326D4D2" w14:textId="77777777" w:rsidR="00EF3DFB" w:rsidRDefault="00EF3DFB">
      <w:pPr>
        <w:pStyle w:val="BodyText"/>
        <w:spacing w:before="3"/>
        <w:rPr>
          <w:sz w:val="26"/>
        </w:rPr>
      </w:pPr>
    </w:p>
    <w:p w14:paraId="7326D4D3" w14:textId="77777777" w:rsidR="00EF3DFB" w:rsidRDefault="00D27C17">
      <w:pPr>
        <w:pStyle w:val="ListParagraph"/>
        <w:numPr>
          <w:ilvl w:val="0"/>
          <w:numId w:val="1"/>
        </w:numPr>
        <w:tabs>
          <w:tab w:val="left" w:pos="2260"/>
        </w:tabs>
        <w:spacing w:line="232" w:lineRule="auto"/>
        <w:ind w:right="798" w:firstLine="720"/>
        <w:jc w:val="both"/>
        <w:rPr>
          <w:sz w:val="20"/>
        </w:rPr>
      </w:pPr>
      <w:r>
        <w:rPr>
          <w:sz w:val="20"/>
          <w:u w:val="single"/>
        </w:rPr>
        <w:t>Administration</w:t>
      </w:r>
      <w:r>
        <w:rPr>
          <w:sz w:val="20"/>
        </w:rPr>
        <w:t>. The Award s</w:t>
      </w:r>
      <w:r>
        <w:rPr>
          <w:sz w:val="20"/>
        </w:rPr>
        <w:t>hall be administered in accordance with such regulations as the Organizational Development and Compensation Committee of the Board of Directors of the Company (the “Committee”) shall from time to time</w:t>
      </w:r>
      <w:r>
        <w:rPr>
          <w:spacing w:val="-6"/>
          <w:sz w:val="20"/>
        </w:rPr>
        <w:t xml:space="preserve"> </w:t>
      </w:r>
      <w:r>
        <w:rPr>
          <w:sz w:val="20"/>
        </w:rPr>
        <w:t>adopt.</w:t>
      </w:r>
    </w:p>
    <w:p w14:paraId="7326D4D4" w14:textId="77777777" w:rsidR="00EF3DFB" w:rsidRDefault="00EF3DFB">
      <w:pPr>
        <w:pStyle w:val="BodyText"/>
        <w:spacing w:before="8"/>
        <w:rPr>
          <w:sz w:val="25"/>
        </w:rPr>
      </w:pPr>
    </w:p>
    <w:p w14:paraId="7326D4D5" w14:textId="77777777" w:rsidR="00EF3DFB" w:rsidRDefault="00D27C17">
      <w:pPr>
        <w:pStyle w:val="ListParagraph"/>
        <w:numPr>
          <w:ilvl w:val="0"/>
          <w:numId w:val="1"/>
        </w:numPr>
        <w:tabs>
          <w:tab w:val="left" w:pos="2260"/>
        </w:tabs>
        <w:spacing w:line="232" w:lineRule="auto"/>
        <w:ind w:right="799" w:firstLine="720"/>
        <w:jc w:val="both"/>
        <w:rPr>
          <w:sz w:val="20"/>
        </w:rPr>
      </w:pPr>
      <w:r>
        <w:rPr>
          <w:sz w:val="20"/>
          <w:u w:val="single"/>
        </w:rPr>
        <w:t>Governing Law</w:t>
      </w:r>
      <w:r>
        <w:rPr>
          <w:sz w:val="20"/>
        </w:rPr>
        <w:t>. This Agreement, and the Award, s</w:t>
      </w:r>
      <w:r>
        <w:rPr>
          <w:sz w:val="20"/>
        </w:rPr>
        <w:t>hall be construed, administered and governed in all respects under and by the laws of the State of</w:t>
      </w:r>
      <w:r>
        <w:rPr>
          <w:spacing w:val="-10"/>
          <w:sz w:val="20"/>
        </w:rPr>
        <w:t xml:space="preserve"> </w:t>
      </w:r>
      <w:r>
        <w:rPr>
          <w:sz w:val="20"/>
        </w:rPr>
        <w:t>Delaware.</w:t>
      </w:r>
    </w:p>
    <w:p w14:paraId="7326D4D6" w14:textId="77777777" w:rsidR="00EF3DFB" w:rsidRDefault="00EF3DFB">
      <w:pPr>
        <w:pStyle w:val="BodyText"/>
        <w:spacing w:before="4"/>
        <w:rPr>
          <w:sz w:val="25"/>
        </w:rPr>
      </w:pPr>
    </w:p>
    <w:p w14:paraId="7326D4D7" w14:textId="77777777" w:rsidR="00EF3DFB" w:rsidRDefault="00D27C17">
      <w:pPr>
        <w:pStyle w:val="BodyText"/>
        <w:ind w:left="5140"/>
      </w:pPr>
      <w:r>
        <w:t>NEWELL BRANDS INC.</w:t>
      </w:r>
    </w:p>
    <w:p w14:paraId="7326D4D8" w14:textId="77777777" w:rsidR="00EF3DFB" w:rsidRDefault="00EF3DFB">
      <w:pPr>
        <w:pStyle w:val="BodyText"/>
        <w:rPr>
          <w:sz w:val="22"/>
        </w:rPr>
      </w:pPr>
    </w:p>
    <w:p w14:paraId="7326D4D9" w14:textId="77777777" w:rsidR="00EF3DFB" w:rsidRDefault="00EF3DFB">
      <w:pPr>
        <w:pStyle w:val="BodyText"/>
        <w:spacing w:before="11"/>
        <w:rPr>
          <w:sz w:val="28"/>
        </w:rPr>
      </w:pPr>
    </w:p>
    <w:p w14:paraId="7326D4DA" w14:textId="77777777" w:rsidR="00EF3DFB" w:rsidRDefault="00D27C17">
      <w:pPr>
        <w:pStyle w:val="BodyText"/>
        <w:spacing w:line="249" w:lineRule="auto"/>
        <w:ind w:left="5140" w:right="333"/>
      </w:pPr>
      <w:r>
        <w:t>Bradford R. Turner, Chief Legal &amp; Administrative Officer and Corporate Secretary</w:t>
      </w:r>
    </w:p>
    <w:p w14:paraId="7326D4DB" w14:textId="77777777" w:rsidR="00EF3DFB" w:rsidRDefault="00EF3DFB">
      <w:pPr>
        <w:spacing w:line="249" w:lineRule="auto"/>
        <w:sectPr w:rsidR="00EF3DFB">
          <w:footerReference w:type="default" r:id="rId315"/>
          <w:pgSz w:w="12240" w:h="15840"/>
          <w:pgMar w:top="1500" w:right="640" w:bottom="280" w:left="620" w:header="0" w:footer="0" w:gutter="0"/>
          <w:cols w:space="720"/>
        </w:sectPr>
      </w:pPr>
    </w:p>
    <w:p w14:paraId="7326D4DC" w14:textId="77777777" w:rsidR="00EF3DFB" w:rsidRDefault="00D27C17">
      <w:pPr>
        <w:pStyle w:val="BodyText"/>
        <w:spacing w:before="72"/>
        <w:ind w:right="799"/>
        <w:jc w:val="right"/>
      </w:pPr>
      <w:r>
        <w:lastRenderedPageBreak/>
        <w:t>EXHIBIT 21.1</w:t>
      </w:r>
    </w:p>
    <w:p w14:paraId="7326D4DD" w14:textId="77777777" w:rsidR="00EF3DFB" w:rsidRDefault="00D27C17">
      <w:pPr>
        <w:pStyle w:val="Heading2"/>
        <w:spacing w:before="6" w:line="249" w:lineRule="auto"/>
        <w:ind w:left="820" w:right="5977"/>
        <w:jc w:val="left"/>
      </w:pPr>
      <w:r>
        <w:t>NEWELL BRANDS I</w:t>
      </w:r>
      <w:r>
        <w:t>NC. AND SUBSIDIARIES SUBSIDIARIES OF THE REGISTRANT</w:t>
      </w:r>
    </w:p>
    <w:p w14:paraId="7326D4DE" w14:textId="77777777" w:rsidR="00EF3DFB" w:rsidRDefault="00D27C17">
      <w:pPr>
        <w:spacing w:before="2"/>
        <w:ind w:left="820"/>
        <w:rPr>
          <w:b/>
          <w:sz w:val="20"/>
        </w:rPr>
      </w:pPr>
      <w:r>
        <w:rPr>
          <w:b/>
          <w:sz w:val="20"/>
        </w:rPr>
        <w:t>December 31, 2020</w:t>
      </w:r>
    </w:p>
    <w:p w14:paraId="7326D4DF" w14:textId="77777777" w:rsidR="00EF3DFB" w:rsidRDefault="00EF3DFB">
      <w:pPr>
        <w:pStyle w:val="BodyText"/>
        <w:rPr>
          <w:b/>
        </w:rPr>
      </w:pPr>
    </w:p>
    <w:p w14:paraId="7326D4E0" w14:textId="77777777" w:rsidR="00EF3DFB" w:rsidRDefault="00EF3DFB">
      <w:pPr>
        <w:pStyle w:val="BodyText"/>
        <w:rPr>
          <w:b/>
        </w:rPr>
      </w:pPr>
    </w:p>
    <w:p w14:paraId="7326D4E1" w14:textId="77777777" w:rsidR="00EF3DFB" w:rsidRDefault="00EF3DFB">
      <w:pPr>
        <w:pStyle w:val="BodyText"/>
        <w:spacing w:before="9"/>
        <w:rPr>
          <w:b/>
          <w:sz w:val="24"/>
        </w:rPr>
      </w:pPr>
    </w:p>
    <w:p w14:paraId="7326D4E2" w14:textId="77777777" w:rsidR="00EF3DFB" w:rsidRDefault="00D27C17">
      <w:pPr>
        <w:tabs>
          <w:tab w:val="left" w:pos="7427"/>
        </w:tabs>
        <w:spacing w:before="92"/>
        <w:ind w:left="872"/>
        <w:rPr>
          <w:b/>
          <w:sz w:val="20"/>
        </w:rPr>
      </w:pPr>
      <w:r>
        <w:rPr>
          <w:b/>
          <w:sz w:val="20"/>
        </w:rPr>
        <w:t>NAME</w:t>
      </w:r>
      <w:r>
        <w:rPr>
          <w:b/>
          <w:spacing w:val="-4"/>
          <w:sz w:val="20"/>
        </w:rPr>
        <w:t xml:space="preserve"> </w:t>
      </w:r>
      <w:r>
        <w:rPr>
          <w:b/>
          <w:sz w:val="20"/>
        </w:rPr>
        <w:t>OF</w:t>
      </w:r>
      <w:r>
        <w:rPr>
          <w:b/>
          <w:spacing w:val="-4"/>
          <w:sz w:val="20"/>
        </w:rPr>
        <w:t xml:space="preserve"> </w:t>
      </w:r>
      <w:r>
        <w:rPr>
          <w:b/>
          <w:sz w:val="20"/>
        </w:rPr>
        <w:t>ENTITY</w:t>
      </w:r>
      <w:r>
        <w:rPr>
          <w:b/>
          <w:sz w:val="20"/>
        </w:rPr>
        <w:tab/>
        <w:t>STATE OR</w:t>
      </w:r>
      <w:r>
        <w:rPr>
          <w:b/>
          <w:spacing w:val="-4"/>
          <w:sz w:val="20"/>
        </w:rPr>
        <w:t xml:space="preserve"> </w:t>
      </w:r>
      <w:r>
        <w:rPr>
          <w:b/>
          <w:sz w:val="20"/>
        </w:rPr>
        <w:t>JURISDICTION</w:t>
      </w:r>
    </w:p>
    <w:p w14:paraId="7326D4E3" w14:textId="77777777" w:rsidR="00EF3DFB" w:rsidRDefault="00D27C17">
      <w:pPr>
        <w:pStyle w:val="BodyText"/>
        <w:tabs>
          <w:tab w:val="left" w:pos="7427"/>
        </w:tabs>
        <w:spacing w:before="85"/>
        <w:ind w:left="872"/>
      </w:pPr>
      <w:r>
        <w:t>Alleghany International</w:t>
      </w:r>
      <w:r>
        <w:rPr>
          <w:spacing w:val="-8"/>
        </w:rPr>
        <w:t xml:space="preserve"> </w:t>
      </w:r>
      <w:r>
        <w:t>Exercise</w:t>
      </w:r>
      <w:r>
        <w:rPr>
          <w:spacing w:val="-5"/>
        </w:rPr>
        <w:t xml:space="preserve"> </w:t>
      </w:r>
      <w:r>
        <w:t>Co.</w:t>
      </w:r>
      <w:r>
        <w:tab/>
        <w:t>Delaware</w:t>
      </w:r>
    </w:p>
    <w:p w14:paraId="7326D4E4" w14:textId="77777777" w:rsidR="00EF3DFB" w:rsidRDefault="00D27C17">
      <w:pPr>
        <w:pStyle w:val="BodyText"/>
        <w:tabs>
          <w:tab w:val="left" w:pos="7427"/>
        </w:tabs>
        <w:spacing w:before="85"/>
        <w:ind w:left="872"/>
      </w:pPr>
      <w:r>
        <w:t>American</w:t>
      </w:r>
      <w:r>
        <w:rPr>
          <w:spacing w:val="-3"/>
        </w:rPr>
        <w:t xml:space="preserve"> </w:t>
      </w:r>
      <w:r>
        <w:t>Household,</w:t>
      </w:r>
      <w:r>
        <w:rPr>
          <w:spacing w:val="-3"/>
        </w:rPr>
        <w:t xml:space="preserve"> </w:t>
      </w:r>
      <w:r>
        <w:t>Inc.</w:t>
      </w:r>
      <w:r>
        <w:tab/>
        <w:t>Delaware</w:t>
      </w:r>
    </w:p>
    <w:p w14:paraId="7326D4E5" w14:textId="77777777" w:rsidR="00EF3DFB" w:rsidRDefault="00D27C17">
      <w:pPr>
        <w:pStyle w:val="BodyText"/>
        <w:tabs>
          <w:tab w:val="left" w:pos="7427"/>
        </w:tabs>
        <w:spacing w:before="85"/>
        <w:ind w:left="872"/>
      </w:pPr>
      <w:r>
        <w:t>Aprica</w:t>
      </w:r>
      <w:r>
        <w:rPr>
          <w:spacing w:val="-3"/>
        </w:rPr>
        <w:t xml:space="preserve"> </w:t>
      </w:r>
      <w:r>
        <w:t>USA</w:t>
      </w:r>
      <w:r>
        <w:rPr>
          <w:spacing w:val="-3"/>
        </w:rPr>
        <w:t xml:space="preserve"> </w:t>
      </w:r>
      <w:r>
        <w:t>LLC</w:t>
      </w:r>
      <w:r>
        <w:tab/>
        <w:t>Delaware</w:t>
      </w:r>
    </w:p>
    <w:p w14:paraId="7326D4E6" w14:textId="77777777" w:rsidR="00EF3DFB" w:rsidRDefault="00D27C17">
      <w:pPr>
        <w:pStyle w:val="BodyText"/>
        <w:tabs>
          <w:tab w:val="left" w:pos="7427"/>
        </w:tabs>
        <w:spacing w:before="85"/>
        <w:ind w:left="872"/>
      </w:pPr>
      <w:r>
        <w:t>Australian</w:t>
      </w:r>
      <w:r>
        <w:rPr>
          <w:spacing w:val="-4"/>
        </w:rPr>
        <w:t xml:space="preserve"> </w:t>
      </w:r>
      <w:r>
        <w:t>Coleman,</w:t>
      </w:r>
      <w:r>
        <w:rPr>
          <w:spacing w:val="-4"/>
        </w:rPr>
        <w:t xml:space="preserve"> </w:t>
      </w:r>
      <w:r>
        <w:t>Inc.</w:t>
      </w:r>
      <w:r>
        <w:tab/>
        <w:t>Kansas</w:t>
      </w:r>
    </w:p>
    <w:p w14:paraId="7326D4E7" w14:textId="77777777" w:rsidR="00EF3DFB" w:rsidRDefault="00D27C17">
      <w:pPr>
        <w:pStyle w:val="BodyText"/>
        <w:tabs>
          <w:tab w:val="left" w:pos="7427"/>
        </w:tabs>
        <w:spacing w:before="85"/>
        <w:ind w:left="872"/>
      </w:pPr>
      <w:r>
        <w:t>Baby Jogger</w:t>
      </w:r>
      <w:r>
        <w:rPr>
          <w:spacing w:val="-4"/>
        </w:rPr>
        <w:t xml:space="preserve"> </w:t>
      </w:r>
      <w:r>
        <w:t>Holdings,</w:t>
      </w:r>
      <w:r>
        <w:rPr>
          <w:spacing w:val="-2"/>
        </w:rPr>
        <w:t xml:space="preserve"> </w:t>
      </w:r>
      <w:r>
        <w:t>Inc.</w:t>
      </w:r>
      <w:r>
        <w:tab/>
        <w:t>Delaware</w:t>
      </w:r>
    </w:p>
    <w:p w14:paraId="7326D4E8" w14:textId="77777777" w:rsidR="00EF3DFB" w:rsidRDefault="00D27C17">
      <w:pPr>
        <w:pStyle w:val="BodyText"/>
        <w:tabs>
          <w:tab w:val="left" w:pos="7427"/>
        </w:tabs>
        <w:spacing w:before="85"/>
        <w:ind w:left="872"/>
      </w:pPr>
      <w:r>
        <w:t>Baby</w:t>
      </w:r>
      <w:r>
        <w:rPr>
          <w:spacing w:val="-2"/>
        </w:rPr>
        <w:t xml:space="preserve"> </w:t>
      </w:r>
      <w:r>
        <w:t>Jogger,</w:t>
      </w:r>
      <w:r>
        <w:rPr>
          <w:spacing w:val="-2"/>
        </w:rPr>
        <w:t xml:space="preserve"> </w:t>
      </w:r>
      <w:r>
        <w:t>LLC</w:t>
      </w:r>
      <w:r>
        <w:tab/>
        <w:t>Virginia</w:t>
      </w:r>
    </w:p>
    <w:p w14:paraId="7326D4E9" w14:textId="77777777" w:rsidR="00EF3DFB" w:rsidRDefault="00D27C17">
      <w:pPr>
        <w:pStyle w:val="BodyText"/>
        <w:tabs>
          <w:tab w:val="left" w:pos="7427"/>
        </w:tabs>
        <w:spacing w:before="85"/>
        <w:ind w:left="872"/>
      </w:pPr>
      <w:r>
        <w:t>BCTIX,</w:t>
      </w:r>
      <w:r>
        <w:rPr>
          <w:spacing w:val="-2"/>
        </w:rPr>
        <w:t xml:space="preserve"> </w:t>
      </w:r>
      <w:r>
        <w:t>Inc.</w:t>
      </w:r>
      <w:r>
        <w:tab/>
        <w:t>Alabama</w:t>
      </w:r>
    </w:p>
    <w:p w14:paraId="7326D4EA" w14:textId="77777777" w:rsidR="00EF3DFB" w:rsidRDefault="00D27C17">
      <w:pPr>
        <w:pStyle w:val="BodyText"/>
        <w:tabs>
          <w:tab w:val="left" w:pos="7427"/>
        </w:tabs>
        <w:spacing w:before="85"/>
        <w:ind w:left="872"/>
      </w:pPr>
      <w:r>
        <w:t>Berol</w:t>
      </w:r>
      <w:r>
        <w:rPr>
          <w:spacing w:val="-3"/>
        </w:rPr>
        <w:t xml:space="preserve"> </w:t>
      </w:r>
      <w:r>
        <w:t>Corporation</w:t>
      </w:r>
      <w:r>
        <w:tab/>
        <w:t>Delaware</w:t>
      </w:r>
    </w:p>
    <w:p w14:paraId="7326D4EB" w14:textId="77777777" w:rsidR="00EF3DFB" w:rsidRDefault="00D27C17">
      <w:pPr>
        <w:pStyle w:val="BodyText"/>
        <w:tabs>
          <w:tab w:val="left" w:pos="7427"/>
        </w:tabs>
        <w:spacing w:before="85"/>
        <w:ind w:left="872"/>
      </w:pPr>
      <w:r>
        <w:t>Berol</w:t>
      </w:r>
      <w:r>
        <w:rPr>
          <w:spacing w:val="-3"/>
        </w:rPr>
        <w:t xml:space="preserve"> </w:t>
      </w:r>
      <w:r>
        <w:t>Pen</w:t>
      </w:r>
      <w:r>
        <w:rPr>
          <w:spacing w:val="-2"/>
        </w:rPr>
        <w:t xml:space="preserve"> </w:t>
      </w:r>
      <w:r>
        <w:t>Company</w:t>
      </w:r>
      <w:r>
        <w:tab/>
        <w:t>North</w:t>
      </w:r>
      <w:r>
        <w:rPr>
          <w:spacing w:val="-1"/>
        </w:rPr>
        <w:t xml:space="preserve"> </w:t>
      </w:r>
      <w:r>
        <w:t>Carolina</w:t>
      </w:r>
    </w:p>
    <w:p w14:paraId="7326D4EC" w14:textId="77777777" w:rsidR="00EF3DFB" w:rsidRDefault="00D27C17">
      <w:pPr>
        <w:pStyle w:val="BodyText"/>
        <w:tabs>
          <w:tab w:val="left" w:pos="7427"/>
        </w:tabs>
        <w:spacing w:before="85"/>
        <w:ind w:left="872"/>
      </w:pPr>
      <w:r>
        <w:t>B-F</w:t>
      </w:r>
      <w:r>
        <w:rPr>
          <w:spacing w:val="-4"/>
        </w:rPr>
        <w:t xml:space="preserve"> </w:t>
      </w:r>
      <w:r>
        <w:t>Processing</w:t>
      </w:r>
      <w:r>
        <w:rPr>
          <w:spacing w:val="-3"/>
        </w:rPr>
        <w:t xml:space="preserve"> </w:t>
      </w:r>
      <w:r>
        <w:t>LLC</w:t>
      </w:r>
      <w:r>
        <w:tab/>
        <w:t>Delaware</w:t>
      </w:r>
    </w:p>
    <w:p w14:paraId="7326D4ED" w14:textId="77777777" w:rsidR="00EF3DFB" w:rsidRDefault="00D27C17">
      <w:pPr>
        <w:pStyle w:val="BodyText"/>
        <w:tabs>
          <w:tab w:val="left" w:pos="7427"/>
        </w:tabs>
        <w:spacing w:before="85"/>
        <w:ind w:left="872"/>
      </w:pPr>
      <w:r>
        <w:t>Bond</w:t>
      </w:r>
      <w:r>
        <w:rPr>
          <w:spacing w:val="-2"/>
        </w:rPr>
        <w:t xml:space="preserve"> </w:t>
      </w:r>
      <w:r>
        <w:t>Gifting,</w:t>
      </w:r>
      <w:r>
        <w:rPr>
          <w:spacing w:val="-2"/>
        </w:rPr>
        <w:t xml:space="preserve"> </w:t>
      </w:r>
      <w:r>
        <w:t>Inc.</w:t>
      </w:r>
      <w:r>
        <w:tab/>
        <w:t>Delaware</w:t>
      </w:r>
    </w:p>
    <w:p w14:paraId="7326D4EE" w14:textId="77777777" w:rsidR="00EF3DFB" w:rsidRDefault="00D27C17">
      <w:pPr>
        <w:pStyle w:val="BodyText"/>
        <w:tabs>
          <w:tab w:val="left" w:pos="7427"/>
        </w:tabs>
        <w:spacing w:before="85"/>
        <w:ind w:left="872"/>
      </w:pPr>
      <w:r>
        <w:t>BRK</w:t>
      </w:r>
      <w:r>
        <w:rPr>
          <w:spacing w:val="-3"/>
        </w:rPr>
        <w:t xml:space="preserve"> </w:t>
      </w:r>
      <w:r>
        <w:t>Brands,</w:t>
      </w:r>
      <w:r>
        <w:rPr>
          <w:spacing w:val="-2"/>
        </w:rPr>
        <w:t xml:space="preserve"> </w:t>
      </w:r>
      <w:r>
        <w:t>Inc.</w:t>
      </w:r>
      <w:r>
        <w:tab/>
        <w:t>Delaware</w:t>
      </w:r>
    </w:p>
    <w:p w14:paraId="7326D4EF" w14:textId="77777777" w:rsidR="00EF3DFB" w:rsidRDefault="00D27C17">
      <w:pPr>
        <w:pStyle w:val="BodyText"/>
        <w:tabs>
          <w:tab w:val="left" w:pos="7427"/>
        </w:tabs>
        <w:spacing w:before="85"/>
        <w:ind w:left="872"/>
      </w:pPr>
      <w:r>
        <w:t>BTM</w:t>
      </w:r>
      <w:r>
        <w:rPr>
          <w:spacing w:val="-4"/>
        </w:rPr>
        <w:t xml:space="preserve"> </w:t>
      </w:r>
      <w:r>
        <w:t>Ventures,</w:t>
      </w:r>
      <w:r>
        <w:rPr>
          <w:spacing w:val="-3"/>
        </w:rPr>
        <w:t xml:space="preserve"> </w:t>
      </w:r>
      <w:r>
        <w:t>LLC</w:t>
      </w:r>
      <w:r>
        <w:tab/>
        <w:t>Delaware</w:t>
      </w:r>
    </w:p>
    <w:p w14:paraId="7326D4F0" w14:textId="77777777" w:rsidR="00EF3DFB" w:rsidRDefault="00D27C17">
      <w:pPr>
        <w:pStyle w:val="BodyText"/>
        <w:tabs>
          <w:tab w:val="left" w:pos="7427"/>
        </w:tabs>
        <w:spacing w:before="85"/>
        <w:ind w:left="872"/>
      </w:pPr>
      <w:r>
        <w:t>Canad</w:t>
      </w:r>
      <w:r>
        <w:t>a GP</w:t>
      </w:r>
      <w:r>
        <w:rPr>
          <w:spacing w:val="-6"/>
        </w:rPr>
        <w:t xml:space="preserve"> </w:t>
      </w:r>
      <w:r>
        <w:t>Holdings</w:t>
      </w:r>
      <w:r>
        <w:rPr>
          <w:spacing w:val="-3"/>
        </w:rPr>
        <w:t xml:space="preserve"> </w:t>
      </w:r>
      <w:r>
        <w:t>LLC</w:t>
      </w:r>
      <w:r>
        <w:tab/>
        <w:t>Delaware</w:t>
      </w:r>
    </w:p>
    <w:p w14:paraId="7326D4F1" w14:textId="77777777" w:rsidR="00EF3DFB" w:rsidRDefault="00D27C17">
      <w:pPr>
        <w:pStyle w:val="BodyText"/>
        <w:tabs>
          <w:tab w:val="left" w:pos="7427"/>
        </w:tabs>
        <w:spacing w:before="85"/>
        <w:ind w:left="872"/>
      </w:pPr>
      <w:r>
        <w:t>CC</w:t>
      </w:r>
      <w:r>
        <w:rPr>
          <w:spacing w:val="-3"/>
        </w:rPr>
        <w:t xml:space="preserve"> </w:t>
      </w:r>
      <w:r>
        <w:t>Outlet,</w:t>
      </w:r>
      <w:r>
        <w:rPr>
          <w:spacing w:val="-2"/>
        </w:rPr>
        <w:t xml:space="preserve"> </w:t>
      </w:r>
      <w:r>
        <w:t>Inc.</w:t>
      </w:r>
      <w:r>
        <w:tab/>
        <w:t>Delaware</w:t>
      </w:r>
    </w:p>
    <w:p w14:paraId="7326D4F2" w14:textId="77777777" w:rsidR="00EF3DFB" w:rsidRDefault="00D27C17">
      <w:pPr>
        <w:pStyle w:val="BodyText"/>
        <w:tabs>
          <w:tab w:val="left" w:pos="7427"/>
        </w:tabs>
        <w:spacing w:before="85"/>
        <w:ind w:left="872"/>
      </w:pPr>
      <w:r>
        <w:t>Chartreuse et Mont</w:t>
      </w:r>
      <w:r>
        <w:rPr>
          <w:spacing w:val="-9"/>
        </w:rPr>
        <w:t xml:space="preserve"> </w:t>
      </w:r>
      <w:r>
        <w:t>Blanc</w:t>
      </w:r>
      <w:r>
        <w:rPr>
          <w:spacing w:val="-3"/>
        </w:rPr>
        <w:t xml:space="preserve"> </w:t>
      </w:r>
      <w:r>
        <w:t>LLC</w:t>
      </w:r>
      <w:r>
        <w:tab/>
        <w:t>Delaware</w:t>
      </w:r>
    </w:p>
    <w:p w14:paraId="7326D4F3" w14:textId="77777777" w:rsidR="00EF3DFB" w:rsidRDefault="00D27C17">
      <w:pPr>
        <w:pStyle w:val="BodyText"/>
        <w:tabs>
          <w:tab w:val="left" w:pos="7427"/>
        </w:tabs>
        <w:spacing w:before="85"/>
        <w:ind w:left="872"/>
      </w:pPr>
      <w:r>
        <w:t>Chemetron</w:t>
      </w:r>
      <w:r>
        <w:rPr>
          <w:spacing w:val="-3"/>
        </w:rPr>
        <w:t xml:space="preserve"> </w:t>
      </w:r>
      <w:r>
        <w:t>Corporation</w:t>
      </w:r>
      <w:r>
        <w:tab/>
        <w:t>Delaware</w:t>
      </w:r>
    </w:p>
    <w:p w14:paraId="7326D4F4" w14:textId="77777777" w:rsidR="00EF3DFB" w:rsidRDefault="00D27C17">
      <w:pPr>
        <w:pStyle w:val="BodyText"/>
        <w:tabs>
          <w:tab w:val="left" w:pos="7427"/>
        </w:tabs>
        <w:spacing w:before="85"/>
        <w:ind w:left="872"/>
      </w:pPr>
      <w:r>
        <w:t>Chemetron</w:t>
      </w:r>
      <w:r>
        <w:rPr>
          <w:spacing w:val="-4"/>
        </w:rPr>
        <w:t xml:space="preserve"> </w:t>
      </w:r>
      <w:r>
        <w:t>Investments,</w:t>
      </w:r>
      <w:r>
        <w:rPr>
          <w:spacing w:val="-4"/>
        </w:rPr>
        <w:t xml:space="preserve"> </w:t>
      </w:r>
      <w:r>
        <w:t>Inc.</w:t>
      </w:r>
      <w:r>
        <w:tab/>
        <w:t>Delaware</w:t>
      </w:r>
    </w:p>
    <w:p w14:paraId="7326D4F5" w14:textId="77777777" w:rsidR="00EF3DFB" w:rsidRDefault="00D27C17">
      <w:pPr>
        <w:pStyle w:val="BodyText"/>
        <w:tabs>
          <w:tab w:val="left" w:pos="7427"/>
        </w:tabs>
        <w:spacing w:before="85"/>
        <w:ind w:left="872"/>
      </w:pPr>
      <w:r>
        <w:t>Coleman International</w:t>
      </w:r>
      <w:r>
        <w:rPr>
          <w:spacing w:val="-8"/>
        </w:rPr>
        <w:t xml:space="preserve"> </w:t>
      </w:r>
      <w:r>
        <w:t>Holdings,</w:t>
      </w:r>
      <w:r>
        <w:rPr>
          <w:spacing w:val="-4"/>
        </w:rPr>
        <w:t xml:space="preserve"> </w:t>
      </w:r>
      <w:r>
        <w:t>LLC</w:t>
      </w:r>
      <w:r>
        <w:tab/>
        <w:t>Delaware</w:t>
      </w:r>
    </w:p>
    <w:p w14:paraId="7326D4F6" w14:textId="77777777" w:rsidR="00EF3DFB" w:rsidRDefault="00D27C17">
      <w:pPr>
        <w:pStyle w:val="BodyText"/>
        <w:tabs>
          <w:tab w:val="left" w:pos="7427"/>
        </w:tabs>
        <w:spacing w:before="85"/>
        <w:ind w:left="872"/>
      </w:pPr>
      <w:r>
        <w:t>Coleman Latin</w:t>
      </w:r>
      <w:r>
        <w:rPr>
          <w:spacing w:val="-7"/>
        </w:rPr>
        <w:t xml:space="preserve"> </w:t>
      </w:r>
      <w:r>
        <w:t>America,</w:t>
      </w:r>
      <w:r>
        <w:rPr>
          <w:spacing w:val="-4"/>
        </w:rPr>
        <w:t xml:space="preserve"> </w:t>
      </w:r>
      <w:r>
        <w:t>LLC</w:t>
      </w:r>
      <w:r>
        <w:tab/>
        <w:t>Delaware</w:t>
      </w:r>
    </w:p>
    <w:p w14:paraId="7326D4F7" w14:textId="77777777" w:rsidR="00EF3DFB" w:rsidRDefault="00D27C17">
      <w:pPr>
        <w:pStyle w:val="BodyText"/>
        <w:tabs>
          <w:tab w:val="left" w:pos="7427"/>
        </w:tabs>
        <w:spacing w:before="85"/>
        <w:ind w:left="872"/>
      </w:pPr>
      <w:r>
        <w:t>Coleman Venture</w:t>
      </w:r>
      <w:r>
        <w:rPr>
          <w:spacing w:val="-7"/>
        </w:rPr>
        <w:t xml:space="preserve"> </w:t>
      </w:r>
      <w:r>
        <w:t>Capital,</w:t>
      </w:r>
      <w:r>
        <w:rPr>
          <w:spacing w:val="-3"/>
        </w:rPr>
        <w:t xml:space="preserve"> </w:t>
      </w:r>
      <w:r>
        <w:t>Inc.</w:t>
      </w:r>
      <w:r>
        <w:tab/>
        <w:t>Kansas</w:t>
      </w:r>
    </w:p>
    <w:p w14:paraId="7326D4F8" w14:textId="77777777" w:rsidR="00EF3DFB" w:rsidRDefault="00D27C17">
      <w:pPr>
        <w:pStyle w:val="BodyText"/>
        <w:tabs>
          <w:tab w:val="left" w:pos="7427"/>
        </w:tabs>
        <w:spacing w:before="85"/>
        <w:ind w:left="872"/>
      </w:pPr>
      <w:r>
        <w:t>Coleman</w:t>
      </w:r>
      <w:r>
        <w:rPr>
          <w:spacing w:val="-4"/>
        </w:rPr>
        <w:t xml:space="preserve"> </w:t>
      </w:r>
      <w:r>
        <w:t>Worldwide</w:t>
      </w:r>
      <w:r>
        <w:rPr>
          <w:spacing w:val="-4"/>
        </w:rPr>
        <w:t xml:space="preserve"> </w:t>
      </w:r>
      <w:r>
        <w:t>Corporation</w:t>
      </w:r>
      <w:r>
        <w:tab/>
        <w:t>Delaware</w:t>
      </w:r>
    </w:p>
    <w:p w14:paraId="7326D4F9" w14:textId="77777777" w:rsidR="00EF3DFB" w:rsidRDefault="00D27C17">
      <w:pPr>
        <w:pStyle w:val="BodyText"/>
        <w:tabs>
          <w:tab w:val="left" w:pos="7427"/>
        </w:tabs>
        <w:spacing w:before="85"/>
        <w:ind w:left="872"/>
      </w:pPr>
      <w:r>
        <w:t>DYMO Europe</w:t>
      </w:r>
      <w:r>
        <w:rPr>
          <w:spacing w:val="-6"/>
        </w:rPr>
        <w:t xml:space="preserve"> </w:t>
      </w:r>
      <w:r>
        <w:t>Holdings</w:t>
      </w:r>
      <w:r>
        <w:rPr>
          <w:spacing w:val="-3"/>
        </w:rPr>
        <w:t xml:space="preserve"> </w:t>
      </w:r>
      <w:r>
        <w:t>LLC</w:t>
      </w:r>
      <w:r>
        <w:tab/>
        <w:t>Delaware</w:t>
      </w:r>
    </w:p>
    <w:p w14:paraId="7326D4FA" w14:textId="77777777" w:rsidR="00EF3DFB" w:rsidRDefault="00D27C17">
      <w:pPr>
        <w:pStyle w:val="BodyText"/>
        <w:tabs>
          <w:tab w:val="left" w:pos="7427"/>
        </w:tabs>
        <w:spacing w:before="85"/>
        <w:ind w:left="872"/>
      </w:pPr>
      <w:r>
        <w:t>DYMO</w:t>
      </w:r>
      <w:r>
        <w:rPr>
          <w:spacing w:val="-4"/>
        </w:rPr>
        <w:t xml:space="preserve"> </w:t>
      </w:r>
      <w:r>
        <w:t>Holdings,</w:t>
      </w:r>
      <w:r>
        <w:rPr>
          <w:spacing w:val="-3"/>
        </w:rPr>
        <w:t xml:space="preserve"> </w:t>
      </w:r>
      <w:r>
        <w:t>LLC</w:t>
      </w:r>
      <w:r>
        <w:tab/>
        <w:t>New</w:t>
      </w:r>
      <w:r>
        <w:rPr>
          <w:spacing w:val="-2"/>
        </w:rPr>
        <w:t xml:space="preserve"> </w:t>
      </w:r>
      <w:r>
        <w:t>York</w:t>
      </w:r>
    </w:p>
    <w:p w14:paraId="7326D4FB" w14:textId="77777777" w:rsidR="00EF3DFB" w:rsidRDefault="00D27C17">
      <w:pPr>
        <w:pStyle w:val="BodyText"/>
        <w:tabs>
          <w:tab w:val="left" w:pos="7427"/>
        </w:tabs>
        <w:spacing w:before="85"/>
        <w:ind w:left="872"/>
      </w:pPr>
      <w:r>
        <w:t>Eliskim,</w:t>
      </w:r>
      <w:r>
        <w:rPr>
          <w:spacing w:val="-3"/>
        </w:rPr>
        <w:t xml:space="preserve"> </w:t>
      </w:r>
      <w:r>
        <w:t>Inc.</w:t>
      </w:r>
      <w:r>
        <w:tab/>
        <w:t>Delaware</w:t>
      </w:r>
    </w:p>
    <w:p w14:paraId="7326D4FC" w14:textId="77777777" w:rsidR="00EF3DFB" w:rsidRDefault="00D27C17">
      <w:pPr>
        <w:pStyle w:val="BodyText"/>
        <w:tabs>
          <w:tab w:val="left" w:pos="7427"/>
        </w:tabs>
        <w:spacing w:before="85"/>
        <w:ind w:left="872"/>
      </w:pPr>
      <w:r>
        <w:t>Elmer's &amp;</w:t>
      </w:r>
      <w:r>
        <w:rPr>
          <w:spacing w:val="-6"/>
        </w:rPr>
        <w:t xml:space="preserve"> </w:t>
      </w:r>
      <w:r>
        <w:t>Toagosei</w:t>
      </w:r>
      <w:r>
        <w:rPr>
          <w:spacing w:val="-3"/>
        </w:rPr>
        <w:t xml:space="preserve"> </w:t>
      </w:r>
      <w:r>
        <w:t>Co.</w:t>
      </w:r>
      <w:r>
        <w:tab/>
        <w:t>Ohio</w:t>
      </w:r>
    </w:p>
    <w:p w14:paraId="7326D4FD" w14:textId="77777777" w:rsidR="00EF3DFB" w:rsidRDefault="00D27C17">
      <w:pPr>
        <w:pStyle w:val="BodyText"/>
        <w:tabs>
          <w:tab w:val="left" w:pos="7427"/>
        </w:tabs>
        <w:spacing w:before="85"/>
        <w:ind w:left="872"/>
      </w:pPr>
      <w:r>
        <w:t>Elmer's</w:t>
      </w:r>
      <w:r>
        <w:rPr>
          <w:spacing w:val="-4"/>
        </w:rPr>
        <w:t xml:space="preserve"> </w:t>
      </w:r>
      <w:r>
        <w:t>International</w:t>
      </w:r>
      <w:r>
        <w:rPr>
          <w:spacing w:val="-4"/>
        </w:rPr>
        <w:t xml:space="preserve"> </w:t>
      </w:r>
      <w:r>
        <w:t>LLC</w:t>
      </w:r>
      <w:r>
        <w:tab/>
        <w:t>Delaware</w:t>
      </w:r>
    </w:p>
    <w:p w14:paraId="7326D4FE" w14:textId="77777777" w:rsidR="00EF3DFB" w:rsidRDefault="00D27C17">
      <w:pPr>
        <w:pStyle w:val="BodyText"/>
        <w:tabs>
          <w:tab w:val="left" w:pos="7427"/>
        </w:tabs>
        <w:spacing w:before="85"/>
        <w:ind w:left="872"/>
      </w:pPr>
      <w:r>
        <w:t>Elmer's</w:t>
      </w:r>
      <w:r>
        <w:rPr>
          <w:spacing w:val="-4"/>
        </w:rPr>
        <w:t xml:space="preserve"> </w:t>
      </w:r>
      <w:r>
        <w:t>Investments</w:t>
      </w:r>
      <w:r>
        <w:rPr>
          <w:spacing w:val="-4"/>
        </w:rPr>
        <w:t xml:space="preserve"> </w:t>
      </w:r>
      <w:r>
        <w:t>LLC</w:t>
      </w:r>
      <w:r>
        <w:tab/>
        <w:t>Delaware</w:t>
      </w:r>
    </w:p>
    <w:p w14:paraId="7326D4FF" w14:textId="77777777" w:rsidR="00EF3DFB" w:rsidRDefault="00D27C17">
      <w:pPr>
        <w:pStyle w:val="BodyText"/>
        <w:tabs>
          <w:tab w:val="left" w:pos="7427"/>
        </w:tabs>
        <w:spacing w:before="85"/>
        <w:ind w:left="872"/>
      </w:pPr>
      <w:r>
        <w:t>Elmer's</w:t>
      </w:r>
      <w:r>
        <w:rPr>
          <w:spacing w:val="-4"/>
        </w:rPr>
        <w:t xml:space="preserve"> </w:t>
      </w:r>
      <w:r>
        <w:t>Management</w:t>
      </w:r>
      <w:r>
        <w:rPr>
          <w:spacing w:val="-4"/>
        </w:rPr>
        <w:t xml:space="preserve"> </w:t>
      </w:r>
      <w:r>
        <w:t>LLC</w:t>
      </w:r>
      <w:r>
        <w:tab/>
        <w:t>Delaware</w:t>
      </w:r>
    </w:p>
    <w:p w14:paraId="7326D500" w14:textId="77777777" w:rsidR="00EF3DFB" w:rsidRDefault="00D27C17">
      <w:pPr>
        <w:pStyle w:val="BodyText"/>
        <w:tabs>
          <w:tab w:val="left" w:pos="7427"/>
        </w:tabs>
        <w:spacing w:before="85"/>
        <w:ind w:left="872"/>
      </w:pPr>
      <w:r>
        <w:t>Embassy</w:t>
      </w:r>
      <w:r>
        <w:rPr>
          <w:spacing w:val="-3"/>
        </w:rPr>
        <w:t xml:space="preserve"> </w:t>
      </w:r>
      <w:r>
        <w:t>Products</w:t>
      </w:r>
      <w:r>
        <w:rPr>
          <w:spacing w:val="-4"/>
        </w:rPr>
        <w:t xml:space="preserve"> </w:t>
      </w:r>
      <w:r>
        <w:t>LLC</w:t>
      </w:r>
      <w:r>
        <w:tab/>
        <w:t>Delaware</w:t>
      </w:r>
    </w:p>
    <w:p w14:paraId="7326D501" w14:textId="77777777" w:rsidR="00EF3DFB" w:rsidRDefault="00D27C17">
      <w:pPr>
        <w:pStyle w:val="BodyText"/>
        <w:tabs>
          <w:tab w:val="left" w:pos="7427"/>
        </w:tabs>
        <w:spacing w:before="85"/>
        <w:ind w:left="872"/>
      </w:pPr>
      <w:r>
        <w:t>Ember</w:t>
      </w:r>
      <w:r>
        <w:rPr>
          <w:spacing w:val="-3"/>
        </w:rPr>
        <w:t xml:space="preserve"> </w:t>
      </w:r>
      <w:r>
        <w:t>Investment</w:t>
      </w:r>
      <w:r>
        <w:rPr>
          <w:spacing w:val="-4"/>
        </w:rPr>
        <w:t xml:space="preserve"> </w:t>
      </w:r>
      <w:r>
        <w:t>Corporation</w:t>
      </w:r>
      <w:r>
        <w:tab/>
        <w:t>Delaware</w:t>
      </w:r>
    </w:p>
    <w:p w14:paraId="7326D502" w14:textId="77777777" w:rsidR="00EF3DFB" w:rsidRDefault="00D27C17">
      <w:pPr>
        <w:pStyle w:val="BodyText"/>
        <w:tabs>
          <w:tab w:val="left" w:pos="7427"/>
        </w:tabs>
        <w:spacing w:before="85"/>
        <w:ind w:left="872"/>
      </w:pPr>
      <w:r>
        <w:t>First</w:t>
      </w:r>
      <w:r>
        <w:rPr>
          <w:spacing w:val="-3"/>
        </w:rPr>
        <w:t xml:space="preserve"> </w:t>
      </w:r>
      <w:r>
        <w:t>Alert,</w:t>
      </w:r>
      <w:r>
        <w:rPr>
          <w:spacing w:val="-2"/>
        </w:rPr>
        <w:t xml:space="preserve"> </w:t>
      </w:r>
      <w:r>
        <w:t>Inc.</w:t>
      </w:r>
      <w:r>
        <w:tab/>
        <w:t>Delaware</w:t>
      </w:r>
    </w:p>
    <w:p w14:paraId="7326D503" w14:textId="77777777" w:rsidR="00EF3DFB" w:rsidRDefault="00D27C17">
      <w:pPr>
        <w:pStyle w:val="BodyText"/>
        <w:tabs>
          <w:tab w:val="left" w:pos="7427"/>
        </w:tabs>
        <w:spacing w:before="85"/>
        <w:ind w:left="872"/>
      </w:pPr>
      <w:r>
        <w:t>Furth</w:t>
      </w:r>
      <w:r>
        <w:rPr>
          <w:spacing w:val="-2"/>
        </w:rPr>
        <w:t xml:space="preserve"> </w:t>
      </w:r>
      <w:r>
        <w:t>Corporation</w:t>
      </w:r>
      <w:r>
        <w:tab/>
        <w:t>Delaware</w:t>
      </w:r>
    </w:p>
    <w:p w14:paraId="7326D504" w14:textId="77777777" w:rsidR="00EF3DFB" w:rsidRDefault="00D27C17">
      <w:pPr>
        <w:pStyle w:val="BodyText"/>
        <w:tabs>
          <w:tab w:val="left" w:pos="7427"/>
        </w:tabs>
        <w:spacing w:before="85"/>
        <w:ind w:left="872"/>
      </w:pPr>
      <w:r>
        <w:t>Gingham,</w:t>
      </w:r>
      <w:r>
        <w:rPr>
          <w:spacing w:val="-2"/>
        </w:rPr>
        <w:t xml:space="preserve"> </w:t>
      </w:r>
      <w:r>
        <w:t>LLC</w:t>
      </w:r>
      <w:r>
        <w:tab/>
        <w:t>Georgia</w:t>
      </w:r>
    </w:p>
    <w:p w14:paraId="7326D505" w14:textId="77777777" w:rsidR="00EF3DFB" w:rsidRDefault="00EF3DFB">
      <w:pPr>
        <w:sectPr w:rsidR="00EF3DFB">
          <w:footerReference w:type="default" r:id="rId316"/>
          <w:pgSz w:w="12240" w:h="15840"/>
          <w:pgMar w:top="1320" w:right="640" w:bottom="280" w:left="620" w:header="0" w:footer="0" w:gutter="0"/>
          <w:cols w:space="720"/>
        </w:sectPr>
      </w:pPr>
    </w:p>
    <w:p w14:paraId="7326D506" w14:textId="77777777" w:rsidR="00EF3DFB" w:rsidRDefault="00D27C17">
      <w:pPr>
        <w:pStyle w:val="BodyText"/>
        <w:tabs>
          <w:tab w:val="left" w:pos="7427"/>
        </w:tabs>
        <w:spacing w:before="75"/>
        <w:ind w:left="872"/>
      </w:pPr>
      <w:r>
        <w:lastRenderedPageBreak/>
        <w:t>Graco Children's</w:t>
      </w:r>
      <w:r>
        <w:rPr>
          <w:spacing w:val="-6"/>
        </w:rPr>
        <w:t xml:space="preserve"> </w:t>
      </w:r>
      <w:r>
        <w:t>Products</w:t>
      </w:r>
      <w:r>
        <w:rPr>
          <w:spacing w:val="-4"/>
        </w:rPr>
        <w:t xml:space="preserve"> </w:t>
      </w:r>
      <w:r>
        <w:t>Inc.</w:t>
      </w:r>
      <w:r>
        <w:tab/>
        <w:t>Delaware</w:t>
      </w:r>
    </w:p>
    <w:p w14:paraId="7326D507" w14:textId="77777777" w:rsidR="00EF3DFB" w:rsidRDefault="00D27C17">
      <w:pPr>
        <w:pStyle w:val="BodyText"/>
        <w:tabs>
          <w:tab w:val="left" w:pos="7427"/>
        </w:tabs>
        <w:spacing w:before="85"/>
        <w:ind w:left="872"/>
      </w:pPr>
      <w:r>
        <w:t>Holmes</w:t>
      </w:r>
      <w:r>
        <w:rPr>
          <w:spacing w:val="-4"/>
        </w:rPr>
        <w:t xml:space="preserve"> </w:t>
      </w:r>
      <w:r>
        <w:t>Motor</w:t>
      </w:r>
      <w:r>
        <w:rPr>
          <w:spacing w:val="-3"/>
        </w:rPr>
        <w:t xml:space="preserve"> </w:t>
      </w:r>
      <w:r>
        <w:t>Corporation</w:t>
      </w:r>
      <w:r>
        <w:tab/>
        <w:t>Delaware</w:t>
      </w:r>
    </w:p>
    <w:p w14:paraId="7326D508" w14:textId="77777777" w:rsidR="00EF3DFB" w:rsidRDefault="00D27C17">
      <w:pPr>
        <w:pStyle w:val="BodyText"/>
        <w:tabs>
          <w:tab w:val="left" w:pos="7427"/>
        </w:tabs>
        <w:spacing w:before="85"/>
        <w:ind w:left="872"/>
      </w:pPr>
      <w:r>
        <w:t>Hunt</w:t>
      </w:r>
      <w:r>
        <w:rPr>
          <w:spacing w:val="-4"/>
        </w:rPr>
        <w:t xml:space="preserve"> </w:t>
      </w:r>
      <w:r>
        <w:t>Americas</w:t>
      </w:r>
      <w:r>
        <w:rPr>
          <w:spacing w:val="-4"/>
        </w:rPr>
        <w:t xml:space="preserve"> </w:t>
      </w:r>
      <w:r>
        <w:t>Corporation</w:t>
      </w:r>
      <w:r>
        <w:tab/>
        <w:t>Delaware</w:t>
      </w:r>
    </w:p>
    <w:p w14:paraId="7326D509" w14:textId="77777777" w:rsidR="00EF3DFB" w:rsidRDefault="00D27C17">
      <w:pPr>
        <w:pStyle w:val="BodyText"/>
        <w:tabs>
          <w:tab w:val="left" w:pos="7427"/>
        </w:tabs>
        <w:spacing w:before="85"/>
        <w:ind w:left="872"/>
      </w:pPr>
      <w:r>
        <w:t>Hunt Management</w:t>
      </w:r>
      <w:r>
        <w:rPr>
          <w:spacing w:val="-7"/>
        </w:rPr>
        <w:t xml:space="preserve"> </w:t>
      </w:r>
      <w:r>
        <w:t>Company,</w:t>
      </w:r>
      <w:r>
        <w:rPr>
          <w:spacing w:val="-3"/>
        </w:rPr>
        <w:t xml:space="preserve"> </w:t>
      </w:r>
      <w:r>
        <w:t>Inc.</w:t>
      </w:r>
      <w:r>
        <w:tab/>
        <w:t>Pennsylvania</w:t>
      </w:r>
    </w:p>
    <w:p w14:paraId="7326D50A" w14:textId="77777777" w:rsidR="00EF3DFB" w:rsidRDefault="00D27C17">
      <w:pPr>
        <w:pStyle w:val="BodyText"/>
        <w:tabs>
          <w:tab w:val="left" w:pos="7427"/>
        </w:tabs>
        <w:spacing w:before="85"/>
        <w:ind w:left="872"/>
      </w:pPr>
      <w:r>
        <w:t>Hydrosurge Equipment</w:t>
      </w:r>
      <w:r>
        <w:rPr>
          <w:spacing w:val="-7"/>
        </w:rPr>
        <w:t xml:space="preserve"> </w:t>
      </w:r>
      <w:r>
        <w:t>Company,</w:t>
      </w:r>
      <w:r>
        <w:rPr>
          <w:spacing w:val="-3"/>
        </w:rPr>
        <w:t xml:space="preserve"> </w:t>
      </w:r>
      <w:r>
        <w:t>LLC</w:t>
      </w:r>
      <w:r>
        <w:tab/>
        <w:t>Delaware</w:t>
      </w:r>
    </w:p>
    <w:p w14:paraId="7326D50B" w14:textId="77777777" w:rsidR="00EF3DFB" w:rsidRDefault="00D27C17">
      <w:pPr>
        <w:pStyle w:val="BodyText"/>
        <w:tabs>
          <w:tab w:val="left" w:pos="7427"/>
        </w:tabs>
        <w:spacing w:before="85"/>
        <w:ind w:left="872"/>
      </w:pPr>
      <w:r>
        <w:t>Ignite Holdings</w:t>
      </w:r>
      <w:r>
        <w:rPr>
          <w:spacing w:val="-5"/>
        </w:rPr>
        <w:t xml:space="preserve"> </w:t>
      </w:r>
      <w:r>
        <w:t>II,</w:t>
      </w:r>
      <w:r>
        <w:rPr>
          <w:spacing w:val="-2"/>
        </w:rPr>
        <w:t xml:space="preserve"> </w:t>
      </w:r>
      <w:r>
        <w:t>LLC</w:t>
      </w:r>
      <w:r>
        <w:tab/>
        <w:t>Delaware</w:t>
      </w:r>
    </w:p>
    <w:p w14:paraId="7326D50C" w14:textId="77777777" w:rsidR="00EF3DFB" w:rsidRDefault="00D27C17">
      <w:pPr>
        <w:pStyle w:val="BodyText"/>
        <w:tabs>
          <w:tab w:val="left" w:pos="7427"/>
        </w:tabs>
        <w:spacing w:before="85"/>
        <w:ind w:left="872"/>
      </w:pPr>
      <w:r>
        <w:t>Ignite</w:t>
      </w:r>
      <w:r>
        <w:rPr>
          <w:spacing w:val="-3"/>
        </w:rPr>
        <w:t xml:space="preserve"> </w:t>
      </w:r>
      <w:r>
        <w:t>Holdings,</w:t>
      </w:r>
      <w:r>
        <w:rPr>
          <w:spacing w:val="-2"/>
        </w:rPr>
        <w:t xml:space="preserve"> </w:t>
      </w:r>
      <w:r>
        <w:t>LLC</w:t>
      </w:r>
      <w:r>
        <w:tab/>
        <w:t>Delaware</w:t>
      </w:r>
    </w:p>
    <w:p w14:paraId="7326D50D" w14:textId="77777777" w:rsidR="00EF3DFB" w:rsidRDefault="00D27C17">
      <w:pPr>
        <w:pStyle w:val="BodyText"/>
        <w:tabs>
          <w:tab w:val="left" w:pos="7427"/>
        </w:tabs>
        <w:spacing w:before="85"/>
        <w:ind w:left="872"/>
      </w:pPr>
      <w:r>
        <w:t>Infoswitch,</w:t>
      </w:r>
      <w:r>
        <w:rPr>
          <w:spacing w:val="-2"/>
        </w:rPr>
        <w:t xml:space="preserve"> </w:t>
      </w:r>
      <w:r>
        <w:t>Inc.</w:t>
      </w:r>
      <w:r>
        <w:tab/>
        <w:t>Delaware</w:t>
      </w:r>
    </w:p>
    <w:p w14:paraId="7326D50E" w14:textId="77777777" w:rsidR="00EF3DFB" w:rsidRDefault="00D27C17">
      <w:pPr>
        <w:pStyle w:val="BodyText"/>
        <w:tabs>
          <w:tab w:val="left" w:pos="7427"/>
        </w:tabs>
        <w:spacing w:before="85"/>
        <w:ind w:left="872"/>
      </w:pPr>
      <w:r>
        <w:t>Integrated</w:t>
      </w:r>
      <w:r>
        <w:rPr>
          <w:spacing w:val="-4"/>
        </w:rPr>
        <w:t xml:space="preserve"> </w:t>
      </w:r>
      <w:r>
        <w:t>Specialties,</w:t>
      </w:r>
      <w:r>
        <w:rPr>
          <w:spacing w:val="-4"/>
        </w:rPr>
        <w:t xml:space="preserve"> </w:t>
      </w:r>
      <w:r>
        <w:t>I</w:t>
      </w:r>
      <w:r>
        <w:t>nc.</w:t>
      </w:r>
      <w:r>
        <w:tab/>
        <w:t>California</w:t>
      </w:r>
    </w:p>
    <w:p w14:paraId="7326D50F" w14:textId="77777777" w:rsidR="00EF3DFB" w:rsidRDefault="00D27C17">
      <w:pPr>
        <w:pStyle w:val="BodyText"/>
        <w:tabs>
          <w:tab w:val="left" w:pos="7427"/>
        </w:tabs>
        <w:spacing w:before="85"/>
        <w:ind w:left="872"/>
      </w:pPr>
      <w:r>
        <w:t>Jarden</w:t>
      </w:r>
      <w:r>
        <w:rPr>
          <w:spacing w:val="-2"/>
        </w:rPr>
        <w:t xml:space="preserve"> </w:t>
      </w:r>
      <w:r>
        <w:t>LLC</w:t>
      </w:r>
      <w:r>
        <w:tab/>
        <w:t>Delaware</w:t>
      </w:r>
    </w:p>
    <w:p w14:paraId="7326D510" w14:textId="77777777" w:rsidR="00EF3DFB" w:rsidRDefault="00D27C17">
      <w:pPr>
        <w:pStyle w:val="BodyText"/>
        <w:tabs>
          <w:tab w:val="left" w:pos="7427"/>
        </w:tabs>
        <w:spacing w:before="85"/>
        <w:ind w:left="872"/>
      </w:pPr>
      <w:r>
        <w:t>Jarden</w:t>
      </w:r>
      <w:r>
        <w:rPr>
          <w:spacing w:val="-4"/>
        </w:rPr>
        <w:t xml:space="preserve"> </w:t>
      </w:r>
      <w:r>
        <w:t>Receivables,</w:t>
      </w:r>
      <w:r>
        <w:rPr>
          <w:spacing w:val="-4"/>
        </w:rPr>
        <w:t xml:space="preserve"> </w:t>
      </w:r>
      <w:r>
        <w:t>LLC</w:t>
      </w:r>
      <w:r>
        <w:tab/>
        <w:t>Delaware</w:t>
      </w:r>
    </w:p>
    <w:p w14:paraId="7326D511" w14:textId="77777777" w:rsidR="00EF3DFB" w:rsidRDefault="00D27C17">
      <w:pPr>
        <w:pStyle w:val="BodyText"/>
        <w:tabs>
          <w:tab w:val="left" w:pos="7427"/>
        </w:tabs>
        <w:spacing w:before="85"/>
        <w:ind w:left="872"/>
      </w:pPr>
      <w:r>
        <w:t>JBC</w:t>
      </w:r>
      <w:r>
        <w:rPr>
          <w:spacing w:val="-4"/>
        </w:rPr>
        <w:t xml:space="preserve"> </w:t>
      </w:r>
      <w:r>
        <w:t>Direct,</w:t>
      </w:r>
      <w:r>
        <w:rPr>
          <w:spacing w:val="-3"/>
        </w:rPr>
        <w:t xml:space="preserve"> </w:t>
      </w:r>
      <w:r>
        <w:t>LLC</w:t>
      </w:r>
      <w:r>
        <w:tab/>
        <w:t>Delaware</w:t>
      </w:r>
    </w:p>
    <w:p w14:paraId="7326D512" w14:textId="77777777" w:rsidR="00EF3DFB" w:rsidRDefault="00D27C17">
      <w:pPr>
        <w:pStyle w:val="BodyText"/>
        <w:tabs>
          <w:tab w:val="left" w:pos="7427"/>
        </w:tabs>
        <w:spacing w:before="85"/>
        <w:ind w:left="872"/>
      </w:pPr>
      <w:r>
        <w:t>Kansas</w:t>
      </w:r>
      <w:r>
        <w:rPr>
          <w:spacing w:val="-4"/>
        </w:rPr>
        <w:t xml:space="preserve"> </w:t>
      </w:r>
      <w:r>
        <w:t>Acquisition</w:t>
      </w:r>
      <w:r>
        <w:rPr>
          <w:spacing w:val="-3"/>
        </w:rPr>
        <w:t xml:space="preserve"> </w:t>
      </w:r>
      <w:r>
        <w:t>Corp.</w:t>
      </w:r>
      <w:r>
        <w:tab/>
        <w:t>Delaware</w:t>
      </w:r>
    </w:p>
    <w:p w14:paraId="7326D513" w14:textId="77777777" w:rsidR="00EF3DFB" w:rsidRDefault="00D27C17">
      <w:pPr>
        <w:pStyle w:val="BodyText"/>
        <w:tabs>
          <w:tab w:val="left" w:pos="7427"/>
        </w:tabs>
        <w:spacing w:before="85"/>
        <w:ind w:left="872"/>
      </w:pPr>
      <w:r>
        <w:t>L.A.</w:t>
      </w:r>
      <w:r>
        <w:rPr>
          <w:spacing w:val="-3"/>
        </w:rPr>
        <w:t xml:space="preserve"> </w:t>
      </w:r>
      <w:r>
        <w:t>Services,</w:t>
      </w:r>
      <w:r>
        <w:rPr>
          <w:spacing w:val="-3"/>
        </w:rPr>
        <w:t xml:space="preserve"> </w:t>
      </w:r>
      <w:r>
        <w:t>Inc.</w:t>
      </w:r>
      <w:r>
        <w:tab/>
        <w:t>Delaware</w:t>
      </w:r>
    </w:p>
    <w:p w14:paraId="7326D514" w14:textId="77777777" w:rsidR="00EF3DFB" w:rsidRDefault="00D27C17">
      <w:pPr>
        <w:pStyle w:val="BodyText"/>
        <w:tabs>
          <w:tab w:val="left" w:pos="7427"/>
        </w:tabs>
        <w:spacing w:before="85"/>
        <w:ind w:left="872"/>
      </w:pPr>
      <w:r>
        <w:t>Laser</w:t>
      </w:r>
      <w:r>
        <w:rPr>
          <w:spacing w:val="-3"/>
        </w:rPr>
        <w:t xml:space="preserve"> </w:t>
      </w:r>
      <w:r>
        <w:t>Acquisition</w:t>
      </w:r>
      <w:r>
        <w:rPr>
          <w:spacing w:val="-3"/>
        </w:rPr>
        <w:t xml:space="preserve"> </w:t>
      </w:r>
      <w:r>
        <w:t>Corp.</w:t>
      </w:r>
      <w:r>
        <w:tab/>
        <w:t>Delaware</w:t>
      </w:r>
    </w:p>
    <w:p w14:paraId="7326D515" w14:textId="77777777" w:rsidR="00EF3DFB" w:rsidRDefault="00D27C17">
      <w:pPr>
        <w:pStyle w:val="BodyText"/>
        <w:tabs>
          <w:tab w:val="left" w:pos="7427"/>
        </w:tabs>
        <w:spacing w:before="85"/>
        <w:ind w:left="872"/>
      </w:pPr>
      <w:r>
        <w:t>Leviathan</w:t>
      </w:r>
      <w:r>
        <w:rPr>
          <w:spacing w:val="-3"/>
        </w:rPr>
        <w:t xml:space="preserve"> </w:t>
      </w:r>
      <w:r>
        <w:t>NES</w:t>
      </w:r>
      <w:r>
        <w:rPr>
          <w:spacing w:val="-4"/>
        </w:rPr>
        <w:t xml:space="preserve"> </w:t>
      </w:r>
      <w:r>
        <w:t>LLC</w:t>
      </w:r>
      <w:r>
        <w:tab/>
        <w:t>Delaware</w:t>
      </w:r>
    </w:p>
    <w:p w14:paraId="7326D516" w14:textId="77777777" w:rsidR="00EF3DFB" w:rsidRDefault="00D27C17">
      <w:pPr>
        <w:pStyle w:val="BodyText"/>
        <w:tabs>
          <w:tab w:val="left" w:pos="7427"/>
        </w:tabs>
        <w:spacing w:before="85"/>
        <w:ind w:left="872"/>
      </w:pPr>
      <w:r>
        <w:t>Leviathan</w:t>
      </w:r>
      <w:r>
        <w:rPr>
          <w:spacing w:val="-3"/>
        </w:rPr>
        <w:t xml:space="preserve"> </w:t>
      </w:r>
      <w:r>
        <w:t>NWL</w:t>
      </w:r>
      <w:r>
        <w:rPr>
          <w:spacing w:val="-4"/>
        </w:rPr>
        <w:t xml:space="preserve"> </w:t>
      </w:r>
      <w:r>
        <w:t>LLC</w:t>
      </w:r>
      <w:r>
        <w:tab/>
        <w:t>Delaware</w:t>
      </w:r>
    </w:p>
    <w:p w14:paraId="7326D517" w14:textId="77777777" w:rsidR="00EF3DFB" w:rsidRDefault="00D27C17">
      <w:pPr>
        <w:pStyle w:val="BodyText"/>
        <w:tabs>
          <w:tab w:val="left" w:pos="7427"/>
        </w:tabs>
        <w:spacing w:before="85"/>
        <w:ind w:left="872"/>
      </w:pPr>
      <w:r>
        <w:t>Leviathan NWL</w:t>
      </w:r>
      <w:r>
        <w:rPr>
          <w:spacing w:val="-6"/>
        </w:rPr>
        <w:t xml:space="preserve"> </w:t>
      </w:r>
      <w:r>
        <w:t>Sub</w:t>
      </w:r>
      <w:r>
        <w:rPr>
          <w:spacing w:val="-3"/>
        </w:rPr>
        <w:t xml:space="preserve"> </w:t>
      </w:r>
      <w:r>
        <w:t>LLC</w:t>
      </w:r>
      <w:r>
        <w:tab/>
        <w:t>Delaware</w:t>
      </w:r>
    </w:p>
    <w:p w14:paraId="7326D518" w14:textId="77777777" w:rsidR="00EF3DFB" w:rsidRDefault="00D27C17">
      <w:pPr>
        <w:pStyle w:val="BodyText"/>
        <w:tabs>
          <w:tab w:val="left" w:pos="7427"/>
        </w:tabs>
        <w:spacing w:before="85"/>
        <w:ind w:left="872"/>
      </w:pPr>
      <w:r>
        <w:t>Loral</w:t>
      </w:r>
      <w:r>
        <w:rPr>
          <w:spacing w:val="-3"/>
        </w:rPr>
        <w:t xml:space="preserve"> </w:t>
      </w:r>
      <w:r>
        <w:t>Corporation</w:t>
      </w:r>
      <w:r>
        <w:tab/>
        <w:t>Delaware</w:t>
      </w:r>
    </w:p>
    <w:p w14:paraId="7326D519" w14:textId="77777777" w:rsidR="00EF3DFB" w:rsidRDefault="00D27C17">
      <w:pPr>
        <w:pStyle w:val="BodyText"/>
        <w:tabs>
          <w:tab w:val="left" w:pos="7427"/>
        </w:tabs>
        <w:spacing w:before="85"/>
        <w:ind w:left="872"/>
      </w:pPr>
      <w:r>
        <w:t>Magnetics and</w:t>
      </w:r>
      <w:r>
        <w:rPr>
          <w:spacing w:val="-7"/>
        </w:rPr>
        <w:t xml:space="preserve"> </w:t>
      </w:r>
      <w:r>
        <w:t>Electronics,</w:t>
      </w:r>
      <w:r>
        <w:rPr>
          <w:spacing w:val="-4"/>
        </w:rPr>
        <w:t xml:space="preserve"> </w:t>
      </w:r>
      <w:r>
        <w:t>Inc.</w:t>
      </w:r>
      <w:r>
        <w:tab/>
        <w:t>Delaware</w:t>
      </w:r>
    </w:p>
    <w:p w14:paraId="7326D51A" w14:textId="77777777" w:rsidR="00EF3DFB" w:rsidRDefault="00D27C17">
      <w:pPr>
        <w:pStyle w:val="BodyText"/>
        <w:tabs>
          <w:tab w:val="left" w:pos="7427"/>
        </w:tabs>
        <w:spacing w:before="85"/>
        <w:ind w:left="872"/>
      </w:pPr>
      <w:r>
        <w:t>Marmot</w:t>
      </w:r>
      <w:r>
        <w:rPr>
          <w:spacing w:val="-4"/>
        </w:rPr>
        <w:t xml:space="preserve"> </w:t>
      </w:r>
      <w:r>
        <w:t>Mountain,</w:t>
      </w:r>
      <w:r>
        <w:rPr>
          <w:spacing w:val="-3"/>
        </w:rPr>
        <w:t xml:space="preserve"> </w:t>
      </w:r>
      <w:r>
        <w:t>LLC</w:t>
      </w:r>
      <w:r>
        <w:tab/>
        <w:t>Delaware</w:t>
      </w:r>
    </w:p>
    <w:p w14:paraId="7326D51B" w14:textId="77777777" w:rsidR="00EF3DFB" w:rsidRDefault="00D27C17">
      <w:pPr>
        <w:pStyle w:val="BodyText"/>
        <w:tabs>
          <w:tab w:val="left" w:pos="7427"/>
        </w:tabs>
        <w:spacing w:before="85"/>
        <w:ind w:left="872"/>
      </w:pPr>
      <w:r>
        <w:t>Montey</w:t>
      </w:r>
      <w:r>
        <w:rPr>
          <w:spacing w:val="-3"/>
        </w:rPr>
        <w:t xml:space="preserve"> </w:t>
      </w:r>
      <w:r>
        <w:t>Corporation</w:t>
      </w:r>
      <w:r>
        <w:tab/>
        <w:t>Delaware</w:t>
      </w:r>
    </w:p>
    <w:p w14:paraId="7326D51C" w14:textId="77777777" w:rsidR="00EF3DFB" w:rsidRDefault="00D27C17">
      <w:pPr>
        <w:pStyle w:val="BodyText"/>
        <w:tabs>
          <w:tab w:val="left" w:pos="7427"/>
        </w:tabs>
        <w:spacing w:before="85"/>
        <w:ind w:left="872"/>
      </w:pPr>
      <w:r>
        <w:t>Montey</w:t>
      </w:r>
      <w:r>
        <w:rPr>
          <w:spacing w:val="-3"/>
        </w:rPr>
        <w:t xml:space="preserve"> </w:t>
      </w:r>
      <w:r>
        <w:t>Credit</w:t>
      </w:r>
      <w:r>
        <w:rPr>
          <w:spacing w:val="-4"/>
        </w:rPr>
        <w:t xml:space="preserve"> </w:t>
      </w:r>
      <w:r>
        <w:t>Corporation</w:t>
      </w:r>
      <w:r>
        <w:tab/>
        <w:t>Pennsylvania</w:t>
      </w:r>
    </w:p>
    <w:p w14:paraId="7326D51D" w14:textId="77777777" w:rsidR="00EF3DFB" w:rsidRDefault="00D27C17">
      <w:pPr>
        <w:pStyle w:val="BodyText"/>
        <w:tabs>
          <w:tab w:val="left" w:pos="7427"/>
        </w:tabs>
        <w:spacing w:before="85"/>
        <w:ind w:left="872"/>
      </w:pPr>
      <w:r>
        <w:t>Muncie</w:t>
      </w:r>
      <w:r>
        <w:rPr>
          <w:spacing w:val="-3"/>
        </w:rPr>
        <w:t xml:space="preserve"> </w:t>
      </w:r>
      <w:r>
        <w:t>JHB</w:t>
      </w:r>
      <w:r>
        <w:rPr>
          <w:spacing w:val="-3"/>
        </w:rPr>
        <w:t xml:space="preserve"> </w:t>
      </w:r>
      <w:r>
        <w:t>LLC</w:t>
      </w:r>
      <w:r>
        <w:tab/>
        <w:t>Delaware</w:t>
      </w:r>
    </w:p>
    <w:p w14:paraId="7326D51E" w14:textId="77777777" w:rsidR="00EF3DFB" w:rsidRDefault="00D27C17">
      <w:pPr>
        <w:pStyle w:val="BodyText"/>
        <w:tabs>
          <w:tab w:val="left" w:pos="7427"/>
        </w:tabs>
        <w:spacing w:before="85"/>
        <w:ind w:left="872"/>
      </w:pPr>
      <w:r>
        <w:t>New-Bra Con</w:t>
      </w:r>
      <w:r>
        <w:rPr>
          <w:spacing w:val="-6"/>
        </w:rPr>
        <w:t xml:space="preserve"> </w:t>
      </w:r>
      <w:r>
        <w:t>Industries,</w:t>
      </w:r>
      <w:r>
        <w:rPr>
          <w:spacing w:val="-3"/>
        </w:rPr>
        <w:t xml:space="preserve"> </w:t>
      </w:r>
      <w:r>
        <w:t>Inc.</w:t>
      </w:r>
      <w:r>
        <w:tab/>
        <w:t>Delawar</w:t>
      </w:r>
      <w:r>
        <w:t>e</w:t>
      </w:r>
    </w:p>
    <w:p w14:paraId="7326D51F" w14:textId="77777777" w:rsidR="00EF3DFB" w:rsidRDefault="00D27C17">
      <w:pPr>
        <w:pStyle w:val="BodyText"/>
        <w:tabs>
          <w:tab w:val="left" w:pos="7427"/>
        </w:tabs>
        <w:spacing w:before="85"/>
        <w:ind w:left="872"/>
      </w:pPr>
      <w:r>
        <w:t>Newell Brands</w:t>
      </w:r>
      <w:r>
        <w:rPr>
          <w:spacing w:val="-7"/>
        </w:rPr>
        <w:t xml:space="preserve"> </w:t>
      </w:r>
      <w:r>
        <w:t>DTC,</w:t>
      </w:r>
      <w:r>
        <w:rPr>
          <w:spacing w:val="-3"/>
        </w:rPr>
        <w:t xml:space="preserve"> </w:t>
      </w:r>
      <w:r>
        <w:t>Inc.</w:t>
      </w:r>
      <w:r>
        <w:tab/>
        <w:t>Delaware</w:t>
      </w:r>
    </w:p>
    <w:p w14:paraId="7326D520" w14:textId="77777777" w:rsidR="00EF3DFB" w:rsidRDefault="00D27C17">
      <w:pPr>
        <w:pStyle w:val="BodyText"/>
        <w:tabs>
          <w:tab w:val="left" w:pos="7427"/>
        </w:tabs>
        <w:spacing w:before="85"/>
        <w:ind w:left="872"/>
      </w:pPr>
      <w:r>
        <w:t>Newell Brands</w:t>
      </w:r>
      <w:r>
        <w:rPr>
          <w:spacing w:val="-7"/>
        </w:rPr>
        <w:t xml:space="preserve"> </w:t>
      </w:r>
      <w:r>
        <w:t>Industries</w:t>
      </w:r>
      <w:r>
        <w:rPr>
          <w:spacing w:val="-4"/>
        </w:rPr>
        <w:t xml:space="preserve"> </w:t>
      </w:r>
      <w:r>
        <w:t>LLC</w:t>
      </w:r>
      <w:r>
        <w:tab/>
        <w:t>Delaware</w:t>
      </w:r>
    </w:p>
    <w:p w14:paraId="7326D521" w14:textId="77777777" w:rsidR="00EF3DFB" w:rsidRDefault="00D27C17">
      <w:pPr>
        <w:pStyle w:val="BodyText"/>
        <w:tabs>
          <w:tab w:val="left" w:pos="7427"/>
        </w:tabs>
        <w:spacing w:before="86"/>
        <w:ind w:left="872"/>
      </w:pPr>
      <w:r>
        <w:t>Newell Brands</w:t>
      </w:r>
      <w:r>
        <w:rPr>
          <w:spacing w:val="-8"/>
        </w:rPr>
        <w:t xml:space="preserve"> </w:t>
      </w:r>
      <w:r>
        <w:t>International</w:t>
      </w:r>
      <w:r>
        <w:rPr>
          <w:spacing w:val="-4"/>
        </w:rPr>
        <w:t xml:space="preserve"> </w:t>
      </w:r>
      <w:r>
        <w:t>LLC</w:t>
      </w:r>
      <w:r>
        <w:tab/>
        <w:t>Delaware</w:t>
      </w:r>
    </w:p>
    <w:p w14:paraId="7326D522" w14:textId="77777777" w:rsidR="00EF3DFB" w:rsidRDefault="00D27C17">
      <w:pPr>
        <w:pStyle w:val="BodyText"/>
        <w:tabs>
          <w:tab w:val="left" w:pos="7427"/>
        </w:tabs>
        <w:spacing w:before="85"/>
        <w:ind w:left="872"/>
      </w:pPr>
      <w:r>
        <w:t>Newell Brands Investment</w:t>
      </w:r>
      <w:r>
        <w:rPr>
          <w:spacing w:val="-10"/>
        </w:rPr>
        <w:t xml:space="preserve"> </w:t>
      </w:r>
      <w:r>
        <w:t>II,</w:t>
      </w:r>
      <w:r>
        <w:rPr>
          <w:spacing w:val="-3"/>
        </w:rPr>
        <w:t xml:space="preserve"> </w:t>
      </w:r>
      <w:r>
        <w:t>Inc.</w:t>
      </w:r>
      <w:r>
        <w:tab/>
        <w:t>Delaware</w:t>
      </w:r>
    </w:p>
    <w:p w14:paraId="7326D523" w14:textId="77777777" w:rsidR="00EF3DFB" w:rsidRDefault="00D27C17">
      <w:pPr>
        <w:pStyle w:val="BodyText"/>
        <w:tabs>
          <w:tab w:val="left" w:pos="7427"/>
        </w:tabs>
        <w:spacing w:before="85"/>
        <w:ind w:left="872"/>
      </w:pPr>
      <w:r>
        <w:t>Newell Brands</w:t>
      </w:r>
      <w:r>
        <w:rPr>
          <w:spacing w:val="-7"/>
        </w:rPr>
        <w:t xml:space="preserve"> </w:t>
      </w:r>
      <w:r>
        <w:t>Sourcing</w:t>
      </w:r>
      <w:r>
        <w:rPr>
          <w:spacing w:val="-3"/>
        </w:rPr>
        <w:t xml:space="preserve"> </w:t>
      </w:r>
      <w:r>
        <w:t>Corp.</w:t>
      </w:r>
      <w:r>
        <w:tab/>
        <w:t>Delaware</w:t>
      </w:r>
    </w:p>
    <w:p w14:paraId="7326D524" w14:textId="77777777" w:rsidR="00EF3DFB" w:rsidRDefault="00D27C17">
      <w:pPr>
        <w:pStyle w:val="BodyText"/>
        <w:tabs>
          <w:tab w:val="left" w:pos="7427"/>
        </w:tabs>
        <w:spacing w:before="85"/>
        <w:ind w:left="872"/>
      </w:pPr>
      <w:r>
        <w:t>Newell</w:t>
      </w:r>
      <w:r>
        <w:rPr>
          <w:spacing w:val="-4"/>
        </w:rPr>
        <w:t xml:space="preserve"> </w:t>
      </w:r>
      <w:r>
        <w:t>Finance</w:t>
      </w:r>
      <w:r>
        <w:rPr>
          <w:spacing w:val="-4"/>
        </w:rPr>
        <w:t xml:space="preserve"> </w:t>
      </w:r>
      <w:r>
        <w:t>Company</w:t>
      </w:r>
      <w:r>
        <w:tab/>
        <w:t>Delaware</w:t>
      </w:r>
    </w:p>
    <w:p w14:paraId="7326D525" w14:textId="77777777" w:rsidR="00EF3DFB" w:rsidRDefault="00D27C17">
      <w:pPr>
        <w:pStyle w:val="BodyText"/>
        <w:tabs>
          <w:tab w:val="left" w:pos="7427"/>
        </w:tabs>
        <w:spacing w:before="85"/>
        <w:ind w:left="872"/>
      </w:pPr>
      <w:r>
        <w:t>Newell</w:t>
      </w:r>
      <w:r>
        <w:rPr>
          <w:spacing w:val="-4"/>
        </w:rPr>
        <w:t xml:space="preserve"> </w:t>
      </w:r>
      <w:r>
        <w:t>Investments</w:t>
      </w:r>
      <w:r>
        <w:rPr>
          <w:spacing w:val="-4"/>
        </w:rPr>
        <w:t xml:space="preserve"> </w:t>
      </w:r>
      <w:r>
        <w:t>Inc.</w:t>
      </w:r>
      <w:r>
        <w:tab/>
      </w:r>
      <w:r>
        <w:t>Delaware</w:t>
      </w:r>
    </w:p>
    <w:p w14:paraId="7326D526" w14:textId="77777777" w:rsidR="00EF3DFB" w:rsidRDefault="00D27C17">
      <w:pPr>
        <w:pStyle w:val="BodyText"/>
        <w:tabs>
          <w:tab w:val="left" w:pos="7427"/>
        </w:tabs>
        <w:spacing w:before="85"/>
        <w:ind w:left="872"/>
      </w:pPr>
      <w:r>
        <w:t>Newell</w:t>
      </w:r>
      <w:r>
        <w:rPr>
          <w:spacing w:val="-4"/>
        </w:rPr>
        <w:t xml:space="preserve"> </w:t>
      </w:r>
      <w:r>
        <w:t>Operating</w:t>
      </w:r>
      <w:r>
        <w:rPr>
          <w:spacing w:val="-4"/>
        </w:rPr>
        <w:t xml:space="preserve"> </w:t>
      </w:r>
      <w:r>
        <w:t>Company</w:t>
      </w:r>
      <w:r>
        <w:tab/>
        <w:t>Delaware</w:t>
      </w:r>
    </w:p>
    <w:p w14:paraId="7326D527" w14:textId="77777777" w:rsidR="00EF3DFB" w:rsidRDefault="00D27C17">
      <w:pPr>
        <w:pStyle w:val="BodyText"/>
        <w:tabs>
          <w:tab w:val="left" w:pos="7427"/>
        </w:tabs>
        <w:spacing w:before="85"/>
        <w:ind w:left="872"/>
      </w:pPr>
      <w:r>
        <w:t>Newell Puerto</w:t>
      </w:r>
      <w:r>
        <w:rPr>
          <w:spacing w:val="-6"/>
        </w:rPr>
        <w:t xml:space="preserve"> </w:t>
      </w:r>
      <w:r>
        <w:t>Rico,</w:t>
      </w:r>
      <w:r>
        <w:rPr>
          <w:spacing w:val="-3"/>
        </w:rPr>
        <w:t xml:space="preserve"> </w:t>
      </w:r>
      <w:r>
        <w:t>Ltd.</w:t>
      </w:r>
      <w:r>
        <w:tab/>
        <w:t>Delaware</w:t>
      </w:r>
    </w:p>
    <w:p w14:paraId="7326D528" w14:textId="77777777" w:rsidR="00EF3DFB" w:rsidRDefault="00D27C17">
      <w:pPr>
        <w:pStyle w:val="BodyText"/>
        <w:tabs>
          <w:tab w:val="left" w:pos="7427"/>
        </w:tabs>
        <w:spacing w:before="85"/>
        <w:ind w:left="872"/>
      </w:pPr>
      <w:r>
        <w:t>Newell Rubbermaid Company</w:t>
      </w:r>
      <w:r>
        <w:rPr>
          <w:spacing w:val="-10"/>
        </w:rPr>
        <w:t xml:space="preserve"> </w:t>
      </w:r>
      <w:r>
        <w:t>Store</w:t>
      </w:r>
      <w:r>
        <w:rPr>
          <w:spacing w:val="-4"/>
        </w:rPr>
        <w:t xml:space="preserve"> </w:t>
      </w:r>
      <w:r>
        <w:t>LLC</w:t>
      </w:r>
      <w:r>
        <w:tab/>
        <w:t>Delaware</w:t>
      </w:r>
    </w:p>
    <w:p w14:paraId="7326D529" w14:textId="77777777" w:rsidR="00EF3DFB" w:rsidRDefault="00D27C17">
      <w:pPr>
        <w:pStyle w:val="BodyText"/>
        <w:tabs>
          <w:tab w:val="left" w:pos="7427"/>
        </w:tabs>
        <w:spacing w:before="85"/>
        <w:ind w:left="872"/>
      </w:pPr>
      <w:r>
        <w:t>Newell Rubbermaid</w:t>
      </w:r>
      <w:r>
        <w:rPr>
          <w:spacing w:val="-8"/>
        </w:rPr>
        <w:t xml:space="preserve"> </w:t>
      </w:r>
      <w:r>
        <w:t>Development</w:t>
      </w:r>
      <w:r>
        <w:rPr>
          <w:spacing w:val="-5"/>
        </w:rPr>
        <w:t xml:space="preserve"> </w:t>
      </w:r>
      <w:r>
        <w:t>LLC</w:t>
      </w:r>
      <w:r>
        <w:tab/>
        <w:t>Delaware</w:t>
      </w:r>
    </w:p>
    <w:p w14:paraId="7326D52A" w14:textId="77777777" w:rsidR="00EF3DFB" w:rsidRDefault="00D27C17">
      <w:pPr>
        <w:pStyle w:val="BodyText"/>
        <w:tabs>
          <w:tab w:val="left" w:pos="7427"/>
        </w:tabs>
        <w:spacing w:before="85"/>
        <w:ind w:left="872"/>
      </w:pPr>
      <w:r>
        <w:t>Newell Rubbermaid</w:t>
      </w:r>
      <w:r>
        <w:rPr>
          <w:spacing w:val="-9"/>
        </w:rPr>
        <w:t xml:space="preserve"> </w:t>
      </w:r>
      <w:r>
        <w:t>Distribution</w:t>
      </w:r>
      <w:r>
        <w:rPr>
          <w:spacing w:val="-4"/>
        </w:rPr>
        <w:t xml:space="preserve"> </w:t>
      </w:r>
      <w:r>
        <w:t>LLC</w:t>
      </w:r>
      <w:r>
        <w:tab/>
        <w:t>Delaware</w:t>
      </w:r>
    </w:p>
    <w:p w14:paraId="7326D52B" w14:textId="77777777" w:rsidR="00EF3DFB" w:rsidRDefault="00D27C17">
      <w:pPr>
        <w:pStyle w:val="BodyText"/>
        <w:tabs>
          <w:tab w:val="left" w:pos="7427"/>
        </w:tabs>
        <w:spacing w:before="85"/>
        <w:ind w:left="872"/>
      </w:pPr>
      <w:r>
        <w:t>Newell Rubbermaid</w:t>
      </w:r>
      <w:r>
        <w:rPr>
          <w:spacing w:val="-6"/>
        </w:rPr>
        <w:t xml:space="preserve"> </w:t>
      </w:r>
      <w:r>
        <w:t>Europe</w:t>
      </w:r>
      <w:r>
        <w:rPr>
          <w:spacing w:val="-4"/>
        </w:rPr>
        <w:t xml:space="preserve"> </w:t>
      </w:r>
      <w:r>
        <w:t>LLC</w:t>
      </w:r>
      <w:r>
        <w:tab/>
        <w:t>Delaware</w:t>
      </w:r>
    </w:p>
    <w:p w14:paraId="7326D52C" w14:textId="77777777" w:rsidR="00EF3DFB" w:rsidRDefault="00D27C17">
      <w:pPr>
        <w:pStyle w:val="BodyText"/>
        <w:tabs>
          <w:tab w:val="left" w:pos="7427"/>
        </w:tabs>
        <w:spacing w:before="85"/>
        <w:ind w:left="872"/>
      </w:pPr>
      <w:r>
        <w:t>Newell Rubbermaid</w:t>
      </w:r>
      <w:r>
        <w:rPr>
          <w:spacing w:val="-7"/>
        </w:rPr>
        <w:t xml:space="preserve"> </w:t>
      </w:r>
      <w:r>
        <w:t>Holdings</w:t>
      </w:r>
      <w:r>
        <w:rPr>
          <w:spacing w:val="-4"/>
        </w:rPr>
        <w:t xml:space="preserve"> </w:t>
      </w:r>
      <w:r>
        <w:t>LLC</w:t>
      </w:r>
      <w:r>
        <w:tab/>
        <w:t>Delaware</w:t>
      </w:r>
    </w:p>
    <w:p w14:paraId="7326D52D" w14:textId="77777777" w:rsidR="00EF3DFB" w:rsidRDefault="00D27C17">
      <w:pPr>
        <w:pStyle w:val="BodyText"/>
        <w:tabs>
          <w:tab w:val="left" w:pos="7427"/>
        </w:tabs>
        <w:spacing w:before="85"/>
        <w:ind w:left="872"/>
      </w:pPr>
      <w:r>
        <w:t>Newell Rubbermaid Mexicali</w:t>
      </w:r>
      <w:r>
        <w:rPr>
          <w:spacing w:val="-12"/>
        </w:rPr>
        <w:t xml:space="preserve"> </w:t>
      </w:r>
      <w:r>
        <w:t>Holdings</w:t>
      </w:r>
      <w:r>
        <w:rPr>
          <w:spacing w:val="-5"/>
        </w:rPr>
        <w:t xml:space="preserve"> </w:t>
      </w:r>
      <w:r>
        <w:t>LLC</w:t>
      </w:r>
      <w:r>
        <w:tab/>
        <w:t>Delaware</w:t>
      </w:r>
    </w:p>
    <w:p w14:paraId="7326D52E" w14:textId="77777777" w:rsidR="00EF3DFB" w:rsidRDefault="00D27C17">
      <w:pPr>
        <w:pStyle w:val="BodyText"/>
        <w:tabs>
          <w:tab w:val="left" w:pos="7427"/>
        </w:tabs>
        <w:spacing w:before="85"/>
        <w:ind w:left="872"/>
      </w:pPr>
      <w:r>
        <w:t>Newell Rubbermaid Mexico</w:t>
      </w:r>
      <w:r>
        <w:rPr>
          <w:spacing w:val="-10"/>
        </w:rPr>
        <w:t xml:space="preserve"> </w:t>
      </w:r>
      <w:r>
        <w:t>Holding</w:t>
      </w:r>
      <w:r>
        <w:rPr>
          <w:spacing w:val="-4"/>
        </w:rPr>
        <w:t xml:space="preserve"> </w:t>
      </w:r>
      <w:r>
        <w:t>LLC</w:t>
      </w:r>
      <w:r>
        <w:tab/>
        <w:t>Delaware</w:t>
      </w:r>
    </w:p>
    <w:p w14:paraId="7326D52F" w14:textId="77777777" w:rsidR="00EF3DFB" w:rsidRDefault="00EF3DFB">
      <w:pPr>
        <w:sectPr w:rsidR="00EF3DFB">
          <w:footerReference w:type="default" r:id="rId317"/>
          <w:pgSz w:w="12240" w:h="15840"/>
          <w:pgMar w:top="1420" w:right="640" w:bottom="280" w:left="620" w:header="0" w:footer="0" w:gutter="0"/>
          <w:cols w:space="720"/>
        </w:sectPr>
      </w:pPr>
    </w:p>
    <w:p w14:paraId="7326D530" w14:textId="77777777" w:rsidR="00EF3DFB" w:rsidRDefault="00D27C17">
      <w:pPr>
        <w:pStyle w:val="BodyText"/>
        <w:tabs>
          <w:tab w:val="left" w:pos="7427"/>
        </w:tabs>
        <w:spacing w:before="75"/>
        <w:ind w:left="872"/>
      </w:pPr>
      <w:r>
        <w:lastRenderedPageBreak/>
        <w:t>Newell Rubbermaid US</w:t>
      </w:r>
      <w:r>
        <w:rPr>
          <w:spacing w:val="-10"/>
        </w:rPr>
        <w:t xml:space="preserve"> </w:t>
      </w:r>
      <w:r>
        <w:t>Finance</w:t>
      </w:r>
      <w:r>
        <w:rPr>
          <w:spacing w:val="-4"/>
        </w:rPr>
        <w:t xml:space="preserve"> </w:t>
      </w:r>
      <w:r>
        <w:t>Co.</w:t>
      </w:r>
      <w:r>
        <w:tab/>
        <w:t>Delaware</w:t>
      </w:r>
    </w:p>
    <w:p w14:paraId="7326D531" w14:textId="77777777" w:rsidR="00EF3DFB" w:rsidRDefault="00D27C17">
      <w:pPr>
        <w:pStyle w:val="BodyText"/>
        <w:tabs>
          <w:tab w:val="left" w:pos="7427"/>
        </w:tabs>
        <w:spacing w:before="85"/>
        <w:ind w:left="872"/>
      </w:pPr>
      <w:r>
        <w:t>Newell Sales &amp; Marketing</w:t>
      </w:r>
      <w:r>
        <w:rPr>
          <w:spacing w:val="-12"/>
        </w:rPr>
        <w:t xml:space="preserve"> </w:t>
      </w:r>
      <w:r>
        <w:t>Group,</w:t>
      </w:r>
      <w:r>
        <w:rPr>
          <w:spacing w:val="-3"/>
        </w:rPr>
        <w:t xml:space="preserve"> </w:t>
      </w:r>
      <w:r>
        <w:t>Inc.</w:t>
      </w:r>
      <w:r>
        <w:tab/>
        <w:t>Delaware</w:t>
      </w:r>
    </w:p>
    <w:p w14:paraId="7326D532" w14:textId="77777777" w:rsidR="00EF3DFB" w:rsidRDefault="00D27C17">
      <w:pPr>
        <w:pStyle w:val="BodyText"/>
        <w:tabs>
          <w:tab w:val="left" w:pos="7427"/>
        </w:tabs>
        <w:spacing w:before="85"/>
        <w:ind w:left="872"/>
      </w:pPr>
      <w:r>
        <w:t>Nippon</w:t>
      </w:r>
      <w:r>
        <w:rPr>
          <w:spacing w:val="-2"/>
        </w:rPr>
        <w:t xml:space="preserve"> </w:t>
      </w:r>
      <w:r>
        <w:t>Coleman,</w:t>
      </w:r>
      <w:r>
        <w:rPr>
          <w:spacing w:val="-2"/>
        </w:rPr>
        <w:t xml:space="preserve"> </w:t>
      </w:r>
      <w:r>
        <w:t>I</w:t>
      </w:r>
      <w:r>
        <w:t>nc.</w:t>
      </w:r>
      <w:r>
        <w:tab/>
        <w:t>Kansas</w:t>
      </w:r>
    </w:p>
    <w:p w14:paraId="7326D533" w14:textId="77777777" w:rsidR="00EF3DFB" w:rsidRDefault="00D27C17">
      <w:pPr>
        <w:pStyle w:val="BodyText"/>
        <w:tabs>
          <w:tab w:val="left" w:pos="7427"/>
        </w:tabs>
        <w:spacing w:before="85"/>
        <w:ind w:left="872"/>
      </w:pPr>
      <w:r>
        <w:t>Northern Aqueduct</w:t>
      </w:r>
      <w:r>
        <w:rPr>
          <w:spacing w:val="-6"/>
        </w:rPr>
        <w:t xml:space="preserve"> </w:t>
      </w:r>
      <w:r>
        <w:t>Holdings</w:t>
      </w:r>
      <w:r>
        <w:rPr>
          <w:spacing w:val="-4"/>
        </w:rPr>
        <w:t xml:space="preserve"> </w:t>
      </w:r>
      <w:r>
        <w:t>LLC</w:t>
      </w:r>
      <w:r>
        <w:tab/>
        <w:t>Delaware</w:t>
      </w:r>
    </w:p>
    <w:p w14:paraId="7326D534" w14:textId="77777777" w:rsidR="00EF3DFB" w:rsidRDefault="00D27C17">
      <w:pPr>
        <w:pStyle w:val="BodyText"/>
        <w:tabs>
          <w:tab w:val="left" w:pos="7427"/>
        </w:tabs>
        <w:spacing w:before="85"/>
        <w:ind w:left="872"/>
      </w:pPr>
      <w:r>
        <w:t>NWL Europe</w:t>
      </w:r>
      <w:r>
        <w:rPr>
          <w:spacing w:val="-5"/>
        </w:rPr>
        <w:t xml:space="preserve"> </w:t>
      </w:r>
      <w:r>
        <w:t>Holdings</w:t>
      </w:r>
      <w:r>
        <w:rPr>
          <w:spacing w:val="-3"/>
        </w:rPr>
        <w:t xml:space="preserve"> </w:t>
      </w:r>
      <w:r>
        <w:t>LLC</w:t>
      </w:r>
      <w:r>
        <w:tab/>
        <w:t>Delaware</w:t>
      </w:r>
    </w:p>
    <w:p w14:paraId="7326D535" w14:textId="77777777" w:rsidR="00EF3DFB" w:rsidRDefault="00D27C17">
      <w:pPr>
        <w:pStyle w:val="BodyText"/>
        <w:tabs>
          <w:tab w:val="left" w:pos="7427"/>
        </w:tabs>
        <w:spacing w:before="85"/>
        <w:ind w:left="872"/>
      </w:pPr>
      <w:r>
        <w:t>NWL GP</w:t>
      </w:r>
      <w:r>
        <w:rPr>
          <w:spacing w:val="-5"/>
        </w:rPr>
        <w:t xml:space="preserve"> </w:t>
      </w:r>
      <w:r>
        <w:t>Holdings</w:t>
      </w:r>
      <w:r>
        <w:rPr>
          <w:spacing w:val="-3"/>
        </w:rPr>
        <w:t xml:space="preserve"> </w:t>
      </w:r>
      <w:r>
        <w:t>LLC</w:t>
      </w:r>
      <w:r>
        <w:tab/>
        <w:t>Delaware</w:t>
      </w:r>
    </w:p>
    <w:p w14:paraId="7326D536" w14:textId="77777777" w:rsidR="00EF3DFB" w:rsidRDefault="00D27C17">
      <w:pPr>
        <w:pStyle w:val="BodyText"/>
        <w:tabs>
          <w:tab w:val="left" w:pos="7427"/>
        </w:tabs>
        <w:spacing w:before="85"/>
        <w:ind w:left="872"/>
      </w:pPr>
      <w:r>
        <w:t>Onethousand</w:t>
      </w:r>
      <w:r>
        <w:rPr>
          <w:spacing w:val="-3"/>
        </w:rPr>
        <w:t xml:space="preserve"> </w:t>
      </w:r>
      <w:r>
        <w:t>West,</w:t>
      </w:r>
      <w:r>
        <w:rPr>
          <w:spacing w:val="-3"/>
        </w:rPr>
        <w:t xml:space="preserve"> </w:t>
      </w:r>
      <w:r>
        <w:t>Inc.</w:t>
      </w:r>
      <w:r>
        <w:tab/>
        <w:t>Florida</w:t>
      </w:r>
    </w:p>
    <w:p w14:paraId="7326D537" w14:textId="77777777" w:rsidR="00EF3DFB" w:rsidRDefault="00D27C17">
      <w:pPr>
        <w:pStyle w:val="BodyText"/>
        <w:tabs>
          <w:tab w:val="left" w:pos="7427"/>
        </w:tabs>
        <w:spacing w:before="85"/>
        <w:ind w:left="872"/>
      </w:pPr>
      <w:r>
        <w:t>Outdoor Sports</w:t>
      </w:r>
      <w:r>
        <w:rPr>
          <w:spacing w:val="-5"/>
        </w:rPr>
        <w:t xml:space="preserve"> </w:t>
      </w:r>
      <w:r>
        <w:t>Gear,</w:t>
      </w:r>
      <w:r>
        <w:rPr>
          <w:spacing w:val="-2"/>
        </w:rPr>
        <w:t xml:space="preserve"> </w:t>
      </w:r>
      <w:r>
        <w:t>LLC</w:t>
      </w:r>
      <w:r>
        <w:tab/>
        <w:t>Delaware</w:t>
      </w:r>
    </w:p>
    <w:p w14:paraId="7326D538" w14:textId="77777777" w:rsidR="00EF3DFB" w:rsidRDefault="00D27C17">
      <w:pPr>
        <w:pStyle w:val="BodyText"/>
        <w:tabs>
          <w:tab w:val="left" w:pos="7427"/>
        </w:tabs>
        <w:spacing w:before="85"/>
        <w:ind w:left="872"/>
      </w:pPr>
      <w:r>
        <w:t>Packs &amp;</w:t>
      </w:r>
      <w:r>
        <w:rPr>
          <w:spacing w:val="-6"/>
        </w:rPr>
        <w:t xml:space="preserve"> </w:t>
      </w:r>
      <w:r>
        <w:t>Travel</w:t>
      </w:r>
      <w:r>
        <w:rPr>
          <w:spacing w:val="-3"/>
        </w:rPr>
        <w:t xml:space="preserve"> </w:t>
      </w:r>
      <w:r>
        <w:t>Corporation</w:t>
      </w:r>
      <w:r>
        <w:tab/>
        <w:t>Delaware</w:t>
      </w:r>
    </w:p>
    <w:p w14:paraId="7326D539" w14:textId="77777777" w:rsidR="00EF3DFB" w:rsidRDefault="00D27C17">
      <w:pPr>
        <w:pStyle w:val="BodyText"/>
        <w:tabs>
          <w:tab w:val="left" w:pos="7427"/>
        </w:tabs>
        <w:spacing w:before="85"/>
        <w:ind w:left="872"/>
      </w:pPr>
      <w:r>
        <w:t>QMC</w:t>
      </w:r>
      <w:r>
        <w:rPr>
          <w:spacing w:val="-3"/>
        </w:rPr>
        <w:t xml:space="preserve"> </w:t>
      </w:r>
      <w:r>
        <w:t>Buyer</w:t>
      </w:r>
      <w:r>
        <w:rPr>
          <w:spacing w:val="-2"/>
        </w:rPr>
        <w:t xml:space="preserve"> </w:t>
      </w:r>
      <w:r>
        <w:t>LLC</w:t>
      </w:r>
      <w:r>
        <w:tab/>
        <w:t>Delaware</w:t>
      </w:r>
    </w:p>
    <w:p w14:paraId="7326D53A" w14:textId="77777777" w:rsidR="00EF3DFB" w:rsidRDefault="00D27C17">
      <w:pPr>
        <w:pStyle w:val="BodyText"/>
        <w:tabs>
          <w:tab w:val="left" w:pos="7427"/>
        </w:tabs>
        <w:spacing w:before="85"/>
        <w:ind w:left="872"/>
      </w:pPr>
      <w:r>
        <w:t>Quickie</w:t>
      </w:r>
      <w:r>
        <w:rPr>
          <w:spacing w:val="-4"/>
        </w:rPr>
        <w:t xml:space="preserve"> </w:t>
      </w:r>
      <w:r>
        <w:t>Holdings</w:t>
      </w:r>
      <w:r>
        <w:rPr>
          <w:spacing w:val="-4"/>
        </w:rPr>
        <w:t xml:space="preserve"> </w:t>
      </w:r>
      <w:r>
        <w:t>LLC</w:t>
      </w:r>
      <w:r>
        <w:tab/>
        <w:t>Delaware</w:t>
      </w:r>
    </w:p>
    <w:p w14:paraId="7326D53B" w14:textId="77777777" w:rsidR="00EF3DFB" w:rsidRDefault="00D27C17">
      <w:pPr>
        <w:pStyle w:val="BodyText"/>
        <w:tabs>
          <w:tab w:val="left" w:pos="7427"/>
        </w:tabs>
        <w:spacing w:before="85"/>
        <w:ind w:left="872"/>
      </w:pPr>
      <w:r>
        <w:t>Ross</w:t>
      </w:r>
      <w:r>
        <w:rPr>
          <w:spacing w:val="-3"/>
        </w:rPr>
        <w:t xml:space="preserve"> </w:t>
      </w:r>
      <w:r>
        <w:t>Products,</w:t>
      </w:r>
      <w:r>
        <w:rPr>
          <w:spacing w:val="-2"/>
        </w:rPr>
        <w:t xml:space="preserve"> </w:t>
      </w:r>
      <w:r>
        <w:t>Inc.</w:t>
      </w:r>
      <w:r>
        <w:tab/>
        <w:t>Delaware</w:t>
      </w:r>
    </w:p>
    <w:p w14:paraId="7326D53C" w14:textId="77777777" w:rsidR="00EF3DFB" w:rsidRDefault="00D27C17">
      <w:pPr>
        <w:pStyle w:val="BodyText"/>
        <w:tabs>
          <w:tab w:val="left" w:pos="7427"/>
        </w:tabs>
        <w:spacing w:before="85"/>
        <w:ind w:left="872"/>
      </w:pPr>
      <w:r>
        <w:t>Rubbermaid Commercial</w:t>
      </w:r>
      <w:r>
        <w:rPr>
          <w:spacing w:val="-8"/>
        </w:rPr>
        <w:t xml:space="preserve"> </w:t>
      </w:r>
      <w:r>
        <w:t>Products</w:t>
      </w:r>
      <w:r>
        <w:rPr>
          <w:spacing w:val="-5"/>
        </w:rPr>
        <w:t xml:space="preserve"> </w:t>
      </w:r>
      <w:r>
        <w:t>LLC</w:t>
      </w:r>
      <w:r>
        <w:tab/>
        <w:t>Delaware</w:t>
      </w:r>
    </w:p>
    <w:p w14:paraId="7326D53D" w14:textId="77777777" w:rsidR="00EF3DFB" w:rsidRDefault="00D27C17">
      <w:pPr>
        <w:pStyle w:val="BodyText"/>
        <w:tabs>
          <w:tab w:val="left" w:pos="7427"/>
        </w:tabs>
        <w:spacing w:before="85"/>
        <w:ind w:left="872"/>
      </w:pPr>
      <w:r>
        <w:t>Rubbermaid Europe</w:t>
      </w:r>
      <w:r>
        <w:rPr>
          <w:spacing w:val="-5"/>
        </w:rPr>
        <w:t xml:space="preserve"> </w:t>
      </w:r>
      <w:r>
        <w:t>Holding</w:t>
      </w:r>
      <w:r>
        <w:rPr>
          <w:spacing w:val="-2"/>
        </w:rPr>
        <w:t xml:space="preserve"> </w:t>
      </w:r>
      <w:r>
        <w:t>Inc.</w:t>
      </w:r>
      <w:r>
        <w:tab/>
        <w:t>Delaware</w:t>
      </w:r>
    </w:p>
    <w:p w14:paraId="7326D53E" w14:textId="77777777" w:rsidR="00EF3DFB" w:rsidRDefault="00D27C17">
      <w:pPr>
        <w:pStyle w:val="BodyText"/>
        <w:tabs>
          <w:tab w:val="left" w:pos="7427"/>
        </w:tabs>
        <w:spacing w:before="85"/>
        <w:ind w:left="872"/>
      </w:pPr>
      <w:r>
        <w:t>Rubbermaid</w:t>
      </w:r>
      <w:r>
        <w:rPr>
          <w:spacing w:val="-3"/>
        </w:rPr>
        <w:t xml:space="preserve"> </w:t>
      </w:r>
      <w:r>
        <w:t>Incorporated</w:t>
      </w:r>
      <w:r>
        <w:tab/>
        <w:t>Ohio</w:t>
      </w:r>
    </w:p>
    <w:p w14:paraId="7326D53F" w14:textId="77777777" w:rsidR="00EF3DFB" w:rsidRDefault="00D27C17">
      <w:pPr>
        <w:pStyle w:val="BodyText"/>
        <w:tabs>
          <w:tab w:val="left" w:pos="7427"/>
        </w:tabs>
        <w:spacing w:before="85"/>
        <w:ind w:left="872"/>
      </w:pPr>
      <w:r>
        <w:t>Rubbermaid</w:t>
      </w:r>
      <w:r>
        <w:rPr>
          <w:spacing w:val="-3"/>
        </w:rPr>
        <w:t xml:space="preserve"> </w:t>
      </w:r>
      <w:r>
        <w:t>Services</w:t>
      </w:r>
      <w:r>
        <w:rPr>
          <w:spacing w:val="-4"/>
        </w:rPr>
        <w:t xml:space="preserve"> </w:t>
      </w:r>
      <w:r>
        <w:t>Corp.</w:t>
      </w:r>
      <w:r>
        <w:tab/>
        <w:t>Delaware</w:t>
      </w:r>
    </w:p>
    <w:p w14:paraId="7326D540" w14:textId="77777777" w:rsidR="00EF3DFB" w:rsidRDefault="00D27C17">
      <w:pPr>
        <w:pStyle w:val="BodyText"/>
        <w:tabs>
          <w:tab w:val="left" w:pos="7427"/>
        </w:tabs>
        <w:spacing w:before="85"/>
        <w:ind w:left="872"/>
      </w:pPr>
      <w:r>
        <w:t>Rubbermaid</w:t>
      </w:r>
      <w:r>
        <w:rPr>
          <w:spacing w:val="-4"/>
        </w:rPr>
        <w:t xml:space="preserve"> </w:t>
      </w:r>
      <w:r>
        <w:t>Texas</w:t>
      </w:r>
      <w:r>
        <w:rPr>
          <w:spacing w:val="-5"/>
        </w:rPr>
        <w:t xml:space="preserve"> </w:t>
      </w:r>
      <w:r>
        <w:t>Limited</w:t>
      </w:r>
      <w:r>
        <w:tab/>
        <w:t>Texas</w:t>
      </w:r>
    </w:p>
    <w:p w14:paraId="7326D541" w14:textId="77777777" w:rsidR="00EF3DFB" w:rsidRDefault="00D27C17">
      <w:pPr>
        <w:pStyle w:val="BodyText"/>
        <w:tabs>
          <w:tab w:val="left" w:pos="7427"/>
        </w:tabs>
        <w:spacing w:before="85"/>
        <w:ind w:left="872"/>
      </w:pPr>
      <w:r>
        <w:t>Rubfinco</w:t>
      </w:r>
      <w:r>
        <w:rPr>
          <w:spacing w:val="-2"/>
        </w:rPr>
        <w:t xml:space="preserve"> </w:t>
      </w:r>
      <w:r>
        <w:t>Inc.</w:t>
      </w:r>
      <w:r>
        <w:tab/>
      </w:r>
      <w:r>
        <w:t>Delaware</w:t>
      </w:r>
    </w:p>
    <w:p w14:paraId="7326D542" w14:textId="77777777" w:rsidR="00EF3DFB" w:rsidRDefault="00D27C17">
      <w:pPr>
        <w:pStyle w:val="BodyText"/>
        <w:tabs>
          <w:tab w:val="left" w:pos="7427"/>
        </w:tabs>
        <w:spacing w:before="85"/>
        <w:ind w:left="872"/>
      </w:pPr>
      <w:r>
        <w:t>Sanford GmbH</w:t>
      </w:r>
      <w:r>
        <w:rPr>
          <w:spacing w:val="-5"/>
        </w:rPr>
        <w:t xml:space="preserve"> </w:t>
      </w:r>
      <w:r>
        <w:t>Holding</w:t>
      </w:r>
      <w:r>
        <w:rPr>
          <w:spacing w:val="-2"/>
        </w:rPr>
        <w:t xml:space="preserve"> </w:t>
      </w:r>
      <w:r>
        <w:t>Company</w:t>
      </w:r>
      <w:r>
        <w:tab/>
        <w:t>Delaware</w:t>
      </w:r>
    </w:p>
    <w:p w14:paraId="7326D543" w14:textId="77777777" w:rsidR="00EF3DFB" w:rsidRDefault="00D27C17">
      <w:pPr>
        <w:pStyle w:val="BodyText"/>
        <w:tabs>
          <w:tab w:val="left" w:pos="7427"/>
        </w:tabs>
        <w:spacing w:before="85"/>
        <w:ind w:left="872"/>
      </w:pPr>
      <w:r>
        <w:t>Sanford</w:t>
      </w:r>
      <w:r>
        <w:rPr>
          <w:spacing w:val="-2"/>
        </w:rPr>
        <w:t xml:space="preserve"> </w:t>
      </w:r>
      <w:r>
        <w:t>Holding</w:t>
      </w:r>
      <w:r>
        <w:rPr>
          <w:spacing w:val="-2"/>
        </w:rPr>
        <w:t xml:space="preserve"> </w:t>
      </w:r>
      <w:r>
        <w:t>LLC</w:t>
      </w:r>
      <w:r>
        <w:tab/>
        <w:t>Delaware</w:t>
      </w:r>
    </w:p>
    <w:p w14:paraId="7326D544" w14:textId="77777777" w:rsidR="00EF3DFB" w:rsidRDefault="00D27C17">
      <w:pPr>
        <w:pStyle w:val="BodyText"/>
        <w:tabs>
          <w:tab w:val="left" w:pos="7427"/>
        </w:tabs>
        <w:spacing w:before="85"/>
        <w:ind w:left="872"/>
      </w:pPr>
      <w:r>
        <w:t>Sanford,</w:t>
      </w:r>
      <w:r>
        <w:rPr>
          <w:spacing w:val="-2"/>
        </w:rPr>
        <w:t xml:space="preserve"> </w:t>
      </w:r>
      <w:r>
        <w:t>L.P.</w:t>
      </w:r>
      <w:r>
        <w:tab/>
        <w:t>Illinois</w:t>
      </w:r>
    </w:p>
    <w:p w14:paraId="7326D545" w14:textId="77777777" w:rsidR="00EF3DFB" w:rsidRDefault="00D27C17">
      <w:pPr>
        <w:pStyle w:val="BodyText"/>
        <w:tabs>
          <w:tab w:val="left" w:pos="7427"/>
        </w:tabs>
        <w:spacing w:before="85"/>
        <w:ind w:left="872"/>
      </w:pPr>
      <w:r>
        <w:t>Sevca,</w:t>
      </w:r>
      <w:r>
        <w:rPr>
          <w:spacing w:val="-2"/>
        </w:rPr>
        <w:t xml:space="preserve"> </w:t>
      </w:r>
      <w:r>
        <w:t>LLC</w:t>
      </w:r>
      <w:r>
        <w:tab/>
        <w:t>Delaware</w:t>
      </w:r>
    </w:p>
    <w:p w14:paraId="7326D546" w14:textId="77777777" w:rsidR="00EF3DFB" w:rsidRDefault="00D27C17">
      <w:pPr>
        <w:pStyle w:val="BodyText"/>
        <w:tabs>
          <w:tab w:val="left" w:pos="7427"/>
        </w:tabs>
        <w:spacing w:before="85"/>
        <w:ind w:left="872"/>
      </w:pPr>
      <w:r>
        <w:t>Shakespeare Conductive</w:t>
      </w:r>
      <w:r>
        <w:rPr>
          <w:spacing w:val="-8"/>
        </w:rPr>
        <w:t xml:space="preserve"> </w:t>
      </w:r>
      <w:r>
        <w:t>Fibers,</w:t>
      </w:r>
      <w:r>
        <w:rPr>
          <w:spacing w:val="-4"/>
        </w:rPr>
        <w:t xml:space="preserve"> </w:t>
      </w:r>
      <w:r>
        <w:t>LLC</w:t>
      </w:r>
      <w:r>
        <w:tab/>
        <w:t>Delaware</w:t>
      </w:r>
    </w:p>
    <w:p w14:paraId="7326D547" w14:textId="77777777" w:rsidR="00EF3DFB" w:rsidRDefault="00D27C17">
      <w:pPr>
        <w:pStyle w:val="BodyText"/>
        <w:tabs>
          <w:tab w:val="left" w:pos="7427"/>
        </w:tabs>
        <w:spacing w:before="85"/>
        <w:ind w:left="872"/>
      </w:pPr>
      <w:r>
        <w:t>SI</w:t>
      </w:r>
      <w:r>
        <w:rPr>
          <w:spacing w:val="-1"/>
        </w:rPr>
        <w:t xml:space="preserve"> </w:t>
      </w:r>
      <w:r>
        <w:t>II,</w:t>
      </w:r>
      <w:r>
        <w:rPr>
          <w:spacing w:val="-1"/>
        </w:rPr>
        <w:t xml:space="preserve"> </w:t>
      </w:r>
      <w:r>
        <w:t>Inc.</w:t>
      </w:r>
      <w:r>
        <w:tab/>
        <w:t>Florida</w:t>
      </w:r>
    </w:p>
    <w:p w14:paraId="7326D548" w14:textId="77777777" w:rsidR="00EF3DFB" w:rsidRDefault="00D27C17">
      <w:pPr>
        <w:pStyle w:val="BodyText"/>
        <w:tabs>
          <w:tab w:val="left" w:pos="7427"/>
        </w:tabs>
        <w:spacing w:before="85"/>
        <w:ind w:left="872"/>
      </w:pPr>
      <w:r>
        <w:t>Sitca</w:t>
      </w:r>
      <w:r>
        <w:rPr>
          <w:spacing w:val="-3"/>
        </w:rPr>
        <w:t xml:space="preserve"> </w:t>
      </w:r>
      <w:r>
        <w:t>LLC</w:t>
      </w:r>
      <w:r>
        <w:tab/>
        <w:t>Washington</w:t>
      </w:r>
    </w:p>
    <w:p w14:paraId="7326D549" w14:textId="77777777" w:rsidR="00EF3DFB" w:rsidRDefault="00D27C17">
      <w:pPr>
        <w:pStyle w:val="BodyText"/>
        <w:tabs>
          <w:tab w:val="left" w:pos="7427"/>
        </w:tabs>
        <w:spacing w:before="85"/>
        <w:ind w:left="872"/>
      </w:pPr>
      <w:r>
        <w:t>Smith Mountain</w:t>
      </w:r>
      <w:r>
        <w:rPr>
          <w:spacing w:val="-6"/>
        </w:rPr>
        <w:t xml:space="preserve"> </w:t>
      </w:r>
      <w:r>
        <w:t>Industries,</w:t>
      </w:r>
      <w:r>
        <w:rPr>
          <w:spacing w:val="-3"/>
        </w:rPr>
        <w:t xml:space="preserve"> </w:t>
      </w:r>
      <w:r>
        <w:t>Inc.</w:t>
      </w:r>
      <w:r>
        <w:tab/>
        <w:t>Delaware</w:t>
      </w:r>
    </w:p>
    <w:p w14:paraId="7326D54A" w14:textId="77777777" w:rsidR="00EF3DFB" w:rsidRDefault="00D27C17">
      <w:pPr>
        <w:pStyle w:val="BodyText"/>
        <w:tabs>
          <w:tab w:val="left" w:pos="7427"/>
        </w:tabs>
        <w:spacing w:before="85"/>
        <w:ind w:left="872"/>
      </w:pPr>
      <w:r>
        <w:t>Stuhlbarg International Sales</w:t>
      </w:r>
      <w:r>
        <w:rPr>
          <w:spacing w:val="-11"/>
        </w:rPr>
        <w:t xml:space="preserve"> </w:t>
      </w:r>
      <w:r>
        <w:t>Company,</w:t>
      </w:r>
      <w:r>
        <w:rPr>
          <w:spacing w:val="-3"/>
        </w:rPr>
        <w:t xml:space="preserve"> </w:t>
      </w:r>
      <w:r>
        <w:t>Inc.</w:t>
      </w:r>
      <w:r>
        <w:tab/>
        <w:t>California</w:t>
      </w:r>
    </w:p>
    <w:p w14:paraId="7326D54B" w14:textId="77777777" w:rsidR="00EF3DFB" w:rsidRDefault="00D27C17">
      <w:pPr>
        <w:pStyle w:val="BodyText"/>
        <w:tabs>
          <w:tab w:val="left" w:pos="7427"/>
        </w:tabs>
        <w:spacing w:before="86"/>
        <w:ind w:left="872"/>
      </w:pPr>
      <w:r>
        <w:t>Sunbeam Americas</w:t>
      </w:r>
      <w:r>
        <w:rPr>
          <w:spacing w:val="-8"/>
        </w:rPr>
        <w:t xml:space="preserve"> </w:t>
      </w:r>
      <w:r>
        <w:t>Holdings,</w:t>
      </w:r>
      <w:r>
        <w:rPr>
          <w:spacing w:val="-3"/>
        </w:rPr>
        <w:t xml:space="preserve"> </w:t>
      </w:r>
      <w:r>
        <w:t>LLC</w:t>
      </w:r>
      <w:r>
        <w:tab/>
        <w:t>Delaware</w:t>
      </w:r>
    </w:p>
    <w:p w14:paraId="7326D54C" w14:textId="77777777" w:rsidR="00EF3DFB" w:rsidRDefault="00D27C17">
      <w:pPr>
        <w:pStyle w:val="BodyText"/>
        <w:tabs>
          <w:tab w:val="left" w:pos="7427"/>
        </w:tabs>
        <w:spacing w:before="85"/>
        <w:ind w:left="872"/>
      </w:pPr>
      <w:r>
        <w:t>Sunbeam Diversified</w:t>
      </w:r>
      <w:r>
        <w:rPr>
          <w:spacing w:val="-7"/>
        </w:rPr>
        <w:t xml:space="preserve"> </w:t>
      </w:r>
      <w:r>
        <w:t>Holdings</w:t>
      </w:r>
      <w:r>
        <w:rPr>
          <w:spacing w:val="-4"/>
        </w:rPr>
        <w:t xml:space="preserve"> </w:t>
      </w:r>
      <w:r>
        <w:t>LLC</w:t>
      </w:r>
      <w:r>
        <w:tab/>
        <w:t>Florida</w:t>
      </w:r>
    </w:p>
    <w:p w14:paraId="7326D54D" w14:textId="77777777" w:rsidR="00EF3DFB" w:rsidRDefault="00D27C17">
      <w:pPr>
        <w:pStyle w:val="BodyText"/>
        <w:tabs>
          <w:tab w:val="left" w:pos="7427"/>
        </w:tabs>
        <w:spacing w:before="85"/>
        <w:ind w:left="872"/>
      </w:pPr>
      <w:r>
        <w:t>Sunbeam Latin</w:t>
      </w:r>
      <w:r>
        <w:rPr>
          <w:spacing w:val="-7"/>
        </w:rPr>
        <w:t xml:space="preserve"> </w:t>
      </w:r>
      <w:r>
        <w:t>America,</w:t>
      </w:r>
      <w:r>
        <w:rPr>
          <w:spacing w:val="-3"/>
        </w:rPr>
        <w:t xml:space="preserve"> </w:t>
      </w:r>
      <w:r>
        <w:t>LLC</w:t>
      </w:r>
      <w:r>
        <w:tab/>
        <w:t>Delaware</w:t>
      </w:r>
    </w:p>
    <w:p w14:paraId="7326D54E" w14:textId="77777777" w:rsidR="00EF3DFB" w:rsidRDefault="00D27C17">
      <w:pPr>
        <w:pStyle w:val="BodyText"/>
        <w:tabs>
          <w:tab w:val="left" w:pos="7427"/>
        </w:tabs>
        <w:spacing w:before="85"/>
        <w:ind w:left="872"/>
      </w:pPr>
      <w:r>
        <w:t>Sunbeam</w:t>
      </w:r>
      <w:r>
        <w:rPr>
          <w:spacing w:val="-3"/>
        </w:rPr>
        <w:t xml:space="preserve"> </w:t>
      </w:r>
      <w:r>
        <w:t>Products,</w:t>
      </w:r>
      <w:r>
        <w:rPr>
          <w:spacing w:val="-2"/>
        </w:rPr>
        <w:t xml:space="preserve"> </w:t>
      </w:r>
      <w:r>
        <w:t>Inc.</w:t>
      </w:r>
      <w:r>
        <w:tab/>
        <w:t>Delaware</w:t>
      </w:r>
    </w:p>
    <w:p w14:paraId="7326D54F" w14:textId="77777777" w:rsidR="00EF3DFB" w:rsidRDefault="00D27C17">
      <w:pPr>
        <w:pStyle w:val="BodyText"/>
        <w:tabs>
          <w:tab w:val="left" w:pos="7427"/>
        </w:tabs>
        <w:spacing w:before="85"/>
        <w:ind w:left="872"/>
      </w:pPr>
      <w:r>
        <w:t>Temrac</w:t>
      </w:r>
      <w:r>
        <w:rPr>
          <w:spacing w:val="-3"/>
        </w:rPr>
        <w:t xml:space="preserve"> </w:t>
      </w:r>
      <w:r>
        <w:t>Company,</w:t>
      </w:r>
      <w:r>
        <w:rPr>
          <w:spacing w:val="-2"/>
        </w:rPr>
        <w:t xml:space="preserve"> </w:t>
      </w:r>
      <w:r>
        <w:t>Inc.</w:t>
      </w:r>
      <w:r>
        <w:tab/>
        <w:t>New</w:t>
      </w:r>
      <w:r>
        <w:rPr>
          <w:spacing w:val="-2"/>
        </w:rPr>
        <w:t xml:space="preserve"> </w:t>
      </w:r>
      <w:r>
        <w:t>Jersey</w:t>
      </w:r>
    </w:p>
    <w:p w14:paraId="7326D550" w14:textId="77777777" w:rsidR="00EF3DFB" w:rsidRDefault="00D27C17">
      <w:pPr>
        <w:pStyle w:val="BodyText"/>
        <w:tabs>
          <w:tab w:val="left" w:pos="7427"/>
        </w:tabs>
        <w:spacing w:before="85"/>
        <w:ind w:left="872"/>
      </w:pPr>
      <w:r>
        <w:t>Terbal</w:t>
      </w:r>
      <w:r>
        <w:rPr>
          <w:spacing w:val="-4"/>
        </w:rPr>
        <w:t xml:space="preserve"> </w:t>
      </w:r>
      <w:r>
        <w:t>Corporation</w:t>
      </w:r>
      <w:r>
        <w:tab/>
        <w:t>D</w:t>
      </w:r>
      <w:r>
        <w:t>elaware</w:t>
      </w:r>
    </w:p>
    <w:p w14:paraId="7326D551" w14:textId="77777777" w:rsidR="00EF3DFB" w:rsidRDefault="00D27C17">
      <w:pPr>
        <w:pStyle w:val="BodyText"/>
        <w:tabs>
          <w:tab w:val="left" w:pos="7427"/>
        </w:tabs>
        <w:spacing w:before="85"/>
        <w:ind w:left="872"/>
      </w:pPr>
      <w:r>
        <w:t>Teutonia</w:t>
      </w:r>
      <w:r>
        <w:rPr>
          <w:spacing w:val="-3"/>
        </w:rPr>
        <w:t xml:space="preserve"> </w:t>
      </w:r>
      <w:r>
        <w:t>USA</w:t>
      </w:r>
      <w:r>
        <w:rPr>
          <w:spacing w:val="-3"/>
        </w:rPr>
        <w:t xml:space="preserve"> </w:t>
      </w:r>
      <w:r>
        <w:t>LLC</w:t>
      </w:r>
      <w:r>
        <w:tab/>
        <w:t>Delaware</w:t>
      </w:r>
    </w:p>
    <w:p w14:paraId="7326D552" w14:textId="77777777" w:rsidR="00EF3DFB" w:rsidRDefault="00D27C17">
      <w:pPr>
        <w:pStyle w:val="BodyText"/>
        <w:tabs>
          <w:tab w:val="left" w:pos="7427"/>
        </w:tabs>
        <w:spacing w:before="85"/>
        <w:ind w:left="872"/>
      </w:pPr>
      <w:r>
        <w:t>The Coleman</w:t>
      </w:r>
      <w:r>
        <w:rPr>
          <w:spacing w:val="-5"/>
        </w:rPr>
        <w:t xml:space="preserve"> </w:t>
      </w:r>
      <w:r>
        <w:t>Company,</w:t>
      </w:r>
      <w:r>
        <w:rPr>
          <w:spacing w:val="-2"/>
        </w:rPr>
        <w:t xml:space="preserve"> </w:t>
      </w:r>
      <w:r>
        <w:t>Inc.</w:t>
      </w:r>
      <w:r>
        <w:tab/>
        <w:t>Delaware</w:t>
      </w:r>
    </w:p>
    <w:p w14:paraId="7326D553" w14:textId="77777777" w:rsidR="00EF3DFB" w:rsidRDefault="00D27C17">
      <w:pPr>
        <w:pStyle w:val="BodyText"/>
        <w:tabs>
          <w:tab w:val="left" w:pos="7427"/>
        </w:tabs>
        <w:spacing w:before="85"/>
        <w:ind w:left="872"/>
      </w:pPr>
      <w:r>
        <w:t>The Newell Brands</w:t>
      </w:r>
      <w:r>
        <w:rPr>
          <w:spacing w:val="-12"/>
        </w:rPr>
        <w:t xml:space="preserve"> </w:t>
      </w:r>
      <w:r>
        <w:t>Charitable</w:t>
      </w:r>
      <w:r>
        <w:rPr>
          <w:spacing w:val="-4"/>
        </w:rPr>
        <w:t xml:space="preserve"> </w:t>
      </w:r>
      <w:r>
        <w:t>Foundation</w:t>
      </w:r>
      <w:r>
        <w:tab/>
        <w:t>Delaware</w:t>
      </w:r>
    </w:p>
    <w:p w14:paraId="7326D554" w14:textId="77777777" w:rsidR="00EF3DFB" w:rsidRDefault="00D27C17">
      <w:pPr>
        <w:pStyle w:val="BodyText"/>
        <w:tabs>
          <w:tab w:val="left" w:pos="7427"/>
        </w:tabs>
        <w:spacing w:before="85"/>
        <w:ind w:left="872"/>
      </w:pPr>
      <w:r>
        <w:t>The Yankee Candle</w:t>
      </w:r>
      <w:r>
        <w:rPr>
          <w:spacing w:val="-9"/>
        </w:rPr>
        <w:t xml:space="preserve"> </w:t>
      </w:r>
      <w:r>
        <w:t>Company,</w:t>
      </w:r>
      <w:r>
        <w:rPr>
          <w:spacing w:val="-2"/>
        </w:rPr>
        <w:t xml:space="preserve"> </w:t>
      </w:r>
      <w:r>
        <w:t>Inc.</w:t>
      </w:r>
      <w:r>
        <w:tab/>
        <w:t>Massachusetts</w:t>
      </w:r>
    </w:p>
    <w:p w14:paraId="7326D555" w14:textId="77777777" w:rsidR="00EF3DFB" w:rsidRDefault="00D27C17">
      <w:pPr>
        <w:pStyle w:val="BodyText"/>
        <w:tabs>
          <w:tab w:val="left" w:pos="7427"/>
        </w:tabs>
        <w:spacing w:before="85"/>
        <w:ind w:left="872"/>
      </w:pPr>
      <w:r>
        <w:t>THL-FA</w:t>
      </w:r>
      <w:r>
        <w:rPr>
          <w:spacing w:val="-3"/>
        </w:rPr>
        <w:t xml:space="preserve"> </w:t>
      </w:r>
      <w:r>
        <w:t>IP</w:t>
      </w:r>
      <w:r>
        <w:rPr>
          <w:spacing w:val="-3"/>
        </w:rPr>
        <w:t xml:space="preserve"> </w:t>
      </w:r>
      <w:r>
        <w:t>Corp.</w:t>
      </w:r>
      <w:r>
        <w:tab/>
        <w:t>Delaware</w:t>
      </w:r>
    </w:p>
    <w:p w14:paraId="7326D556" w14:textId="77777777" w:rsidR="00EF3DFB" w:rsidRDefault="00D27C17">
      <w:pPr>
        <w:pStyle w:val="BodyText"/>
        <w:tabs>
          <w:tab w:val="left" w:pos="7427"/>
        </w:tabs>
        <w:spacing w:before="85"/>
        <w:ind w:left="872"/>
      </w:pPr>
      <w:r>
        <w:t>Visant</w:t>
      </w:r>
      <w:r>
        <w:rPr>
          <w:spacing w:val="-4"/>
        </w:rPr>
        <w:t xml:space="preserve"> </w:t>
      </w:r>
      <w:r>
        <w:t>Company,</w:t>
      </w:r>
      <w:r>
        <w:rPr>
          <w:spacing w:val="-3"/>
        </w:rPr>
        <w:t xml:space="preserve"> </w:t>
      </w:r>
      <w:r>
        <w:t>LLC</w:t>
      </w:r>
      <w:r>
        <w:tab/>
        <w:t>Delaware</w:t>
      </w:r>
    </w:p>
    <w:p w14:paraId="7326D557" w14:textId="77777777" w:rsidR="00EF3DFB" w:rsidRDefault="00D27C17">
      <w:pPr>
        <w:pStyle w:val="BodyText"/>
        <w:tabs>
          <w:tab w:val="left" w:pos="7427"/>
        </w:tabs>
        <w:spacing w:before="85"/>
        <w:ind w:left="872"/>
      </w:pPr>
      <w:r>
        <w:t>Visant Holding</w:t>
      </w:r>
      <w:r>
        <w:rPr>
          <w:spacing w:val="-6"/>
        </w:rPr>
        <w:t xml:space="preserve"> </w:t>
      </w:r>
      <w:r>
        <w:t>Company,</w:t>
      </w:r>
      <w:r>
        <w:rPr>
          <w:spacing w:val="-3"/>
        </w:rPr>
        <w:t xml:space="preserve"> </w:t>
      </w:r>
      <w:r>
        <w:t>LLC</w:t>
      </w:r>
      <w:r>
        <w:tab/>
      </w:r>
      <w:r>
        <w:t>Delaware</w:t>
      </w:r>
    </w:p>
    <w:p w14:paraId="7326D558" w14:textId="77777777" w:rsidR="00EF3DFB" w:rsidRDefault="00D27C17">
      <w:pPr>
        <w:pStyle w:val="BodyText"/>
        <w:tabs>
          <w:tab w:val="left" w:pos="7427"/>
        </w:tabs>
        <w:spacing w:before="85"/>
        <w:ind w:left="872"/>
      </w:pPr>
      <w:r>
        <w:t>Visant Secondary Holdings</w:t>
      </w:r>
      <w:r>
        <w:rPr>
          <w:spacing w:val="-10"/>
        </w:rPr>
        <w:t xml:space="preserve"> </w:t>
      </w:r>
      <w:r>
        <w:t>Company,</w:t>
      </w:r>
      <w:r>
        <w:rPr>
          <w:spacing w:val="-3"/>
        </w:rPr>
        <w:t xml:space="preserve"> </w:t>
      </w:r>
      <w:r>
        <w:t>LLC</w:t>
      </w:r>
      <w:r>
        <w:tab/>
        <w:t>Delaware</w:t>
      </w:r>
    </w:p>
    <w:p w14:paraId="7326D559" w14:textId="77777777" w:rsidR="00EF3DFB" w:rsidRDefault="00EF3DFB">
      <w:pPr>
        <w:sectPr w:rsidR="00EF3DFB">
          <w:footerReference w:type="default" r:id="rId318"/>
          <w:pgSz w:w="12240" w:h="15840"/>
          <w:pgMar w:top="1420" w:right="640" w:bottom="280" w:left="620" w:header="0" w:footer="0" w:gutter="0"/>
          <w:cols w:space="720"/>
        </w:sectPr>
      </w:pPr>
    </w:p>
    <w:p w14:paraId="7326D55A" w14:textId="77777777" w:rsidR="00EF3DFB" w:rsidRDefault="00D27C17">
      <w:pPr>
        <w:pStyle w:val="BodyText"/>
        <w:tabs>
          <w:tab w:val="left" w:pos="7427"/>
        </w:tabs>
        <w:spacing w:before="75"/>
        <w:ind w:left="872"/>
      </w:pPr>
      <w:r>
        <w:lastRenderedPageBreak/>
        <w:t>Woodshaft,</w:t>
      </w:r>
      <w:r>
        <w:rPr>
          <w:spacing w:val="-2"/>
        </w:rPr>
        <w:t xml:space="preserve"> </w:t>
      </w:r>
      <w:r>
        <w:t>Inc.</w:t>
      </w:r>
      <w:r>
        <w:tab/>
        <w:t>Ohio</w:t>
      </w:r>
    </w:p>
    <w:p w14:paraId="7326D55B" w14:textId="77777777" w:rsidR="00EF3DFB" w:rsidRDefault="00D27C17">
      <w:pPr>
        <w:pStyle w:val="BodyText"/>
        <w:tabs>
          <w:tab w:val="left" w:pos="7427"/>
        </w:tabs>
        <w:spacing w:before="85"/>
        <w:ind w:left="872"/>
      </w:pPr>
      <w:r>
        <w:t>X</w:t>
      </w:r>
      <w:r>
        <w:rPr>
          <w:spacing w:val="-3"/>
        </w:rPr>
        <w:t xml:space="preserve"> </w:t>
      </w:r>
      <w:r>
        <w:t>Properties,</w:t>
      </w:r>
      <w:r>
        <w:rPr>
          <w:spacing w:val="-2"/>
        </w:rPr>
        <w:t xml:space="preserve"> </w:t>
      </w:r>
      <w:r>
        <w:t>LLC</w:t>
      </w:r>
      <w:r>
        <w:tab/>
        <w:t>Delaware</w:t>
      </w:r>
    </w:p>
    <w:p w14:paraId="7326D55C" w14:textId="77777777" w:rsidR="00EF3DFB" w:rsidRDefault="00D27C17">
      <w:pPr>
        <w:pStyle w:val="BodyText"/>
        <w:tabs>
          <w:tab w:val="left" w:pos="7427"/>
        </w:tabs>
        <w:spacing w:before="85"/>
        <w:ind w:left="872"/>
      </w:pPr>
      <w:r>
        <w:t>Yankee Candle</w:t>
      </w:r>
      <w:r>
        <w:rPr>
          <w:spacing w:val="-7"/>
        </w:rPr>
        <w:t xml:space="preserve"> </w:t>
      </w:r>
      <w:r>
        <w:t>Admin</w:t>
      </w:r>
      <w:r>
        <w:rPr>
          <w:spacing w:val="-3"/>
        </w:rPr>
        <w:t xml:space="preserve"> </w:t>
      </w:r>
      <w:r>
        <w:t>LLC</w:t>
      </w:r>
      <w:r>
        <w:tab/>
        <w:t>Virginia</w:t>
      </w:r>
    </w:p>
    <w:p w14:paraId="7326D55D" w14:textId="77777777" w:rsidR="00EF3DFB" w:rsidRDefault="00D27C17">
      <w:pPr>
        <w:pStyle w:val="BodyText"/>
        <w:tabs>
          <w:tab w:val="left" w:pos="7427"/>
        </w:tabs>
        <w:spacing w:before="85"/>
        <w:ind w:left="872"/>
      </w:pPr>
      <w:r>
        <w:t>Yankee Candle</w:t>
      </w:r>
      <w:r>
        <w:rPr>
          <w:spacing w:val="-8"/>
        </w:rPr>
        <w:t xml:space="preserve"> </w:t>
      </w:r>
      <w:r>
        <w:t>Investments</w:t>
      </w:r>
      <w:r>
        <w:rPr>
          <w:spacing w:val="-4"/>
        </w:rPr>
        <w:t xml:space="preserve"> </w:t>
      </w:r>
      <w:r>
        <w:t>LLC</w:t>
      </w:r>
      <w:r>
        <w:tab/>
        <w:t>Delaware</w:t>
      </w:r>
    </w:p>
    <w:p w14:paraId="7326D55E" w14:textId="77777777" w:rsidR="00EF3DFB" w:rsidRDefault="00D27C17">
      <w:pPr>
        <w:pStyle w:val="BodyText"/>
        <w:tabs>
          <w:tab w:val="left" w:pos="7427"/>
        </w:tabs>
        <w:spacing w:before="85"/>
        <w:ind w:left="872"/>
      </w:pPr>
      <w:r>
        <w:t>Yankee Candle</w:t>
      </w:r>
      <w:r>
        <w:rPr>
          <w:spacing w:val="-7"/>
        </w:rPr>
        <w:t xml:space="preserve"> </w:t>
      </w:r>
      <w:r>
        <w:t>Restaurant</w:t>
      </w:r>
      <w:r>
        <w:rPr>
          <w:spacing w:val="-4"/>
        </w:rPr>
        <w:t xml:space="preserve"> </w:t>
      </w:r>
      <w:r>
        <w:t>Corp.</w:t>
      </w:r>
      <w:r>
        <w:tab/>
        <w:t>Delaware</w:t>
      </w:r>
    </w:p>
    <w:p w14:paraId="7326D55F" w14:textId="77777777" w:rsidR="00EF3DFB" w:rsidRDefault="00D27C17">
      <w:pPr>
        <w:pStyle w:val="BodyText"/>
        <w:tabs>
          <w:tab w:val="left" w:pos="7427"/>
        </w:tabs>
        <w:spacing w:before="85"/>
        <w:ind w:left="872"/>
      </w:pPr>
      <w:r>
        <w:t>YCC Development</w:t>
      </w:r>
      <w:r>
        <w:rPr>
          <w:spacing w:val="-7"/>
        </w:rPr>
        <w:t xml:space="preserve"> </w:t>
      </w:r>
      <w:r>
        <w:t>Company</w:t>
      </w:r>
      <w:r>
        <w:rPr>
          <w:spacing w:val="-3"/>
        </w:rPr>
        <w:t xml:space="preserve"> </w:t>
      </w:r>
      <w:r>
        <w:t>LLC</w:t>
      </w:r>
      <w:r>
        <w:tab/>
        <w:t>Delaware</w:t>
      </w:r>
    </w:p>
    <w:p w14:paraId="7326D560" w14:textId="77777777" w:rsidR="00EF3DFB" w:rsidRDefault="00D27C17">
      <w:pPr>
        <w:pStyle w:val="BodyText"/>
        <w:tabs>
          <w:tab w:val="left" w:pos="7427"/>
        </w:tabs>
        <w:spacing w:before="85"/>
        <w:ind w:left="872"/>
      </w:pPr>
      <w:r>
        <w:t>YCCD</w:t>
      </w:r>
      <w:r>
        <w:rPr>
          <w:spacing w:val="-4"/>
        </w:rPr>
        <w:t xml:space="preserve"> </w:t>
      </w:r>
      <w:r>
        <w:t>Management,</w:t>
      </w:r>
      <w:r>
        <w:rPr>
          <w:spacing w:val="-3"/>
        </w:rPr>
        <w:t xml:space="preserve"> </w:t>
      </w:r>
      <w:r>
        <w:t>LLC</w:t>
      </w:r>
      <w:r>
        <w:tab/>
        <w:t>Delaware</w:t>
      </w:r>
    </w:p>
    <w:p w14:paraId="7326D561" w14:textId="77777777" w:rsidR="00EF3DFB" w:rsidRDefault="00D27C17">
      <w:pPr>
        <w:pStyle w:val="BodyText"/>
        <w:tabs>
          <w:tab w:val="left" w:pos="7427"/>
        </w:tabs>
        <w:spacing w:before="85"/>
        <w:ind w:left="872"/>
      </w:pPr>
      <w:r>
        <w:t>Allegre</w:t>
      </w:r>
      <w:r>
        <w:rPr>
          <w:spacing w:val="-4"/>
        </w:rPr>
        <w:t xml:space="preserve"> </w:t>
      </w:r>
      <w:r>
        <w:t>Puériculture</w:t>
      </w:r>
      <w:r>
        <w:rPr>
          <w:spacing w:val="-4"/>
        </w:rPr>
        <w:t xml:space="preserve"> </w:t>
      </w:r>
      <w:r>
        <w:t>S.A.S.</w:t>
      </w:r>
      <w:r>
        <w:tab/>
        <w:t>France</w:t>
      </w:r>
    </w:p>
    <w:p w14:paraId="7326D562" w14:textId="77777777" w:rsidR="00EF3DFB" w:rsidRDefault="00D27C17">
      <w:pPr>
        <w:pStyle w:val="BodyText"/>
        <w:tabs>
          <w:tab w:val="left" w:pos="7427"/>
        </w:tabs>
        <w:spacing w:before="85"/>
        <w:ind w:left="872"/>
      </w:pPr>
      <w:r>
        <w:t>Alltrista</w:t>
      </w:r>
      <w:r>
        <w:rPr>
          <w:spacing w:val="-5"/>
        </w:rPr>
        <w:t xml:space="preserve"> </w:t>
      </w:r>
      <w:r>
        <w:t>Limited</w:t>
      </w:r>
      <w:r>
        <w:tab/>
        <w:t>Canada</w:t>
      </w:r>
    </w:p>
    <w:p w14:paraId="7326D563" w14:textId="77777777" w:rsidR="00EF3DFB" w:rsidRDefault="00D27C17">
      <w:pPr>
        <w:pStyle w:val="BodyText"/>
        <w:tabs>
          <w:tab w:val="left" w:pos="7427"/>
        </w:tabs>
        <w:spacing w:before="85"/>
        <w:ind w:left="872"/>
      </w:pPr>
      <w:r>
        <w:t>American Tool Companies</w:t>
      </w:r>
      <w:r>
        <w:rPr>
          <w:spacing w:val="-10"/>
        </w:rPr>
        <w:t xml:space="preserve"> </w:t>
      </w:r>
      <w:r>
        <w:t>Holding</w:t>
      </w:r>
      <w:r>
        <w:rPr>
          <w:spacing w:val="-3"/>
        </w:rPr>
        <w:t xml:space="preserve"> </w:t>
      </w:r>
      <w:r>
        <w:t>B.V.</w:t>
      </w:r>
      <w:r>
        <w:tab/>
        <w:t>Netherlands</w:t>
      </w:r>
    </w:p>
    <w:p w14:paraId="7326D564" w14:textId="77777777" w:rsidR="00EF3DFB" w:rsidRDefault="00D27C17">
      <w:pPr>
        <w:pStyle w:val="BodyText"/>
        <w:tabs>
          <w:tab w:val="left" w:pos="7427"/>
        </w:tabs>
        <w:spacing w:before="85"/>
        <w:ind w:left="872"/>
      </w:pPr>
      <w:r>
        <w:t>Aparatos Electronicos de Saltillo, S.A.</w:t>
      </w:r>
      <w:r>
        <w:rPr>
          <w:spacing w:val="-17"/>
        </w:rPr>
        <w:t xml:space="preserve"> </w:t>
      </w:r>
      <w:r>
        <w:t>de</w:t>
      </w:r>
      <w:r>
        <w:rPr>
          <w:spacing w:val="-4"/>
        </w:rPr>
        <w:t xml:space="preserve"> </w:t>
      </w:r>
      <w:r>
        <w:t>C.V.</w:t>
      </w:r>
      <w:r>
        <w:tab/>
        <w:t>Mexico</w:t>
      </w:r>
    </w:p>
    <w:p w14:paraId="7326D565" w14:textId="77777777" w:rsidR="00EF3DFB" w:rsidRDefault="00D27C17">
      <w:pPr>
        <w:pStyle w:val="BodyText"/>
        <w:tabs>
          <w:tab w:val="left" w:pos="7427"/>
        </w:tabs>
        <w:spacing w:before="85"/>
        <w:ind w:left="872"/>
      </w:pPr>
      <w:r>
        <w:t>Application des</w:t>
      </w:r>
      <w:r>
        <w:rPr>
          <w:spacing w:val="-6"/>
        </w:rPr>
        <w:t xml:space="preserve"> </w:t>
      </w:r>
      <w:r>
        <w:t>Gaz</w:t>
      </w:r>
      <w:r>
        <w:rPr>
          <w:spacing w:val="-4"/>
        </w:rPr>
        <w:t xml:space="preserve"> </w:t>
      </w:r>
      <w:r>
        <w:t>S.A.S.</w:t>
      </w:r>
      <w:r>
        <w:tab/>
        <w:t>France</w:t>
      </w:r>
    </w:p>
    <w:p w14:paraId="7326D566" w14:textId="77777777" w:rsidR="00EF3DFB" w:rsidRDefault="00D27C17">
      <w:pPr>
        <w:pStyle w:val="BodyText"/>
        <w:tabs>
          <w:tab w:val="left" w:pos="7427"/>
        </w:tabs>
        <w:spacing w:before="85"/>
        <w:ind w:left="872"/>
      </w:pPr>
      <w:r>
        <w:t>Aprica (Shanghai) Trading</w:t>
      </w:r>
      <w:r>
        <w:rPr>
          <w:spacing w:val="-8"/>
        </w:rPr>
        <w:t xml:space="preserve"> </w:t>
      </w:r>
      <w:r>
        <w:t>Co.,</w:t>
      </w:r>
      <w:r>
        <w:rPr>
          <w:spacing w:val="-3"/>
        </w:rPr>
        <w:t xml:space="preserve"> </w:t>
      </w:r>
      <w:r>
        <w:t>Ltd.</w:t>
      </w:r>
      <w:r>
        <w:tab/>
        <w:t>China</w:t>
      </w:r>
    </w:p>
    <w:p w14:paraId="7326D567" w14:textId="77777777" w:rsidR="00EF3DFB" w:rsidRDefault="00D27C17">
      <w:pPr>
        <w:pStyle w:val="BodyText"/>
        <w:tabs>
          <w:tab w:val="left" w:pos="7427"/>
        </w:tabs>
        <w:spacing w:before="85"/>
        <w:ind w:left="872"/>
      </w:pPr>
      <w:r>
        <w:t>Aprica</w:t>
      </w:r>
      <w:r>
        <w:rPr>
          <w:spacing w:val="-3"/>
        </w:rPr>
        <w:t xml:space="preserve"> </w:t>
      </w:r>
      <w:r>
        <w:t>(Zhongshan)</w:t>
      </w:r>
      <w:r>
        <w:rPr>
          <w:spacing w:val="-2"/>
        </w:rPr>
        <w:t xml:space="preserve"> </w:t>
      </w:r>
      <w:r>
        <w:t>Ltd.</w:t>
      </w:r>
      <w:r>
        <w:tab/>
        <w:t>China</w:t>
      </w:r>
    </w:p>
    <w:p w14:paraId="7326D568" w14:textId="77777777" w:rsidR="00EF3DFB" w:rsidRDefault="00D27C17">
      <w:pPr>
        <w:pStyle w:val="BodyText"/>
        <w:tabs>
          <w:tab w:val="left" w:pos="7427"/>
        </w:tabs>
        <w:spacing w:before="85" w:line="328" w:lineRule="auto"/>
        <w:ind w:left="872" w:right="2951"/>
      </w:pPr>
      <w:r>
        <w:t>Aprica Childcare Institute - Aprica Ikuji Kenkyusho</w:t>
      </w:r>
      <w:r>
        <w:rPr>
          <w:spacing w:val="-24"/>
        </w:rPr>
        <w:t xml:space="preserve"> </w:t>
      </w:r>
      <w:r>
        <w:t>Kabushiki</w:t>
      </w:r>
      <w:r>
        <w:rPr>
          <w:spacing w:val="-4"/>
        </w:rPr>
        <w:t xml:space="preserve"> </w:t>
      </w:r>
      <w:r>
        <w:t>Kaisha</w:t>
      </w:r>
      <w:r>
        <w:tab/>
        <w:t>Japan Bernardin</w:t>
      </w:r>
      <w:r>
        <w:rPr>
          <w:spacing w:val="-2"/>
        </w:rPr>
        <w:t xml:space="preserve"> </w:t>
      </w:r>
      <w:r>
        <w:t>Ltd.</w:t>
      </w:r>
      <w:r>
        <w:tab/>
        <w:t>Canada</w:t>
      </w:r>
    </w:p>
    <w:p w14:paraId="7326D569" w14:textId="77777777" w:rsidR="00EF3DFB" w:rsidRDefault="00D27C17">
      <w:pPr>
        <w:pStyle w:val="BodyText"/>
        <w:tabs>
          <w:tab w:val="left" w:pos="7427"/>
        </w:tabs>
        <w:ind w:left="872"/>
      </w:pPr>
      <w:r>
        <w:t>BRKFA</w:t>
      </w:r>
      <w:r>
        <w:rPr>
          <w:spacing w:val="-5"/>
        </w:rPr>
        <w:t xml:space="preserve"> </w:t>
      </w:r>
      <w:r>
        <w:t>Management</w:t>
      </w:r>
      <w:r>
        <w:rPr>
          <w:spacing w:val="-5"/>
        </w:rPr>
        <w:t xml:space="preserve"> </w:t>
      </w:r>
      <w:r>
        <w:t>Limited</w:t>
      </w:r>
      <w:r>
        <w:tab/>
        <w:t>Canada</w:t>
      </w:r>
    </w:p>
    <w:p w14:paraId="7326D56A" w14:textId="77777777" w:rsidR="00EF3DFB" w:rsidRDefault="00D27C17">
      <w:pPr>
        <w:pStyle w:val="BodyText"/>
        <w:tabs>
          <w:tab w:val="left" w:pos="7427"/>
        </w:tabs>
        <w:spacing w:before="85"/>
        <w:ind w:left="872"/>
      </w:pPr>
      <w:r>
        <w:t>Camping Gaz</w:t>
      </w:r>
      <w:r>
        <w:rPr>
          <w:spacing w:val="-7"/>
        </w:rPr>
        <w:t xml:space="preserve"> </w:t>
      </w:r>
      <w:r>
        <w:t>(Deutschl</w:t>
      </w:r>
      <w:r>
        <w:t>and)</w:t>
      </w:r>
      <w:r>
        <w:rPr>
          <w:spacing w:val="-3"/>
        </w:rPr>
        <w:t xml:space="preserve"> </w:t>
      </w:r>
      <w:r>
        <w:t>GmbH</w:t>
      </w:r>
      <w:r>
        <w:tab/>
        <w:t>Germany</w:t>
      </w:r>
    </w:p>
    <w:p w14:paraId="7326D56B" w14:textId="77777777" w:rsidR="00EF3DFB" w:rsidRDefault="00D27C17">
      <w:pPr>
        <w:pStyle w:val="BodyText"/>
        <w:tabs>
          <w:tab w:val="left" w:pos="7427"/>
        </w:tabs>
        <w:spacing w:before="85"/>
        <w:ind w:left="872"/>
      </w:pPr>
      <w:r>
        <w:t>Camping Gaz</w:t>
      </w:r>
      <w:r>
        <w:rPr>
          <w:spacing w:val="-6"/>
        </w:rPr>
        <w:t xml:space="preserve"> </w:t>
      </w:r>
      <w:r>
        <w:t>(Suisse)</w:t>
      </w:r>
      <w:r>
        <w:rPr>
          <w:spacing w:val="-3"/>
        </w:rPr>
        <w:t xml:space="preserve"> </w:t>
      </w:r>
      <w:r>
        <w:t>SA</w:t>
      </w:r>
      <w:r>
        <w:tab/>
        <w:t>Switzerland</w:t>
      </w:r>
    </w:p>
    <w:p w14:paraId="7326D56C" w14:textId="77777777" w:rsidR="00EF3DFB" w:rsidRDefault="00D27C17">
      <w:pPr>
        <w:pStyle w:val="BodyText"/>
        <w:tabs>
          <w:tab w:val="left" w:pos="7427"/>
        </w:tabs>
        <w:spacing w:before="85"/>
        <w:ind w:left="872"/>
      </w:pPr>
      <w:r>
        <w:t>Camping Gaz</w:t>
      </w:r>
      <w:r>
        <w:rPr>
          <w:spacing w:val="-4"/>
        </w:rPr>
        <w:t xml:space="preserve"> </w:t>
      </w:r>
      <w:r>
        <w:t>CS</w:t>
      </w:r>
      <w:r>
        <w:rPr>
          <w:spacing w:val="-3"/>
        </w:rPr>
        <w:t xml:space="preserve"> </w:t>
      </w:r>
      <w:r>
        <w:t>s.r.o.</w:t>
      </w:r>
      <w:r>
        <w:tab/>
        <w:t>Czech</w:t>
      </w:r>
      <w:r>
        <w:rPr>
          <w:spacing w:val="-1"/>
        </w:rPr>
        <w:t xml:space="preserve"> </w:t>
      </w:r>
      <w:r>
        <w:t>Republic</w:t>
      </w:r>
    </w:p>
    <w:p w14:paraId="7326D56D" w14:textId="77777777" w:rsidR="00EF3DFB" w:rsidRDefault="00D27C17">
      <w:pPr>
        <w:pStyle w:val="BodyText"/>
        <w:tabs>
          <w:tab w:val="left" w:pos="7427"/>
        </w:tabs>
        <w:spacing w:before="85"/>
        <w:ind w:left="872"/>
      </w:pPr>
      <w:r>
        <w:t>Camping Gaz</w:t>
      </w:r>
      <w:r>
        <w:rPr>
          <w:spacing w:val="-6"/>
        </w:rPr>
        <w:t xml:space="preserve"> </w:t>
      </w:r>
      <w:r>
        <w:t>Italia</w:t>
      </w:r>
      <w:r>
        <w:rPr>
          <w:spacing w:val="-4"/>
        </w:rPr>
        <w:t xml:space="preserve"> </w:t>
      </w:r>
      <w:r>
        <w:t>S.r.l.</w:t>
      </w:r>
      <w:r>
        <w:tab/>
        <w:t>Italy</w:t>
      </w:r>
    </w:p>
    <w:p w14:paraId="7326D56E" w14:textId="77777777" w:rsidR="00EF3DFB" w:rsidRDefault="00D27C17">
      <w:pPr>
        <w:pStyle w:val="BodyText"/>
        <w:tabs>
          <w:tab w:val="left" w:pos="7427"/>
        </w:tabs>
        <w:spacing w:before="85"/>
        <w:ind w:left="872"/>
      </w:pPr>
      <w:r>
        <w:t>Cavoma</w:t>
      </w:r>
      <w:r>
        <w:rPr>
          <w:spacing w:val="-3"/>
        </w:rPr>
        <w:t xml:space="preserve"> </w:t>
      </w:r>
      <w:r>
        <w:t>LP</w:t>
      </w:r>
      <w:r>
        <w:tab/>
        <w:t>Cayman</w:t>
      </w:r>
      <w:r>
        <w:rPr>
          <w:spacing w:val="-7"/>
        </w:rPr>
        <w:t xml:space="preserve"> </w:t>
      </w:r>
      <w:r>
        <w:t>Islands</w:t>
      </w:r>
    </w:p>
    <w:p w14:paraId="7326D56F" w14:textId="77777777" w:rsidR="00EF3DFB" w:rsidRDefault="00D27C17">
      <w:pPr>
        <w:pStyle w:val="BodyText"/>
        <w:tabs>
          <w:tab w:val="left" w:pos="7427"/>
        </w:tabs>
        <w:spacing w:before="85"/>
        <w:ind w:left="872"/>
      </w:pPr>
      <w:r>
        <w:t>Cavoma</w:t>
      </w:r>
      <w:r>
        <w:rPr>
          <w:spacing w:val="-3"/>
        </w:rPr>
        <w:t xml:space="preserve"> </w:t>
      </w:r>
      <w:r>
        <w:t>Ltd.</w:t>
      </w:r>
      <w:r>
        <w:tab/>
        <w:t>Cayman</w:t>
      </w:r>
      <w:r>
        <w:rPr>
          <w:spacing w:val="-7"/>
        </w:rPr>
        <w:t xml:space="preserve"> </w:t>
      </w:r>
      <w:r>
        <w:t>Islands</w:t>
      </w:r>
    </w:p>
    <w:p w14:paraId="7326D570" w14:textId="77777777" w:rsidR="00EF3DFB" w:rsidRDefault="00D27C17">
      <w:pPr>
        <w:pStyle w:val="BodyText"/>
        <w:tabs>
          <w:tab w:val="left" w:pos="7427"/>
        </w:tabs>
        <w:spacing w:before="85"/>
        <w:ind w:left="872"/>
      </w:pPr>
      <w:r>
        <w:t>Chiltern</w:t>
      </w:r>
      <w:r>
        <w:rPr>
          <w:spacing w:val="-4"/>
        </w:rPr>
        <w:t xml:space="preserve"> </w:t>
      </w:r>
      <w:r>
        <w:t>Thermoforming</w:t>
      </w:r>
      <w:r>
        <w:rPr>
          <w:spacing w:val="-4"/>
        </w:rPr>
        <w:t xml:space="preserve"> </w:t>
      </w:r>
      <w:r>
        <w:t>Limited</w:t>
      </w:r>
      <w:r>
        <w:tab/>
        <w:t>United</w:t>
      </w:r>
      <w:r>
        <w:rPr>
          <w:spacing w:val="-1"/>
        </w:rPr>
        <w:t xml:space="preserve"> </w:t>
      </w:r>
      <w:r>
        <w:t>Kingdom</w:t>
      </w:r>
    </w:p>
    <w:p w14:paraId="7326D571" w14:textId="77777777" w:rsidR="00EF3DFB" w:rsidRDefault="00D27C17">
      <w:pPr>
        <w:pStyle w:val="BodyText"/>
        <w:tabs>
          <w:tab w:val="left" w:pos="7427"/>
        </w:tabs>
        <w:spacing w:before="85"/>
        <w:ind w:left="872"/>
      </w:pPr>
      <w:r>
        <w:t>Coleman</w:t>
      </w:r>
      <w:r>
        <w:rPr>
          <w:spacing w:val="-4"/>
        </w:rPr>
        <w:t xml:space="preserve"> </w:t>
      </w:r>
      <w:r>
        <w:t>(Deutschland)</w:t>
      </w:r>
      <w:r>
        <w:rPr>
          <w:spacing w:val="-4"/>
        </w:rPr>
        <w:t xml:space="preserve"> </w:t>
      </w:r>
      <w:r>
        <w:t>GmbH</w:t>
      </w:r>
      <w:r>
        <w:tab/>
      </w:r>
      <w:r>
        <w:t>Germany</w:t>
      </w:r>
    </w:p>
    <w:p w14:paraId="7326D572" w14:textId="77777777" w:rsidR="00EF3DFB" w:rsidRDefault="00D27C17">
      <w:pPr>
        <w:pStyle w:val="BodyText"/>
        <w:tabs>
          <w:tab w:val="left" w:pos="7427"/>
        </w:tabs>
        <w:spacing w:before="85"/>
        <w:ind w:left="872"/>
      </w:pPr>
      <w:r>
        <w:t>Coleman</w:t>
      </w:r>
      <w:r>
        <w:rPr>
          <w:spacing w:val="-3"/>
        </w:rPr>
        <w:t xml:space="preserve"> </w:t>
      </w:r>
      <w:r>
        <w:t>Benelux</w:t>
      </w:r>
      <w:r>
        <w:rPr>
          <w:spacing w:val="-3"/>
        </w:rPr>
        <w:t xml:space="preserve"> </w:t>
      </w:r>
      <w:r>
        <w:t>B.V.</w:t>
      </w:r>
      <w:r>
        <w:tab/>
        <w:t>Netherlands</w:t>
      </w:r>
    </w:p>
    <w:p w14:paraId="7326D573" w14:textId="77777777" w:rsidR="00EF3DFB" w:rsidRDefault="00D27C17">
      <w:pPr>
        <w:pStyle w:val="BodyText"/>
        <w:tabs>
          <w:tab w:val="left" w:pos="7427"/>
        </w:tabs>
        <w:spacing w:before="85"/>
        <w:ind w:left="872"/>
      </w:pPr>
      <w:r>
        <w:t>Coleman Benelux</w:t>
      </w:r>
      <w:r>
        <w:rPr>
          <w:spacing w:val="-6"/>
        </w:rPr>
        <w:t xml:space="preserve"> </w:t>
      </w:r>
      <w:r>
        <w:t>Holdings</w:t>
      </w:r>
      <w:r>
        <w:rPr>
          <w:spacing w:val="-4"/>
        </w:rPr>
        <w:t xml:space="preserve"> </w:t>
      </w:r>
      <w:r>
        <w:t>B.V.</w:t>
      </w:r>
      <w:r>
        <w:tab/>
        <w:t>Netherlands</w:t>
      </w:r>
    </w:p>
    <w:p w14:paraId="7326D574" w14:textId="77777777" w:rsidR="00EF3DFB" w:rsidRDefault="00D27C17">
      <w:pPr>
        <w:pStyle w:val="BodyText"/>
        <w:tabs>
          <w:tab w:val="left" w:pos="7427"/>
        </w:tabs>
        <w:spacing w:before="85"/>
        <w:ind w:left="872"/>
      </w:pPr>
      <w:r>
        <w:t>Coleman Brands</w:t>
      </w:r>
      <w:r>
        <w:rPr>
          <w:spacing w:val="-7"/>
        </w:rPr>
        <w:t xml:space="preserve"> </w:t>
      </w:r>
      <w:r>
        <w:t>Pty</w:t>
      </w:r>
      <w:r>
        <w:rPr>
          <w:spacing w:val="-3"/>
        </w:rPr>
        <w:t xml:space="preserve"> </w:t>
      </w:r>
      <w:r>
        <w:t>Limited</w:t>
      </w:r>
      <w:r>
        <w:tab/>
        <w:t>Australia</w:t>
      </w:r>
    </w:p>
    <w:p w14:paraId="7326D575" w14:textId="77777777" w:rsidR="00EF3DFB" w:rsidRDefault="00D27C17">
      <w:pPr>
        <w:pStyle w:val="BodyText"/>
        <w:tabs>
          <w:tab w:val="left" w:pos="7427"/>
        </w:tabs>
        <w:spacing w:before="85"/>
        <w:ind w:left="872"/>
      </w:pPr>
      <w:r>
        <w:t>Coleman</w:t>
      </w:r>
      <w:r>
        <w:rPr>
          <w:spacing w:val="-3"/>
        </w:rPr>
        <w:t xml:space="preserve"> </w:t>
      </w:r>
      <w:r>
        <w:t>EMEA</w:t>
      </w:r>
      <w:r>
        <w:rPr>
          <w:spacing w:val="-4"/>
        </w:rPr>
        <w:t xml:space="preserve"> </w:t>
      </w:r>
      <w:r>
        <w:t>GmbH</w:t>
      </w:r>
      <w:r>
        <w:tab/>
        <w:t>Germany</w:t>
      </w:r>
    </w:p>
    <w:p w14:paraId="7326D576" w14:textId="77777777" w:rsidR="00EF3DFB" w:rsidRDefault="00D27C17">
      <w:pPr>
        <w:pStyle w:val="BodyText"/>
        <w:tabs>
          <w:tab w:val="left" w:pos="7427"/>
        </w:tabs>
        <w:spacing w:before="85"/>
        <w:ind w:left="872"/>
      </w:pPr>
      <w:r>
        <w:t>Coleman Hong</w:t>
      </w:r>
      <w:r>
        <w:rPr>
          <w:spacing w:val="-5"/>
        </w:rPr>
        <w:t xml:space="preserve"> </w:t>
      </w:r>
      <w:r>
        <w:t>Kong</w:t>
      </w:r>
      <w:r>
        <w:rPr>
          <w:spacing w:val="-3"/>
        </w:rPr>
        <w:t xml:space="preserve"> </w:t>
      </w:r>
      <w:r>
        <w:t>Limited</w:t>
      </w:r>
      <w:r>
        <w:tab/>
        <w:t>Hong</w:t>
      </w:r>
      <w:r>
        <w:rPr>
          <w:spacing w:val="-1"/>
        </w:rPr>
        <w:t xml:space="preserve"> </w:t>
      </w:r>
      <w:r>
        <w:t>Kong</w:t>
      </w:r>
    </w:p>
    <w:p w14:paraId="7326D577" w14:textId="77777777" w:rsidR="00EF3DFB" w:rsidRDefault="00D27C17">
      <w:pPr>
        <w:pStyle w:val="BodyText"/>
        <w:tabs>
          <w:tab w:val="left" w:pos="7427"/>
        </w:tabs>
        <w:spacing w:before="85"/>
        <w:ind w:left="872"/>
      </w:pPr>
      <w:r>
        <w:t>Coleman Japan</w:t>
      </w:r>
      <w:r>
        <w:rPr>
          <w:spacing w:val="-5"/>
        </w:rPr>
        <w:t xml:space="preserve"> </w:t>
      </w:r>
      <w:r>
        <w:t>Co.,</w:t>
      </w:r>
      <w:r>
        <w:rPr>
          <w:spacing w:val="-3"/>
        </w:rPr>
        <w:t xml:space="preserve"> </w:t>
      </w:r>
      <w:r>
        <w:t>Ltd.</w:t>
      </w:r>
      <w:r>
        <w:tab/>
        <w:t>Japan</w:t>
      </w:r>
    </w:p>
    <w:p w14:paraId="7326D578" w14:textId="77777777" w:rsidR="00EF3DFB" w:rsidRDefault="00D27C17">
      <w:pPr>
        <w:pStyle w:val="BodyText"/>
        <w:tabs>
          <w:tab w:val="left" w:pos="7427"/>
        </w:tabs>
        <w:spacing w:before="85"/>
        <w:ind w:left="872"/>
      </w:pPr>
      <w:r>
        <w:t>Coleman</w:t>
      </w:r>
      <w:r>
        <w:rPr>
          <w:spacing w:val="-3"/>
        </w:rPr>
        <w:t xml:space="preserve"> </w:t>
      </w:r>
      <w:r>
        <w:t>UK</w:t>
      </w:r>
      <w:r>
        <w:rPr>
          <w:spacing w:val="-4"/>
        </w:rPr>
        <w:t xml:space="preserve"> </w:t>
      </w:r>
      <w:r>
        <w:t>Limited</w:t>
      </w:r>
      <w:r>
        <w:tab/>
        <w:t>United</w:t>
      </w:r>
      <w:r>
        <w:rPr>
          <w:spacing w:val="-1"/>
        </w:rPr>
        <w:t xml:space="preserve"> </w:t>
      </w:r>
      <w:r>
        <w:t>Kingdom</w:t>
      </w:r>
    </w:p>
    <w:p w14:paraId="7326D579" w14:textId="77777777" w:rsidR="00EF3DFB" w:rsidRDefault="00D27C17">
      <w:pPr>
        <w:pStyle w:val="BodyText"/>
        <w:tabs>
          <w:tab w:val="left" w:pos="7427"/>
        </w:tabs>
        <w:spacing w:before="85"/>
        <w:ind w:left="872"/>
      </w:pPr>
      <w:r>
        <w:t xml:space="preserve">Comercial </w:t>
      </w:r>
      <w:r>
        <w:t>Berol, S. A.</w:t>
      </w:r>
      <w:r>
        <w:rPr>
          <w:spacing w:val="-9"/>
        </w:rPr>
        <w:t xml:space="preserve"> </w:t>
      </w:r>
      <w:r>
        <w:t>de</w:t>
      </w:r>
      <w:r>
        <w:rPr>
          <w:spacing w:val="-3"/>
        </w:rPr>
        <w:t xml:space="preserve"> </w:t>
      </w:r>
      <w:r>
        <w:t>C.V.</w:t>
      </w:r>
      <w:r>
        <w:tab/>
        <w:t>Mexico</w:t>
      </w:r>
    </w:p>
    <w:p w14:paraId="7326D57A" w14:textId="77777777" w:rsidR="00EF3DFB" w:rsidRDefault="00D27C17">
      <w:pPr>
        <w:pStyle w:val="BodyText"/>
        <w:tabs>
          <w:tab w:val="left" w:pos="7427"/>
        </w:tabs>
        <w:spacing w:before="85"/>
        <w:ind w:left="872"/>
      </w:pPr>
      <w:r>
        <w:t>Detector</w:t>
      </w:r>
      <w:r>
        <w:rPr>
          <w:spacing w:val="-4"/>
        </w:rPr>
        <w:t xml:space="preserve"> </w:t>
      </w:r>
      <w:r>
        <w:t>Technology</w:t>
      </w:r>
      <w:r>
        <w:rPr>
          <w:spacing w:val="-4"/>
        </w:rPr>
        <w:t xml:space="preserve"> </w:t>
      </w:r>
      <w:r>
        <w:t>Limited</w:t>
      </w:r>
      <w:r>
        <w:tab/>
        <w:t>Hong</w:t>
      </w:r>
      <w:r>
        <w:rPr>
          <w:spacing w:val="-1"/>
        </w:rPr>
        <w:t xml:space="preserve"> </w:t>
      </w:r>
      <w:r>
        <w:t>Kong</w:t>
      </w:r>
    </w:p>
    <w:p w14:paraId="7326D57B" w14:textId="77777777" w:rsidR="00EF3DFB" w:rsidRDefault="00D27C17">
      <w:pPr>
        <w:pStyle w:val="BodyText"/>
        <w:tabs>
          <w:tab w:val="left" w:pos="7427"/>
        </w:tabs>
        <w:spacing w:before="85"/>
        <w:ind w:left="872"/>
      </w:pPr>
      <w:r>
        <w:t>Dongguan HuiXun Electrical Products</w:t>
      </w:r>
      <w:r>
        <w:rPr>
          <w:spacing w:val="-13"/>
        </w:rPr>
        <w:t xml:space="preserve"> </w:t>
      </w:r>
      <w:r>
        <w:t>Co.,</w:t>
      </w:r>
      <w:r>
        <w:rPr>
          <w:spacing w:val="-3"/>
        </w:rPr>
        <w:t xml:space="preserve"> </w:t>
      </w:r>
      <w:r>
        <w:t>Ltd.</w:t>
      </w:r>
      <w:r>
        <w:tab/>
        <w:t>China</w:t>
      </w:r>
    </w:p>
    <w:p w14:paraId="7326D57C" w14:textId="77777777" w:rsidR="00EF3DFB" w:rsidRDefault="00D27C17">
      <w:pPr>
        <w:pStyle w:val="BodyText"/>
        <w:tabs>
          <w:tab w:val="left" w:pos="7427"/>
        </w:tabs>
        <w:spacing w:before="85"/>
        <w:ind w:left="872"/>
      </w:pPr>
      <w:r>
        <w:t>Dongguan Raider Motor</w:t>
      </w:r>
      <w:r>
        <w:rPr>
          <w:spacing w:val="-6"/>
        </w:rPr>
        <w:t xml:space="preserve"> </w:t>
      </w:r>
      <w:r>
        <w:t>Co.,</w:t>
      </w:r>
      <w:r>
        <w:rPr>
          <w:spacing w:val="-2"/>
        </w:rPr>
        <w:t xml:space="preserve"> </w:t>
      </w:r>
      <w:r>
        <w:t>Ltd.</w:t>
      </w:r>
      <w:r>
        <w:tab/>
        <w:t>China</w:t>
      </w:r>
    </w:p>
    <w:p w14:paraId="7326D57D" w14:textId="77777777" w:rsidR="00EF3DFB" w:rsidRDefault="00D27C17">
      <w:pPr>
        <w:pStyle w:val="BodyText"/>
        <w:tabs>
          <w:tab w:val="left" w:pos="7427"/>
        </w:tabs>
        <w:spacing w:before="85"/>
        <w:ind w:left="872"/>
      </w:pPr>
      <w:r>
        <w:t>Dymo</w:t>
      </w:r>
      <w:r>
        <w:rPr>
          <w:spacing w:val="-1"/>
        </w:rPr>
        <w:t xml:space="preserve"> </w:t>
      </w:r>
      <w:r>
        <w:t>BV</w:t>
      </w:r>
      <w:r>
        <w:tab/>
        <w:t>Belgium</w:t>
      </w:r>
    </w:p>
    <w:p w14:paraId="7326D57E" w14:textId="77777777" w:rsidR="00EF3DFB" w:rsidRDefault="00D27C17">
      <w:pPr>
        <w:pStyle w:val="BodyText"/>
        <w:tabs>
          <w:tab w:val="left" w:pos="7427"/>
        </w:tabs>
        <w:spacing w:before="86"/>
        <w:ind w:left="872"/>
      </w:pPr>
      <w:r>
        <w:t>Dymo</w:t>
      </w:r>
      <w:r>
        <w:rPr>
          <w:spacing w:val="-2"/>
        </w:rPr>
        <w:t xml:space="preserve"> </w:t>
      </w:r>
      <w:r>
        <w:t>Holdings</w:t>
      </w:r>
      <w:r>
        <w:rPr>
          <w:spacing w:val="-3"/>
        </w:rPr>
        <w:t xml:space="preserve"> </w:t>
      </w:r>
      <w:r>
        <w:t>BV</w:t>
      </w:r>
      <w:r>
        <w:tab/>
        <w:t>Belgium</w:t>
      </w:r>
    </w:p>
    <w:p w14:paraId="7326D57F" w14:textId="77777777" w:rsidR="00EF3DFB" w:rsidRDefault="00D27C17">
      <w:pPr>
        <w:pStyle w:val="BodyText"/>
        <w:tabs>
          <w:tab w:val="left" w:pos="7427"/>
        </w:tabs>
        <w:spacing w:before="85"/>
        <w:ind w:left="872"/>
      </w:pPr>
      <w:r>
        <w:t>El Rayo de Sol de Chihuahua, S.A.</w:t>
      </w:r>
      <w:r>
        <w:rPr>
          <w:spacing w:val="-13"/>
        </w:rPr>
        <w:t xml:space="preserve"> </w:t>
      </w:r>
      <w:r>
        <w:t>de</w:t>
      </w:r>
      <w:r>
        <w:rPr>
          <w:spacing w:val="-3"/>
        </w:rPr>
        <w:t xml:space="preserve"> </w:t>
      </w:r>
      <w:r>
        <w:t>C.V.</w:t>
      </w:r>
      <w:r>
        <w:tab/>
        <w:t>Mexico</w:t>
      </w:r>
    </w:p>
    <w:p w14:paraId="7326D580" w14:textId="77777777" w:rsidR="00EF3DFB" w:rsidRDefault="00D27C17">
      <w:pPr>
        <w:pStyle w:val="BodyText"/>
        <w:tabs>
          <w:tab w:val="left" w:pos="7427"/>
        </w:tabs>
        <w:spacing w:before="85"/>
        <w:ind w:left="872"/>
      </w:pPr>
      <w:r>
        <w:t>El Sol Partes, S.A.</w:t>
      </w:r>
      <w:r>
        <w:rPr>
          <w:spacing w:val="-8"/>
        </w:rPr>
        <w:t xml:space="preserve"> </w:t>
      </w:r>
      <w:r>
        <w:t>de</w:t>
      </w:r>
      <w:r>
        <w:rPr>
          <w:spacing w:val="-3"/>
        </w:rPr>
        <w:t xml:space="preserve"> </w:t>
      </w:r>
      <w:r>
        <w:t>C.V.</w:t>
      </w:r>
      <w:r>
        <w:tab/>
        <w:t>Mexico</w:t>
      </w:r>
    </w:p>
    <w:p w14:paraId="7326D581" w14:textId="77777777" w:rsidR="00EF3DFB" w:rsidRDefault="00D27C17">
      <w:pPr>
        <w:pStyle w:val="BodyText"/>
        <w:tabs>
          <w:tab w:val="left" w:pos="7427"/>
        </w:tabs>
        <w:spacing w:before="85"/>
        <w:ind w:left="872"/>
      </w:pPr>
      <w:r>
        <w:t>Electronica BRK de Mexico, S.A.</w:t>
      </w:r>
      <w:r>
        <w:rPr>
          <w:spacing w:val="-14"/>
        </w:rPr>
        <w:t xml:space="preserve"> </w:t>
      </w:r>
      <w:r>
        <w:t>de</w:t>
      </w:r>
      <w:r>
        <w:rPr>
          <w:spacing w:val="-4"/>
        </w:rPr>
        <w:t xml:space="preserve"> </w:t>
      </w:r>
      <w:r>
        <w:t>C.V.</w:t>
      </w:r>
      <w:r>
        <w:tab/>
        <w:t>Mexico</w:t>
      </w:r>
    </w:p>
    <w:p w14:paraId="7326D582" w14:textId="77777777" w:rsidR="00EF3DFB" w:rsidRDefault="00EF3DFB">
      <w:pPr>
        <w:sectPr w:rsidR="00EF3DFB">
          <w:footerReference w:type="default" r:id="rId319"/>
          <w:pgSz w:w="12240" w:h="15840"/>
          <w:pgMar w:top="1420" w:right="640" w:bottom="280" w:left="620" w:header="0" w:footer="0" w:gutter="0"/>
          <w:cols w:space="720"/>
        </w:sectPr>
      </w:pPr>
    </w:p>
    <w:p w14:paraId="7326D583" w14:textId="77777777" w:rsidR="00EF3DFB" w:rsidRDefault="00D27C17">
      <w:pPr>
        <w:pStyle w:val="BodyText"/>
        <w:tabs>
          <w:tab w:val="left" w:pos="7427"/>
        </w:tabs>
        <w:spacing w:before="75"/>
        <w:ind w:left="872"/>
      </w:pPr>
      <w:r>
        <w:lastRenderedPageBreak/>
        <w:t>Elmer's Products</w:t>
      </w:r>
      <w:r>
        <w:rPr>
          <w:spacing w:val="-8"/>
        </w:rPr>
        <w:t xml:space="preserve"> </w:t>
      </w:r>
      <w:r>
        <w:t>Canada,</w:t>
      </w:r>
      <w:r>
        <w:rPr>
          <w:spacing w:val="-4"/>
        </w:rPr>
        <w:t xml:space="preserve"> </w:t>
      </w:r>
      <w:r>
        <w:t>Corporation</w:t>
      </w:r>
      <w:r>
        <w:tab/>
        <w:t>Canada</w:t>
      </w:r>
    </w:p>
    <w:p w14:paraId="7326D584" w14:textId="77777777" w:rsidR="00EF3DFB" w:rsidRDefault="00D27C17">
      <w:pPr>
        <w:pStyle w:val="BodyText"/>
        <w:tabs>
          <w:tab w:val="left" w:pos="7427"/>
        </w:tabs>
        <w:spacing w:before="85"/>
        <w:ind w:left="872"/>
      </w:pPr>
      <w:r>
        <w:t>Esteem</w:t>
      </w:r>
      <w:r>
        <w:rPr>
          <w:spacing w:val="-5"/>
        </w:rPr>
        <w:t xml:space="preserve"> </w:t>
      </w:r>
      <w:r>
        <w:t>Industries</w:t>
      </w:r>
      <w:r>
        <w:rPr>
          <w:spacing w:val="-5"/>
        </w:rPr>
        <w:t xml:space="preserve"> </w:t>
      </w:r>
      <w:r>
        <w:t>Limited</w:t>
      </w:r>
      <w:r>
        <w:tab/>
        <w:t>Hong</w:t>
      </w:r>
      <w:r>
        <w:rPr>
          <w:spacing w:val="-1"/>
        </w:rPr>
        <w:t xml:space="preserve"> </w:t>
      </w:r>
      <w:r>
        <w:t>Kong</w:t>
      </w:r>
    </w:p>
    <w:p w14:paraId="7326D585" w14:textId="77777777" w:rsidR="00EF3DFB" w:rsidRDefault="00D27C17">
      <w:pPr>
        <w:pStyle w:val="BodyText"/>
        <w:tabs>
          <w:tab w:val="left" w:pos="7427"/>
        </w:tabs>
        <w:spacing w:before="85"/>
        <w:ind w:left="872"/>
      </w:pPr>
      <w:r>
        <w:t>Europe Brands</w:t>
      </w:r>
      <w:r>
        <w:rPr>
          <w:spacing w:val="-4"/>
        </w:rPr>
        <w:t xml:space="preserve"> </w:t>
      </w:r>
      <w:r>
        <w:t>S.à</w:t>
      </w:r>
      <w:r>
        <w:rPr>
          <w:spacing w:val="-2"/>
        </w:rPr>
        <w:t xml:space="preserve"> </w:t>
      </w:r>
      <w:r>
        <w:t>r.l.</w:t>
      </w:r>
      <w:r>
        <w:tab/>
        <w:t>Luxembourg</w:t>
      </w:r>
    </w:p>
    <w:p w14:paraId="7326D586" w14:textId="77777777" w:rsidR="00EF3DFB" w:rsidRDefault="00D27C17">
      <w:pPr>
        <w:pStyle w:val="BodyText"/>
        <w:tabs>
          <w:tab w:val="left" w:pos="7427"/>
        </w:tabs>
        <w:spacing w:before="85"/>
        <w:ind w:left="872"/>
      </w:pPr>
      <w:r>
        <w:t>Facel</w:t>
      </w:r>
      <w:r>
        <w:rPr>
          <w:spacing w:val="-4"/>
        </w:rPr>
        <w:t xml:space="preserve"> </w:t>
      </w:r>
      <w:r>
        <w:t>S.A.S.</w:t>
      </w:r>
      <w:r>
        <w:tab/>
        <w:t>France</w:t>
      </w:r>
    </w:p>
    <w:p w14:paraId="7326D587" w14:textId="77777777" w:rsidR="00EF3DFB" w:rsidRDefault="00D27C17">
      <w:pPr>
        <w:pStyle w:val="BodyText"/>
        <w:tabs>
          <w:tab w:val="left" w:pos="7427"/>
        </w:tabs>
        <w:spacing w:before="85"/>
        <w:ind w:left="872"/>
      </w:pPr>
      <w:r>
        <w:t>Fine Writing Pens of</w:t>
      </w:r>
      <w:r>
        <w:rPr>
          <w:spacing w:val="-11"/>
        </w:rPr>
        <w:t xml:space="preserve"> </w:t>
      </w:r>
      <w:r>
        <w:t>London</w:t>
      </w:r>
      <w:r>
        <w:rPr>
          <w:spacing w:val="-3"/>
        </w:rPr>
        <w:t xml:space="preserve"> </w:t>
      </w:r>
      <w:r>
        <w:t>Limited</w:t>
      </w:r>
      <w:r>
        <w:tab/>
        <w:t>United</w:t>
      </w:r>
      <w:r>
        <w:rPr>
          <w:spacing w:val="-1"/>
        </w:rPr>
        <w:t xml:space="preserve"> </w:t>
      </w:r>
      <w:r>
        <w:t>Kingdom</w:t>
      </w:r>
    </w:p>
    <w:p w14:paraId="7326D588" w14:textId="77777777" w:rsidR="00EF3DFB" w:rsidRDefault="00D27C17">
      <w:pPr>
        <w:pStyle w:val="BodyText"/>
        <w:tabs>
          <w:tab w:val="left" w:pos="7427"/>
        </w:tabs>
        <w:spacing w:before="85"/>
        <w:ind w:left="872"/>
      </w:pPr>
      <w:r>
        <w:t>First Alert</w:t>
      </w:r>
      <w:r>
        <w:rPr>
          <w:spacing w:val="-7"/>
        </w:rPr>
        <w:t xml:space="preserve"> </w:t>
      </w:r>
      <w:r>
        <w:t>(Canada)</w:t>
      </w:r>
      <w:r>
        <w:rPr>
          <w:spacing w:val="-3"/>
        </w:rPr>
        <w:t xml:space="preserve"> </w:t>
      </w:r>
      <w:r>
        <w:t>Inc.</w:t>
      </w:r>
      <w:r>
        <w:tab/>
        <w:t>Canada</w:t>
      </w:r>
    </w:p>
    <w:p w14:paraId="7326D589" w14:textId="77777777" w:rsidR="00EF3DFB" w:rsidRDefault="00D27C17">
      <w:pPr>
        <w:pStyle w:val="BodyText"/>
        <w:tabs>
          <w:tab w:val="left" w:pos="7427"/>
        </w:tabs>
        <w:spacing w:before="85"/>
        <w:ind w:left="872"/>
      </w:pPr>
      <w:r>
        <w:t>Fountain</w:t>
      </w:r>
      <w:r>
        <w:rPr>
          <w:spacing w:val="-4"/>
        </w:rPr>
        <w:t xml:space="preserve"> </w:t>
      </w:r>
      <w:r>
        <w:t>Holdings</w:t>
      </w:r>
      <w:r>
        <w:rPr>
          <w:spacing w:val="-4"/>
        </w:rPr>
        <w:t xml:space="preserve"> </w:t>
      </w:r>
      <w:r>
        <w:t>Limited</w:t>
      </w:r>
      <w:r>
        <w:tab/>
        <w:t>United</w:t>
      </w:r>
      <w:r>
        <w:rPr>
          <w:spacing w:val="-1"/>
        </w:rPr>
        <w:t xml:space="preserve"> </w:t>
      </w:r>
      <w:r>
        <w:t>Kingdom</w:t>
      </w:r>
    </w:p>
    <w:p w14:paraId="7326D58A" w14:textId="77777777" w:rsidR="00EF3DFB" w:rsidRDefault="00D27C17">
      <w:pPr>
        <w:pStyle w:val="BodyText"/>
        <w:tabs>
          <w:tab w:val="left" w:pos="7427"/>
        </w:tabs>
        <w:spacing w:before="85"/>
        <w:ind w:left="872"/>
      </w:pPr>
      <w:r>
        <w:t>Graco Children's Products Hong</w:t>
      </w:r>
      <w:r>
        <w:rPr>
          <w:spacing w:val="-13"/>
        </w:rPr>
        <w:t xml:space="preserve"> </w:t>
      </w:r>
      <w:r>
        <w:t>Kong,</w:t>
      </w:r>
      <w:r>
        <w:rPr>
          <w:spacing w:val="-3"/>
        </w:rPr>
        <w:t xml:space="preserve"> </w:t>
      </w:r>
      <w:r>
        <w:t>Limited</w:t>
      </w:r>
      <w:r>
        <w:tab/>
        <w:t>Hong</w:t>
      </w:r>
      <w:r>
        <w:rPr>
          <w:spacing w:val="-1"/>
        </w:rPr>
        <w:t xml:space="preserve"> </w:t>
      </w:r>
      <w:r>
        <w:t>Kong</w:t>
      </w:r>
    </w:p>
    <w:p w14:paraId="7326D58B" w14:textId="77777777" w:rsidR="00EF3DFB" w:rsidRDefault="00D27C17">
      <w:pPr>
        <w:pStyle w:val="BodyText"/>
        <w:tabs>
          <w:tab w:val="left" w:pos="7427"/>
        </w:tabs>
        <w:spacing w:before="85"/>
        <w:ind w:left="872"/>
      </w:pPr>
      <w:r>
        <w:t>Hereford</w:t>
      </w:r>
      <w:r>
        <w:rPr>
          <w:spacing w:val="-3"/>
        </w:rPr>
        <w:t xml:space="preserve"> </w:t>
      </w:r>
      <w:r>
        <w:t>NWL</w:t>
      </w:r>
      <w:r>
        <w:rPr>
          <w:spacing w:val="-4"/>
        </w:rPr>
        <w:t xml:space="preserve"> </w:t>
      </w:r>
      <w:r>
        <w:t>Limited</w:t>
      </w:r>
      <w:r>
        <w:tab/>
        <w:t>United</w:t>
      </w:r>
      <w:r>
        <w:rPr>
          <w:spacing w:val="-1"/>
        </w:rPr>
        <w:t xml:space="preserve"> </w:t>
      </w:r>
      <w:r>
        <w:t>Kingdom</w:t>
      </w:r>
    </w:p>
    <w:p w14:paraId="7326D58C" w14:textId="77777777" w:rsidR="00EF3DFB" w:rsidRDefault="00D27C17">
      <w:pPr>
        <w:pStyle w:val="BodyText"/>
        <w:tabs>
          <w:tab w:val="left" w:pos="7427"/>
        </w:tabs>
        <w:spacing w:before="85"/>
        <w:ind w:left="872"/>
      </w:pPr>
      <w:r>
        <w:t>Hogar</w:t>
      </w:r>
      <w:r>
        <w:rPr>
          <w:spacing w:val="-2"/>
        </w:rPr>
        <w:t xml:space="preserve"> </w:t>
      </w:r>
      <w:r>
        <w:t>Plus,</w:t>
      </w:r>
      <w:r>
        <w:rPr>
          <w:spacing w:val="-2"/>
        </w:rPr>
        <w:t xml:space="preserve"> </w:t>
      </w:r>
      <w:r>
        <w:t>SA</w:t>
      </w:r>
      <w:r>
        <w:tab/>
        <w:t>Spain</w:t>
      </w:r>
    </w:p>
    <w:p w14:paraId="7326D58D" w14:textId="77777777" w:rsidR="00EF3DFB" w:rsidRDefault="00D27C17">
      <w:pPr>
        <w:pStyle w:val="BodyText"/>
        <w:tabs>
          <w:tab w:val="left" w:pos="7427"/>
        </w:tabs>
        <w:spacing w:before="85"/>
        <w:ind w:left="872"/>
      </w:pPr>
      <w:r>
        <w:t>Holmes Products</w:t>
      </w:r>
      <w:r>
        <w:rPr>
          <w:spacing w:val="-8"/>
        </w:rPr>
        <w:t xml:space="preserve"> </w:t>
      </w:r>
      <w:r>
        <w:t>(Eu</w:t>
      </w:r>
      <w:r>
        <w:t>rope)</w:t>
      </w:r>
      <w:r>
        <w:rPr>
          <w:spacing w:val="-3"/>
        </w:rPr>
        <w:t xml:space="preserve"> </w:t>
      </w:r>
      <w:r>
        <w:t>Limited</w:t>
      </w:r>
      <w:r>
        <w:tab/>
        <w:t>United</w:t>
      </w:r>
      <w:r>
        <w:rPr>
          <w:spacing w:val="-1"/>
        </w:rPr>
        <w:t xml:space="preserve"> </w:t>
      </w:r>
      <w:r>
        <w:t>Kingdom</w:t>
      </w:r>
    </w:p>
    <w:p w14:paraId="7326D58E" w14:textId="77777777" w:rsidR="00EF3DFB" w:rsidRDefault="00D27C17">
      <w:pPr>
        <w:pStyle w:val="BodyText"/>
        <w:tabs>
          <w:tab w:val="left" w:pos="7427"/>
        </w:tabs>
        <w:spacing w:before="85"/>
        <w:ind w:left="872"/>
      </w:pPr>
      <w:r>
        <w:t>Home Fragrance</w:t>
      </w:r>
      <w:r>
        <w:rPr>
          <w:spacing w:val="-7"/>
        </w:rPr>
        <w:t xml:space="preserve"> </w:t>
      </w:r>
      <w:r>
        <w:t>Italia</w:t>
      </w:r>
      <w:r>
        <w:rPr>
          <w:spacing w:val="-4"/>
        </w:rPr>
        <w:t xml:space="preserve"> </w:t>
      </w:r>
      <w:r>
        <w:t>S.r.l.</w:t>
      </w:r>
      <w:r>
        <w:tab/>
        <w:t>Italy</w:t>
      </w:r>
    </w:p>
    <w:p w14:paraId="7326D58F" w14:textId="77777777" w:rsidR="00EF3DFB" w:rsidRDefault="00D27C17">
      <w:pPr>
        <w:pStyle w:val="BodyText"/>
        <w:tabs>
          <w:tab w:val="left" w:pos="7427"/>
        </w:tabs>
        <w:spacing w:before="85"/>
        <w:ind w:left="872"/>
      </w:pPr>
      <w:r>
        <w:t>Hunt</w:t>
      </w:r>
      <w:r>
        <w:rPr>
          <w:spacing w:val="-3"/>
        </w:rPr>
        <w:t xml:space="preserve"> </w:t>
      </w:r>
      <w:r>
        <w:t>Europe</w:t>
      </w:r>
      <w:r>
        <w:rPr>
          <w:spacing w:val="-3"/>
        </w:rPr>
        <w:t xml:space="preserve"> </w:t>
      </w:r>
      <w:r>
        <w:t>Limited</w:t>
      </w:r>
      <w:r>
        <w:tab/>
        <w:t>United</w:t>
      </w:r>
      <w:r>
        <w:rPr>
          <w:spacing w:val="-1"/>
        </w:rPr>
        <w:t xml:space="preserve"> </w:t>
      </w:r>
      <w:r>
        <w:t>Kingdom</w:t>
      </w:r>
    </w:p>
    <w:p w14:paraId="7326D590" w14:textId="77777777" w:rsidR="00EF3DFB" w:rsidRDefault="00D27C17">
      <w:pPr>
        <w:pStyle w:val="BodyText"/>
        <w:tabs>
          <w:tab w:val="left" w:pos="7427"/>
        </w:tabs>
        <w:spacing w:before="85"/>
        <w:ind w:left="872"/>
      </w:pPr>
      <w:r>
        <w:t>Ignite Hong</w:t>
      </w:r>
      <w:r>
        <w:rPr>
          <w:spacing w:val="-5"/>
        </w:rPr>
        <w:t xml:space="preserve"> </w:t>
      </w:r>
      <w:r>
        <w:t>Kong,</w:t>
      </w:r>
      <w:r>
        <w:rPr>
          <w:spacing w:val="-2"/>
        </w:rPr>
        <w:t xml:space="preserve"> </w:t>
      </w:r>
      <w:r>
        <w:t>Limited</w:t>
      </w:r>
      <w:r>
        <w:tab/>
        <w:t>Hong</w:t>
      </w:r>
      <w:r>
        <w:rPr>
          <w:spacing w:val="-1"/>
        </w:rPr>
        <w:t xml:space="preserve"> </w:t>
      </w:r>
      <w:r>
        <w:t>Kong</w:t>
      </w:r>
    </w:p>
    <w:p w14:paraId="7326D591" w14:textId="77777777" w:rsidR="00EF3DFB" w:rsidRDefault="00D27C17">
      <w:pPr>
        <w:pStyle w:val="BodyText"/>
        <w:tabs>
          <w:tab w:val="left" w:pos="7427"/>
        </w:tabs>
        <w:spacing w:before="85"/>
        <w:ind w:left="872"/>
      </w:pPr>
      <w:r>
        <w:t>Industrias Corama S.A.</w:t>
      </w:r>
      <w:r>
        <w:rPr>
          <w:spacing w:val="-8"/>
        </w:rPr>
        <w:t xml:space="preserve"> </w:t>
      </w:r>
      <w:r>
        <w:t>de</w:t>
      </w:r>
      <w:r>
        <w:rPr>
          <w:spacing w:val="-3"/>
        </w:rPr>
        <w:t xml:space="preserve"> </w:t>
      </w:r>
      <w:r>
        <w:t>C.V.</w:t>
      </w:r>
      <w:r>
        <w:tab/>
        <w:t>Mexico</w:t>
      </w:r>
    </w:p>
    <w:p w14:paraId="7326D592" w14:textId="77777777" w:rsidR="00EF3DFB" w:rsidRDefault="00D27C17">
      <w:pPr>
        <w:pStyle w:val="BodyText"/>
        <w:tabs>
          <w:tab w:val="left" w:pos="7427"/>
        </w:tabs>
        <w:spacing w:before="85"/>
        <w:ind w:left="872"/>
      </w:pPr>
      <w:r>
        <w:t>ISP</w:t>
      </w:r>
      <w:r>
        <w:rPr>
          <w:spacing w:val="-2"/>
        </w:rPr>
        <w:t xml:space="preserve"> </w:t>
      </w:r>
      <w:r>
        <w:t>SCI</w:t>
      </w:r>
      <w:r>
        <w:tab/>
        <w:t>France</w:t>
      </w:r>
    </w:p>
    <w:p w14:paraId="7326D593" w14:textId="77777777" w:rsidR="00EF3DFB" w:rsidRDefault="00D27C17">
      <w:pPr>
        <w:pStyle w:val="BodyText"/>
        <w:tabs>
          <w:tab w:val="left" w:pos="7427"/>
        </w:tabs>
        <w:spacing w:before="85"/>
        <w:ind w:left="872"/>
      </w:pPr>
      <w:r>
        <w:t>Jarden Consumer Solutions</w:t>
      </w:r>
      <w:r>
        <w:rPr>
          <w:spacing w:val="-11"/>
        </w:rPr>
        <w:t xml:space="preserve"> </w:t>
      </w:r>
      <w:r>
        <w:t>(Asia)</w:t>
      </w:r>
      <w:r>
        <w:rPr>
          <w:spacing w:val="-4"/>
        </w:rPr>
        <w:t xml:space="preserve"> </w:t>
      </w:r>
      <w:r>
        <w:t>Limited</w:t>
      </w:r>
      <w:r>
        <w:tab/>
        <w:t>Hong</w:t>
      </w:r>
      <w:r>
        <w:rPr>
          <w:spacing w:val="-1"/>
        </w:rPr>
        <w:t xml:space="preserve"> </w:t>
      </w:r>
      <w:r>
        <w:t>Kong</w:t>
      </w:r>
    </w:p>
    <w:p w14:paraId="7326D594" w14:textId="77777777" w:rsidR="00EF3DFB" w:rsidRDefault="00D27C17">
      <w:pPr>
        <w:pStyle w:val="BodyText"/>
        <w:tabs>
          <w:tab w:val="left" w:pos="7427"/>
        </w:tabs>
        <w:spacing w:before="85"/>
        <w:ind w:left="872"/>
      </w:pPr>
      <w:r>
        <w:t>Jarden Consumer Solutions</w:t>
      </w:r>
      <w:r>
        <w:rPr>
          <w:spacing w:val="-10"/>
        </w:rPr>
        <w:t xml:space="preserve"> </w:t>
      </w:r>
      <w:r>
        <w:t>(Europe)</w:t>
      </w:r>
      <w:r>
        <w:rPr>
          <w:spacing w:val="-4"/>
        </w:rPr>
        <w:t xml:space="preserve"> </w:t>
      </w:r>
      <w:r>
        <w:t>Limited</w:t>
      </w:r>
      <w:r>
        <w:tab/>
        <w:t>United</w:t>
      </w:r>
      <w:r>
        <w:rPr>
          <w:spacing w:val="-1"/>
        </w:rPr>
        <w:t xml:space="preserve"> </w:t>
      </w:r>
      <w:r>
        <w:t>Kingdom</w:t>
      </w:r>
    </w:p>
    <w:p w14:paraId="7326D595" w14:textId="77777777" w:rsidR="00EF3DFB" w:rsidRDefault="00D27C17">
      <w:pPr>
        <w:pStyle w:val="BodyText"/>
        <w:tabs>
          <w:tab w:val="left" w:pos="7427"/>
        </w:tabs>
        <w:spacing w:before="85"/>
        <w:ind w:left="872"/>
      </w:pPr>
      <w:r>
        <w:t>Jarden Consumer Solutions of India</w:t>
      </w:r>
      <w:r>
        <w:rPr>
          <w:spacing w:val="-16"/>
        </w:rPr>
        <w:t xml:space="preserve"> </w:t>
      </w:r>
      <w:r>
        <w:t>Private</w:t>
      </w:r>
      <w:r>
        <w:rPr>
          <w:spacing w:val="-4"/>
        </w:rPr>
        <w:t xml:space="preserve"> </w:t>
      </w:r>
      <w:r>
        <w:t>Limited</w:t>
      </w:r>
      <w:r>
        <w:tab/>
        <w:t>India</w:t>
      </w:r>
    </w:p>
    <w:p w14:paraId="7326D596" w14:textId="77777777" w:rsidR="00EF3DFB" w:rsidRDefault="00D27C17">
      <w:pPr>
        <w:pStyle w:val="BodyText"/>
        <w:tabs>
          <w:tab w:val="left" w:pos="7427"/>
        </w:tabs>
        <w:spacing w:before="85"/>
        <w:ind w:left="872"/>
      </w:pPr>
      <w:r>
        <w:t>Jarden del</w:t>
      </w:r>
      <w:r>
        <w:rPr>
          <w:spacing w:val="-5"/>
        </w:rPr>
        <w:t xml:space="preserve"> </w:t>
      </w:r>
      <w:r>
        <w:t>Peru</w:t>
      </w:r>
      <w:r>
        <w:rPr>
          <w:spacing w:val="-2"/>
        </w:rPr>
        <w:t xml:space="preserve"> </w:t>
      </w:r>
      <w:r>
        <w:t>S.A.C.</w:t>
      </w:r>
      <w:r>
        <w:tab/>
        <w:t>Peru</w:t>
      </w:r>
    </w:p>
    <w:p w14:paraId="7326D597" w14:textId="77777777" w:rsidR="00EF3DFB" w:rsidRDefault="00D27C17">
      <w:pPr>
        <w:pStyle w:val="BodyText"/>
        <w:tabs>
          <w:tab w:val="left" w:pos="7427"/>
        </w:tabs>
        <w:spacing w:before="85"/>
        <w:ind w:left="872"/>
      </w:pPr>
      <w:r>
        <w:t>Jarden Lux Finco</w:t>
      </w:r>
      <w:r>
        <w:rPr>
          <w:spacing w:val="-5"/>
        </w:rPr>
        <w:t xml:space="preserve"> </w:t>
      </w:r>
      <w:r>
        <w:t>S.à</w:t>
      </w:r>
      <w:r>
        <w:rPr>
          <w:spacing w:val="-3"/>
        </w:rPr>
        <w:t xml:space="preserve"> </w:t>
      </w:r>
      <w:r>
        <w:t>r.l.</w:t>
      </w:r>
      <w:r>
        <w:tab/>
        <w:t>Luxembourg</w:t>
      </w:r>
    </w:p>
    <w:p w14:paraId="7326D598" w14:textId="77777777" w:rsidR="00EF3DFB" w:rsidRDefault="00D27C17">
      <w:pPr>
        <w:pStyle w:val="BodyText"/>
        <w:tabs>
          <w:tab w:val="left" w:pos="7427"/>
        </w:tabs>
        <w:spacing w:before="85"/>
        <w:ind w:left="872"/>
      </w:pPr>
      <w:r>
        <w:t>Jarden Lux Finco</w:t>
      </w:r>
      <w:r>
        <w:rPr>
          <w:spacing w:val="-5"/>
        </w:rPr>
        <w:t xml:space="preserve"> </w:t>
      </w:r>
      <w:r>
        <w:t>S.à</w:t>
      </w:r>
      <w:r>
        <w:rPr>
          <w:spacing w:val="-3"/>
        </w:rPr>
        <w:t xml:space="preserve"> </w:t>
      </w:r>
      <w:r>
        <w:t>r.l.</w:t>
      </w:r>
      <w:r>
        <w:tab/>
        <w:t>Luxembourg</w:t>
      </w:r>
    </w:p>
    <w:p w14:paraId="7326D599" w14:textId="77777777" w:rsidR="00EF3DFB" w:rsidRDefault="00D27C17">
      <w:pPr>
        <w:pStyle w:val="BodyText"/>
        <w:tabs>
          <w:tab w:val="left" w:pos="7427"/>
        </w:tabs>
        <w:spacing w:before="85"/>
        <w:ind w:left="872"/>
      </w:pPr>
      <w:r>
        <w:t>Jarden Lux Holdings</w:t>
      </w:r>
      <w:r>
        <w:rPr>
          <w:spacing w:val="-6"/>
        </w:rPr>
        <w:t xml:space="preserve"> </w:t>
      </w:r>
      <w:r>
        <w:t>S.à</w:t>
      </w:r>
      <w:r>
        <w:rPr>
          <w:spacing w:val="-3"/>
        </w:rPr>
        <w:t xml:space="preserve"> </w:t>
      </w:r>
      <w:r>
        <w:t>r.l.</w:t>
      </w:r>
      <w:r>
        <w:tab/>
        <w:t>Luxembourg</w:t>
      </w:r>
    </w:p>
    <w:p w14:paraId="7326D59A" w14:textId="77777777" w:rsidR="00EF3DFB" w:rsidRDefault="00D27C17">
      <w:pPr>
        <w:pStyle w:val="BodyText"/>
        <w:tabs>
          <w:tab w:val="left" w:pos="7427"/>
        </w:tabs>
        <w:spacing w:before="85"/>
        <w:ind w:left="872"/>
      </w:pPr>
      <w:r>
        <w:t>Jarden Lux II</w:t>
      </w:r>
      <w:r>
        <w:rPr>
          <w:spacing w:val="-3"/>
        </w:rPr>
        <w:t xml:space="preserve"> </w:t>
      </w:r>
      <w:r>
        <w:t>S.à</w:t>
      </w:r>
      <w:r>
        <w:rPr>
          <w:spacing w:val="-2"/>
        </w:rPr>
        <w:t xml:space="preserve"> </w:t>
      </w:r>
      <w:r>
        <w:t>r.l.</w:t>
      </w:r>
      <w:r>
        <w:tab/>
        <w:t>Luxembourg</w:t>
      </w:r>
    </w:p>
    <w:p w14:paraId="7326D59B" w14:textId="77777777" w:rsidR="00EF3DFB" w:rsidRDefault="00D27C17">
      <w:pPr>
        <w:pStyle w:val="BodyText"/>
        <w:tabs>
          <w:tab w:val="left" w:pos="7427"/>
        </w:tabs>
        <w:spacing w:before="85"/>
        <w:ind w:left="872"/>
      </w:pPr>
      <w:r>
        <w:t>Jarden</w:t>
      </w:r>
      <w:r>
        <w:rPr>
          <w:spacing w:val="-4"/>
        </w:rPr>
        <w:t xml:space="preserve"> </w:t>
      </w:r>
      <w:r>
        <w:t>Switzerland</w:t>
      </w:r>
      <w:r>
        <w:rPr>
          <w:spacing w:val="-4"/>
        </w:rPr>
        <w:t xml:space="preserve"> </w:t>
      </w:r>
      <w:r>
        <w:t>Sàrl</w:t>
      </w:r>
      <w:r>
        <w:tab/>
        <w:t>Switzerland</w:t>
      </w:r>
    </w:p>
    <w:p w14:paraId="7326D59C" w14:textId="77777777" w:rsidR="00EF3DFB" w:rsidRDefault="00D27C17">
      <w:pPr>
        <w:pStyle w:val="BodyText"/>
        <w:tabs>
          <w:tab w:val="left" w:pos="7427"/>
        </w:tabs>
        <w:spacing w:before="85"/>
        <w:ind w:left="872"/>
      </w:pPr>
      <w:r>
        <w:t>JCS Brasil</w:t>
      </w:r>
      <w:r>
        <w:rPr>
          <w:spacing w:val="-9"/>
        </w:rPr>
        <w:t xml:space="preserve"> </w:t>
      </w:r>
      <w:r>
        <w:t>Eletrodomésticos</w:t>
      </w:r>
      <w:r>
        <w:rPr>
          <w:spacing w:val="-5"/>
        </w:rPr>
        <w:t xml:space="preserve"> </w:t>
      </w:r>
      <w:r>
        <w:t>S.A.</w:t>
      </w:r>
      <w:r>
        <w:tab/>
        <w:t>Brazil</w:t>
      </w:r>
    </w:p>
    <w:p w14:paraId="7326D59D" w14:textId="77777777" w:rsidR="00EF3DFB" w:rsidRDefault="00D27C17">
      <w:pPr>
        <w:pStyle w:val="BodyText"/>
        <w:tabs>
          <w:tab w:val="left" w:pos="7427"/>
        </w:tabs>
        <w:spacing w:before="85"/>
        <w:ind w:left="872"/>
      </w:pPr>
      <w:r>
        <w:t>Leviathan Aqueduct</w:t>
      </w:r>
      <w:r>
        <w:rPr>
          <w:spacing w:val="-7"/>
        </w:rPr>
        <w:t xml:space="preserve"> </w:t>
      </w:r>
      <w:r>
        <w:t>Holdings</w:t>
      </w:r>
      <w:r>
        <w:rPr>
          <w:spacing w:val="-4"/>
        </w:rPr>
        <w:t xml:space="preserve"> </w:t>
      </w:r>
      <w:r>
        <w:t>B.V.</w:t>
      </w:r>
      <w:r>
        <w:tab/>
        <w:t>Netherlands</w:t>
      </w:r>
    </w:p>
    <w:p w14:paraId="7326D59E" w14:textId="77777777" w:rsidR="00EF3DFB" w:rsidRDefault="00D27C17">
      <w:pPr>
        <w:pStyle w:val="BodyText"/>
        <w:tabs>
          <w:tab w:val="left" w:pos="7427"/>
        </w:tabs>
        <w:spacing w:before="86"/>
        <w:ind w:left="872"/>
      </w:pPr>
      <w:r>
        <w:t>Leviathan NES</w:t>
      </w:r>
      <w:r>
        <w:rPr>
          <w:spacing w:val="-6"/>
        </w:rPr>
        <w:t xml:space="preserve"> </w:t>
      </w:r>
      <w:r>
        <w:t>Holdings</w:t>
      </w:r>
      <w:r>
        <w:rPr>
          <w:spacing w:val="-4"/>
        </w:rPr>
        <w:t xml:space="preserve"> </w:t>
      </w:r>
      <w:r>
        <w:t>B.V.</w:t>
      </w:r>
      <w:r>
        <w:tab/>
        <w:t>Netherlands</w:t>
      </w:r>
    </w:p>
    <w:p w14:paraId="7326D59F" w14:textId="77777777" w:rsidR="00EF3DFB" w:rsidRDefault="00D27C17">
      <w:pPr>
        <w:pStyle w:val="BodyText"/>
        <w:tabs>
          <w:tab w:val="left" w:pos="7427"/>
        </w:tabs>
        <w:spacing w:before="85"/>
        <w:ind w:left="872"/>
      </w:pPr>
      <w:r>
        <w:t>Leviathan NWL</w:t>
      </w:r>
      <w:r>
        <w:rPr>
          <w:spacing w:val="-7"/>
        </w:rPr>
        <w:t xml:space="preserve"> </w:t>
      </w:r>
      <w:r>
        <w:t>Investments</w:t>
      </w:r>
      <w:r>
        <w:rPr>
          <w:spacing w:val="-4"/>
        </w:rPr>
        <w:t xml:space="preserve"> </w:t>
      </w:r>
      <w:r>
        <w:t>B.V.</w:t>
      </w:r>
      <w:r>
        <w:tab/>
        <w:t>Netherlands</w:t>
      </w:r>
    </w:p>
    <w:p w14:paraId="7326D5A0" w14:textId="77777777" w:rsidR="00EF3DFB" w:rsidRDefault="00D27C17">
      <w:pPr>
        <w:pStyle w:val="BodyText"/>
        <w:tabs>
          <w:tab w:val="left" w:pos="7427"/>
        </w:tabs>
        <w:spacing w:before="85"/>
        <w:ind w:left="872"/>
      </w:pPr>
      <w:r>
        <w:t>Leviathan NWL</w:t>
      </w:r>
      <w:r>
        <w:rPr>
          <w:spacing w:val="-7"/>
        </w:rPr>
        <w:t xml:space="preserve"> </w:t>
      </w:r>
      <w:r>
        <w:t>Partners</w:t>
      </w:r>
      <w:r>
        <w:rPr>
          <w:spacing w:val="-4"/>
        </w:rPr>
        <w:t xml:space="preserve"> </w:t>
      </w:r>
      <w:r>
        <w:t>C.V.</w:t>
      </w:r>
      <w:r>
        <w:tab/>
        <w:t>Netherlands</w:t>
      </w:r>
    </w:p>
    <w:p w14:paraId="7326D5A1" w14:textId="77777777" w:rsidR="00EF3DFB" w:rsidRDefault="00D27C17">
      <w:pPr>
        <w:pStyle w:val="BodyText"/>
        <w:tabs>
          <w:tab w:val="left" w:pos="7427"/>
        </w:tabs>
        <w:spacing w:before="85"/>
        <w:ind w:left="872"/>
      </w:pPr>
      <w:r>
        <w:t>Lillo do Brasil Indústria e Comércio de Produtos</w:t>
      </w:r>
      <w:r>
        <w:rPr>
          <w:spacing w:val="-22"/>
        </w:rPr>
        <w:t xml:space="preserve"> </w:t>
      </w:r>
      <w:r>
        <w:t>Infantis</w:t>
      </w:r>
      <w:r>
        <w:rPr>
          <w:spacing w:val="-4"/>
        </w:rPr>
        <w:t xml:space="preserve"> </w:t>
      </w:r>
      <w:r>
        <w:t>Ltda.</w:t>
      </w:r>
      <w:r>
        <w:tab/>
        <w:t>Brazil</w:t>
      </w:r>
    </w:p>
    <w:p w14:paraId="7326D5A2" w14:textId="77777777" w:rsidR="00EF3DFB" w:rsidRDefault="00D27C17">
      <w:pPr>
        <w:pStyle w:val="BodyText"/>
        <w:tabs>
          <w:tab w:val="left" w:pos="7427"/>
        </w:tabs>
        <w:spacing w:before="85"/>
        <w:ind w:left="872"/>
      </w:pPr>
      <w:r>
        <w:t>Luxembourg Brands</w:t>
      </w:r>
      <w:r>
        <w:rPr>
          <w:spacing w:val="-4"/>
        </w:rPr>
        <w:t xml:space="preserve"> </w:t>
      </w:r>
      <w:r>
        <w:t>S.à</w:t>
      </w:r>
      <w:r>
        <w:rPr>
          <w:spacing w:val="-3"/>
        </w:rPr>
        <w:t xml:space="preserve"> </w:t>
      </w:r>
      <w:r>
        <w:t>r.l.</w:t>
      </w:r>
      <w:r>
        <w:tab/>
        <w:t>Luxembourg</w:t>
      </w:r>
    </w:p>
    <w:p w14:paraId="7326D5A3" w14:textId="77777777" w:rsidR="00EF3DFB" w:rsidRDefault="00D27C17">
      <w:pPr>
        <w:pStyle w:val="BodyText"/>
        <w:tabs>
          <w:tab w:val="left" w:pos="7427"/>
        </w:tabs>
        <w:spacing w:before="85"/>
        <w:ind w:left="872"/>
      </w:pPr>
      <w:r>
        <w:t>Mapa Babycare</w:t>
      </w:r>
      <w:r>
        <w:rPr>
          <w:spacing w:val="-8"/>
        </w:rPr>
        <w:t xml:space="preserve"> </w:t>
      </w:r>
      <w:r>
        <w:t>Company</w:t>
      </w:r>
      <w:r>
        <w:rPr>
          <w:spacing w:val="-3"/>
        </w:rPr>
        <w:t xml:space="preserve"> </w:t>
      </w:r>
      <w:r>
        <w:t>Limited</w:t>
      </w:r>
      <w:r>
        <w:tab/>
        <w:t>Hong</w:t>
      </w:r>
      <w:r>
        <w:rPr>
          <w:spacing w:val="-1"/>
        </w:rPr>
        <w:t xml:space="preserve"> </w:t>
      </w:r>
      <w:r>
        <w:t>Kong</w:t>
      </w:r>
    </w:p>
    <w:p w14:paraId="7326D5A4" w14:textId="77777777" w:rsidR="00EF3DFB" w:rsidRDefault="00D27C17">
      <w:pPr>
        <w:pStyle w:val="BodyText"/>
        <w:tabs>
          <w:tab w:val="left" w:pos="7427"/>
        </w:tabs>
        <w:spacing w:before="85"/>
        <w:ind w:left="872"/>
      </w:pPr>
      <w:r>
        <w:t>Mapa Gloves</w:t>
      </w:r>
      <w:r>
        <w:rPr>
          <w:spacing w:val="-6"/>
        </w:rPr>
        <w:t xml:space="preserve"> </w:t>
      </w:r>
      <w:r>
        <w:t>SDN</w:t>
      </w:r>
      <w:r>
        <w:rPr>
          <w:spacing w:val="-3"/>
        </w:rPr>
        <w:t xml:space="preserve"> </w:t>
      </w:r>
      <w:r>
        <w:t>BHD</w:t>
      </w:r>
      <w:r>
        <w:tab/>
        <w:t>Malaysia</w:t>
      </w:r>
    </w:p>
    <w:p w14:paraId="7326D5A5" w14:textId="77777777" w:rsidR="00EF3DFB" w:rsidRDefault="00D27C17">
      <w:pPr>
        <w:pStyle w:val="BodyText"/>
        <w:tabs>
          <w:tab w:val="left" w:pos="7427"/>
        </w:tabs>
        <w:spacing w:before="85"/>
        <w:ind w:left="872"/>
      </w:pPr>
      <w:r>
        <w:t>MAPA</w:t>
      </w:r>
      <w:r>
        <w:rPr>
          <w:spacing w:val="-3"/>
        </w:rPr>
        <w:t xml:space="preserve"> </w:t>
      </w:r>
      <w:r>
        <w:t>GmbH</w:t>
      </w:r>
      <w:r>
        <w:tab/>
        <w:t>Germany</w:t>
      </w:r>
    </w:p>
    <w:p w14:paraId="7326D5A6" w14:textId="77777777" w:rsidR="00EF3DFB" w:rsidRDefault="00D27C17">
      <w:pPr>
        <w:pStyle w:val="BodyText"/>
        <w:tabs>
          <w:tab w:val="left" w:pos="7427"/>
        </w:tabs>
        <w:spacing w:before="85"/>
        <w:ind w:left="872"/>
      </w:pPr>
      <w:r>
        <w:t>Mapa</w:t>
      </w:r>
      <w:r>
        <w:rPr>
          <w:spacing w:val="-3"/>
        </w:rPr>
        <w:t xml:space="preserve"> </w:t>
      </w:r>
      <w:r>
        <w:t>S.A.S.</w:t>
      </w:r>
      <w:r>
        <w:tab/>
        <w:t>France</w:t>
      </w:r>
    </w:p>
    <w:p w14:paraId="7326D5A7" w14:textId="77777777" w:rsidR="00EF3DFB" w:rsidRDefault="00D27C17">
      <w:pPr>
        <w:pStyle w:val="BodyText"/>
        <w:tabs>
          <w:tab w:val="left" w:pos="7427"/>
        </w:tabs>
        <w:spacing w:before="85"/>
        <w:ind w:left="872"/>
      </w:pPr>
      <w:r>
        <w:t>M</w:t>
      </w:r>
      <w:r>
        <w:t>apa Spontex</w:t>
      </w:r>
      <w:r>
        <w:rPr>
          <w:spacing w:val="-4"/>
        </w:rPr>
        <w:t xml:space="preserve"> </w:t>
      </w:r>
      <w:r>
        <w:t>CE</w:t>
      </w:r>
      <w:r>
        <w:rPr>
          <w:spacing w:val="-3"/>
        </w:rPr>
        <w:t xml:space="preserve"> </w:t>
      </w:r>
      <w:r>
        <w:t>s.r.o.</w:t>
      </w:r>
      <w:r>
        <w:tab/>
        <w:t>Czech</w:t>
      </w:r>
      <w:r>
        <w:rPr>
          <w:spacing w:val="-1"/>
        </w:rPr>
        <w:t xml:space="preserve"> </w:t>
      </w:r>
      <w:r>
        <w:t>Republic</w:t>
      </w:r>
    </w:p>
    <w:p w14:paraId="7326D5A8" w14:textId="77777777" w:rsidR="00EF3DFB" w:rsidRDefault="00D27C17">
      <w:pPr>
        <w:pStyle w:val="BodyText"/>
        <w:tabs>
          <w:tab w:val="left" w:pos="7427"/>
        </w:tabs>
        <w:spacing w:before="85"/>
        <w:ind w:left="872"/>
      </w:pPr>
      <w:r>
        <w:t>Mapa Spontex</w:t>
      </w:r>
      <w:r>
        <w:rPr>
          <w:spacing w:val="-5"/>
        </w:rPr>
        <w:t xml:space="preserve"> </w:t>
      </w:r>
      <w:r>
        <w:t>Iberica</w:t>
      </w:r>
      <w:r>
        <w:rPr>
          <w:spacing w:val="-3"/>
        </w:rPr>
        <w:t xml:space="preserve"> </w:t>
      </w:r>
      <w:r>
        <w:t>SAU</w:t>
      </w:r>
      <w:r>
        <w:tab/>
        <w:t>Spain</w:t>
      </w:r>
    </w:p>
    <w:p w14:paraId="7326D5A9" w14:textId="77777777" w:rsidR="00EF3DFB" w:rsidRDefault="00D27C17">
      <w:pPr>
        <w:pStyle w:val="BodyText"/>
        <w:tabs>
          <w:tab w:val="left" w:pos="7427"/>
        </w:tabs>
        <w:spacing w:before="85"/>
        <w:ind w:left="872"/>
      </w:pPr>
      <w:r>
        <w:t>Mapa Spontex</w:t>
      </w:r>
      <w:r>
        <w:rPr>
          <w:spacing w:val="-6"/>
        </w:rPr>
        <w:t xml:space="preserve"> </w:t>
      </w:r>
      <w:r>
        <w:t>Italia</w:t>
      </w:r>
      <w:r>
        <w:rPr>
          <w:spacing w:val="-4"/>
        </w:rPr>
        <w:t xml:space="preserve"> </w:t>
      </w:r>
      <w:r>
        <w:t>S.p.A.</w:t>
      </w:r>
      <w:r>
        <w:tab/>
        <w:t>Italy</w:t>
      </w:r>
    </w:p>
    <w:p w14:paraId="7326D5AA" w14:textId="77777777" w:rsidR="00EF3DFB" w:rsidRDefault="00D27C17">
      <w:pPr>
        <w:pStyle w:val="BodyText"/>
        <w:tabs>
          <w:tab w:val="left" w:pos="7427"/>
        </w:tabs>
        <w:spacing w:before="85"/>
        <w:ind w:left="872"/>
      </w:pPr>
      <w:r>
        <w:t>Mapa Spontex Trading (Shanghai)</w:t>
      </w:r>
      <w:r>
        <w:rPr>
          <w:spacing w:val="-13"/>
        </w:rPr>
        <w:t xml:space="preserve"> </w:t>
      </w:r>
      <w:r>
        <w:t>Company</w:t>
      </w:r>
      <w:r>
        <w:rPr>
          <w:spacing w:val="-3"/>
        </w:rPr>
        <w:t xml:space="preserve"> </w:t>
      </w:r>
      <w:r>
        <w:t>Limited</w:t>
      </w:r>
      <w:r>
        <w:tab/>
        <w:t>China</w:t>
      </w:r>
    </w:p>
    <w:p w14:paraId="7326D5AB" w14:textId="77777777" w:rsidR="00EF3DFB" w:rsidRDefault="00D27C17">
      <w:pPr>
        <w:pStyle w:val="BodyText"/>
        <w:tabs>
          <w:tab w:val="left" w:pos="7427"/>
        </w:tabs>
        <w:spacing w:before="85"/>
        <w:ind w:left="872"/>
      </w:pPr>
      <w:r>
        <w:t>Mapa Spontex Trading</w:t>
      </w:r>
      <w:r>
        <w:rPr>
          <w:spacing w:val="-7"/>
        </w:rPr>
        <w:t xml:space="preserve"> </w:t>
      </w:r>
      <w:r>
        <w:t>SDN</w:t>
      </w:r>
      <w:r>
        <w:rPr>
          <w:spacing w:val="-3"/>
        </w:rPr>
        <w:t xml:space="preserve"> </w:t>
      </w:r>
      <w:r>
        <w:t>BHD</w:t>
      </w:r>
      <w:r>
        <w:tab/>
        <w:t>Malaysia</w:t>
      </w:r>
    </w:p>
    <w:p w14:paraId="7326D5AC" w14:textId="77777777" w:rsidR="00EF3DFB" w:rsidRDefault="00EF3DFB">
      <w:pPr>
        <w:sectPr w:rsidR="00EF3DFB">
          <w:footerReference w:type="default" r:id="rId320"/>
          <w:pgSz w:w="12240" w:h="15840"/>
          <w:pgMar w:top="1420" w:right="640" w:bottom="280" w:left="620" w:header="0" w:footer="0" w:gutter="0"/>
          <w:cols w:space="720"/>
        </w:sectPr>
      </w:pPr>
    </w:p>
    <w:p w14:paraId="7326D5AD" w14:textId="77777777" w:rsidR="00EF3DFB" w:rsidRDefault="00D27C17">
      <w:pPr>
        <w:pStyle w:val="BodyText"/>
        <w:tabs>
          <w:tab w:val="left" w:pos="7427"/>
        </w:tabs>
        <w:spacing w:before="75"/>
        <w:ind w:left="872"/>
      </w:pPr>
      <w:r>
        <w:lastRenderedPageBreak/>
        <w:t>Mapa Spontex</w:t>
      </w:r>
      <w:r>
        <w:rPr>
          <w:spacing w:val="-6"/>
        </w:rPr>
        <w:t xml:space="preserve"> </w:t>
      </w:r>
      <w:r>
        <w:t>UK</w:t>
      </w:r>
      <w:r>
        <w:rPr>
          <w:spacing w:val="-4"/>
        </w:rPr>
        <w:t xml:space="preserve"> </w:t>
      </w:r>
      <w:r>
        <w:t>Limited</w:t>
      </w:r>
      <w:r>
        <w:tab/>
        <w:t>United</w:t>
      </w:r>
      <w:r>
        <w:rPr>
          <w:spacing w:val="-1"/>
        </w:rPr>
        <w:t xml:space="preserve"> </w:t>
      </w:r>
      <w:r>
        <w:t>Kingdom</w:t>
      </w:r>
    </w:p>
    <w:p w14:paraId="7326D5AE" w14:textId="77777777" w:rsidR="00EF3DFB" w:rsidRDefault="00D27C17">
      <w:pPr>
        <w:pStyle w:val="BodyText"/>
        <w:tabs>
          <w:tab w:val="left" w:pos="7427"/>
        </w:tabs>
        <w:spacing w:before="85"/>
        <w:ind w:left="872"/>
      </w:pPr>
      <w:r>
        <w:t>Mapa Spontex, S.A.</w:t>
      </w:r>
      <w:r>
        <w:rPr>
          <w:spacing w:val="-6"/>
        </w:rPr>
        <w:t xml:space="preserve"> </w:t>
      </w:r>
      <w:r>
        <w:t>de</w:t>
      </w:r>
      <w:r>
        <w:rPr>
          <w:spacing w:val="-3"/>
        </w:rPr>
        <w:t xml:space="preserve"> </w:t>
      </w:r>
      <w:r>
        <w:t>C.V.</w:t>
      </w:r>
      <w:r>
        <w:tab/>
        <w:t>Mexico</w:t>
      </w:r>
    </w:p>
    <w:p w14:paraId="7326D5AF" w14:textId="77777777" w:rsidR="00EF3DFB" w:rsidRDefault="00D27C17">
      <w:pPr>
        <w:pStyle w:val="BodyText"/>
        <w:tabs>
          <w:tab w:val="left" w:pos="7427"/>
        </w:tabs>
        <w:spacing w:before="85"/>
        <w:ind w:left="872"/>
      </w:pPr>
      <w:r>
        <w:t>Mapa</w:t>
      </w:r>
      <w:r>
        <w:rPr>
          <w:spacing w:val="-3"/>
        </w:rPr>
        <w:t xml:space="preserve"> </w:t>
      </w:r>
      <w:r>
        <w:t>Virulana</w:t>
      </w:r>
      <w:r>
        <w:rPr>
          <w:spacing w:val="-3"/>
        </w:rPr>
        <w:t xml:space="preserve"> </w:t>
      </w:r>
      <w:r>
        <w:t>SAIC</w:t>
      </w:r>
      <w:r>
        <w:tab/>
        <w:t>Argentina</w:t>
      </w:r>
    </w:p>
    <w:p w14:paraId="7326D5B0" w14:textId="77777777" w:rsidR="00EF3DFB" w:rsidRDefault="00D27C17">
      <w:pPr>
        <w:pStyle w:val="BodyText"/>
        <w:tabs>
          <w:tab w:val="left" w:pos="7427"/>
        </w:tabs>
        <w:spacing w:before="85"/>
        <w:ind w:left="872"/>
      </w:pPr>
      <w:r>
        <w:t>Marmot Mountain</w:t>
      </w:r>
      <w:r>
        <w:rPr>
          <w:spacing w:val="-6"/>
        </w:rPr>
        <w:t xml:space="preserve"> </w:t>
      </w:r>
      <w:r>
        <w:t>Canada</w:t>
      </w:r>
      <w:r>
        <w:rPr>
          <w:spacing w:val="-4"/>
        </w:rPr>
        <w:t xml:space="preserve"> </w:t>
      </w:r>
      <w:r>
        <w:t>Ltd.</w:t>
      </w:r>
      <w:r>
        <w:tab/>
        <w:t>Canada</w:t>
      </w:r>
    </w:p>
    <w:p w14:paraId="7326D5B1" w14:textId="77777777" w:rsidR="00EF3DFB" w:rsidRDefault="00D27C17">
      <w:pPr>
        <w:pStyle w:val="BodyText"/>
        <w:tabs>
          <w:tab w:val="left" w:pos="7427"/>
        </w:tabs>
        <w:spacing w:before="85"/>
        <w:ind w:left="872"/>
      </w:pPr>
      <w:r>
        <w:t>Marmot Mountain</w:t>
      </w:r>
      <w:r>
        <w:rPr>
          <w:spacing w:val="-5"/>
        </w:rPr>
        <w:t xml:space="preserve"> </w:t>
      </w:r>
      <w:r>
        <w:t>Europe</w:t>
      </w:r>
      <w:r>
        <w:rPr>
          <w:spacing w:val="-3"/>
        </w:rPr>
        <w:t xml:space="preserve"> </w:t>
      </w:r>
      <w:r>
        <w:t>GmbH</w:t>
      </w:r>
      <w:r>
        <w:tab/>
        <w:t>Germany</w:t>
      </w:r>
    </w:p>
    <w:p w14:paraId="7326D5B2" w14:textId="77777777" w:rsidR="00EF3DFB" w:rsidRDefault="00D27C17">
      <w:pPr>
        <w:pStyle w:val="BodyText"/>
        <w:tabs>
          <w:tab w:val="left" w:pos="7427"/>
        </w:tabs>
        <w:spacing w:before="85"/>
        <w:ind w:left="872"/>
      </w:pPr>
      <w:r>
        <w:t>Mucambo</w:t>
      </w:r>
      <w:r>
        <w:rPr>
          <w:spacing w:val="-2"/>
        </w:rPr>
        <w:t xml:space="preserve"> </w:t>
      </w:r>
      <w:r>
        <w:t>SA</w:t>
      </w:r>
      <w:r>
        <w:tab/>
        <w:t>Brazil</w:t>
      </w:r>
    </w:p>
    <w:p w14:paraId="7326D5B3" w14:textId="77777777" w:rsidR="00EF3DFB" w:rsidRDefault="00D27C17">
      <w:pPr>
        <w:pStyle w:val="BodyText"/>
        <w:tabs>
          <w:tab w:val="left" w:pos="7427"/>
        </w:tabs>
        <w:spacing w:before="85"/>
        <w:ind w:left="872"/>
      </w:pPr>
      <w:r>
        <w:t>NBS</w:t>
      </w:r>
      <w:r>
        <w:rPr>
          <w:spacing w:val="-3"/>
        </w:rPr>
        <w:t xml:space="preserve"> </w:t>
      </w:r>
      <w:r>
        <w:t>Holdings</w:t>
      </w:r>
      <w:r>
        <w:tab/>
        <w:t>New</w:t>
      </w:r>
      <w:r>
        <w:rPr>
          <w:spacing w:val="-2"/>
        </w:rPr>
        <w:t xml:space="preserve"> </w:t>
      </w:r>
      <w:r>
        <w:t>Zealand</w:t>
      </w:r>
    </w:p>
    <w:p w14:paraId="7326D5B4" w14:textId="77777777" w:rsidR="00EF3DFB" w:rsidRDefault="00D27C17">
      <w:pPr>
        <w:pStyle w:val="BodyText"/>
        <w:tabs>
          <w:tab w:val="left" w:pos="7427"/>
        </w:tabs>
        <w:spacing w:before="85"/>
        <w:ind w:left="872"/>
      </w:pPr>
      <w:r>
        <w:t>Newell</w:t>
      </w:r>
      <w:r>
        <w:rPr>
          <w:spacing w:val="-3"/>
        </w:rPr>
        <w:t xml:space="preserve"> </w:t>
      </w:r>
      <w:r>
        <w:t>(1995)</w:t>
      </w:r>
      <w:r>
        <w:tab/>
        <w:t>United</w:t>
      </w:r>
      <w:r>
        <w:rPr>
          <w:spacing w:val="-1"/>
        </w:rPr>
        <w:t xml:space="preserve"> </w:t>
      </w:r>
      <w:r>
        <w:t>Kingdom</w:t>
      </w:r>
    </w:p>
    <w:p w14:paraId="7326D5B5" w14:textId="77777777" w:rsidR="00EF3DFB" w:rsidRDefault="00D27C17">
      <w:pPr>
        <w:pStyle w:val="BodyText"/>
        <w:tabs>
          <w:tab w:val="left" w:pos="7427"/>
        </w:tabs>
        <w:spacing w:before="85"/>
        <w:ind w:left="872"/>
      </w:pPr>
      <w:r>
        <w:t>Newell Australia</w:t>
      </w:r>
      <w:r>
        <w:rPr>
          <w:spacing w:val="-10"/>
        </w:rPr>
        <w:t xml:space="preserve"> </w:t>
      </w:r>
      <w:r>
        <w:t>Pty</w:t>
      </w:r>
      <w:r>
        <w:rPr>
          <w:spacing w:val="-4"/>
        </w:rPr>
        <w:t xml:space="preserve"> </w:t>
      </w:r>
      <w:r>
        <w:t>Limited</w:t>
      </w:r>
      <w:r>
        <w:tab/>
        <w:t>Australia</w:t>
      </w:r>
    </w:p>
    <w:p w14:paraId="7326D5B6" w14:textId="77777777" w:rsidR="00EF3DFB" w:rsidRDefault="00D27C17">
      <w:pPr>
        <w:pStyle w:val="BodyText"/>
        <w:tabs>
          <w:tab w:val="left" w:pos="7427"/>
        </w:tabs>
        <w:spacing w:before="85"/>
        <w:ind w:left="872"/>
      </w:pPr>
      <w:r>
        <w:t>Newell Bran</w:t>
      </w:r>
      <w:r>
        <w:t>ds APAC</w:t>
      </w:r>
      <w:r>
        <w:rPr>
          <w:spacing w:val="-12"/>
        </w:rPr>
        <w:t xml:space="preserve"> </w:t>
      </w:r>
      <w:r>
        <w:t>Sourcing</w:t>
      </w:r>
      <w:r>
        <w:rPr>
          <w:spacing w:val="-4"/>
        </w:rPr>
        <w:t xml:space="preserve"> </w:t>
      </w:r>
      <w:r>
        <w:t>Limited</w:t>
      </w:r>
      <w:r>
        <w:tab/>
        <w:t>Hong</w:t>
      </w:r>
      <w:r>
        <w:rPr>
          <w:spacing w:val="-2"/>
        </w:rPr>
        <w:t xml:space="preserve"> </w:t>
      </w:r>
      <w:r>
        <w:t>Kong</w:t>
      </w:r>
    </w:p>
    <w:p w14:paraId="7326D5B7" w14:textId="77777777" w:rsidR="00EF3DFB" w:rsidRDefault="00D27C17">
      <w:pPr>
        <w:pStyle w:val="BodyText"/>
        <w:tabs>
          <w:tab w:val="left" w:pos="7427"/>
        </w:tabs>
        <w:spacing w:before="85"/>
        <w:ind w:left="872"/>
      </w:pPr>
      <w:r>
        <w:t>Newell Brands APAC</w:t>
      </w:r>
      <w:r>
        <w:rPr>
          <w:spacing w:val="-13"/>
        </w:rPr>
        <w:t xml:space="preserve"> </w:t>
      </w:r>
      <w:r>
        <w:t>Treasury</w:t>
      </w:r>
      <w:r>
        <w:rPr>
          <w:spacing w:val="-4"/>
        </w:rPr>
        <w:t xml:space="preserve"> </w:t>
      </w:r>
      <w:r>
        <w:t>Limited</w:t>
      </w:r>
      <w:r>
        <w:tab/>
        <w:t>Hong</w:t>
      </w:r>
      <w:r>
        <w:rPr>
          <w:spacing w:val="-2"/>
        </w:rPr>
        <w:t xml:space="preserve"> </w:t>
      </w:r>
      <w:r>
        <w:t>Kong</w:t>
      </w:r>
    </w:p>
    <w:p w14:paraId="7326D5B8" w14:textId="77777777" w:rsidR="00EF3DFB" w:rsidRDefault="00D27C17">
      <w:pPr>
        <w:pStyle w:val="BodyText"/>
        <w:tabs>
          <w:tab w:val="left" w:pos="7427"/>
        </w:tabs>
        <w:spacing w:before="85"/>
        <w:ind w:left="872"/>
      </w:pPr>
      <w:r>
        <w:t>Newell Brands Canada</w:t>
      </w:r>
      <w:r>
        <w:rPr>
          <w:spacing w:val="-11"/>
        </w:rPr>
        <w:t xml:space="preserve"> </w:t>
      </w:r>
      <w:r>
        <w:t>Holding</w:t>
      </w:r>
      <w:r>
        <w:rPr>
          <w:spacing w:val="-3"/>
        </w:rPr>
        <w:t xml:space="preserve"> </w:t>
      </w:r>
      <w:r>
        <w:t>ULC</w:t>
      </w:r>
      <w:r>
        <w:tab/>
        <w:t>Canada</w:t>
      </w:r>
    </w:p>
    <w:p w14:paraId="7326D5B9" w14:textId="77777777" w:rsidR="00EF3DFB" w:rsidRDefault="00D27C17">
      <w:pPr>
        <w:pStyle w:val="BodyText"/>
        <w:tabs>
          <w:tab w:val="left" w:pos="7427"/>
        </w:tabs>
        <w:spacing w:before="85"/>
        <w:ind w:left="872"/>
      </w:pPr>
      <w:r>
        <w:t>Newell Brands</w:t>
      </w:r>
      <w:r>
        <w:rPr>
          <w:spacing w:val="-7"/>
        </w:rPr>
        <w:t xml:space="preserve"> </w:t>
      </w:r>
      <w:r>
        <w:t>Canada</w:t>
      </w:r>
      <w:r>
        <w:rPr>
          <w:spacing w:val="-4"/>
        </w:rPr>
        <w:t xml:space="preserve"> </w:t>
      </w:r>
      <w:r>
        <w:t>ULC</w:t>
      </w:r>
      <w:r>
        <w:tab/>
        <w:t>Canada</w:t>
      </w:r>
    </w:p>
    <w:p w14:paraId="7326D5BA" w14:textId="77777777" w:rsidR="00EF3DFB" w:rsidRDefault="00D27C17">
      <w:pPr>
        <w:pStyle w:val="BodyText"/>
        <w:tabs>
          <w:tab w:val="left" w:pos="7427"/>
        </w:tabs>
        <w:spacing w:before="85"/>
        <w:ind w:left="872"/>
      </w:pPr>
      <w:r>
        <w:t>Newell Brands Cayman</w:t>
      </w:r>
      <w:r>
        <w:rPr>
          <w:spacing w:val="-9"/>
        </w:rPr>
        <w:t xml:space="preserve"> </w:t>
      </w:r>
      <w:r>
        <w:t>II</w:t>
      </w:r>
      <w:r>
        <w:rPr>
          <w:spacing w:val="-3"/>
        </w:rPr>
        <w:t xml:space="preserve"> </w:t>
      </w:r>
      <w:r>
        <w:t>Ltd.</w:t>
      </w:r>
      <w:r>
        <w:tab/>
        <w:t>Cayman</w:t>
      </w:r>
      <w:r>
        <w:rPr>
          <w:spacing w:val="-7"/>
        </w:rPr>
        <w:t xml:space="preserve"> </w:t>
      </w:r>
      <w:r>
        <w:t>Islands</w:t>
      </w:r>
    </w:p>
    <w:p w14:paraId="7326D5BB" w14:textId="77777777" w:rsidR="00EF3DFB" w:rsidRDefault="00D27C17">
      <w:pPr>
        <w:pStyle w:val="BodyText"/>
        <w:tabs>
          <w:tab w:val="left" w:pos="7427"/>
        </w:tabs>
        <w:spacing w:before="85"/>
        <w:ind w:left="872"/>
      </w:pPr>
      <w:r>
        <w:t>Newell Brands Cayman</w:t>
      </w:r>
      <w:r>
        <w:rPr>
          <w:spacing w:val="-9"/>
        </w:rPr>
        <w:t xml:space="preserve"> </w:t>
      </w:r>
      <w:r>
        <w:t>III</w:t>
      </w:r>
      <w:r>
        <w:rPr>
          <w:spacing w:val="-3"/>
        </w:rPr>
        <w:t xml:space="preserve"> </w:t>
      </w:r>
      <w:r>
        <w:t>Ltd.</w:t>
      </w:r>
      <w:r>
        <w:tab/>
        <w:t>Cayman</w:t>
      </w:r>
      <w:r>
        <w:rPr>
          <w:spacing w:val="-7"/>
        </w:rPr>
        <w:t xml:space="preserve"> </w:t>
      </w:r>
      <w:r>
        <w:t>Islands</w:t>
      </w:r>
    </w:p>
    <w:p w14:paraId="7326D5BC" w14:textId="77777777" w:rsidR="00EF3DFB" w:rsidRDefault="00D27C17">
      <w:pPr>
        <w:pStyle w:val="BodyText"/>
        <w:tabs>
          <w:tab w:val="left" w:pos="7427"/>
        </w:tabs>
        <w:spacing w:before="85"/>
        <w:ind w:left="872"/>
      </w:pPr>
      <w:r>
        <w:t>Newell Brands</w:t>
      </w:r>
      <w:r>
        <w:rPr>
          <w:spacing w:val="-7"/>
        </w:rPr>
        <w:t xml:space="preserve"> </w:t>
      </w:r>
      <w:r>
        <w:t>Cayman</w:t>
      </w:r>
      <w:r>
        <w:rPr>
          <w:spacing w:val="-3"/>
        </w:rPr>
        <w:t xml:space="preserve"> </w:t>
      </w:r>
      <w:r>
        <w:t>Ltd.</w:t>
      </w:r>
      <w:r>
        <w:tab/>
        <w:t>Cayman</w:t>
      </w:r>
      <w:r>
        <w:rPr>
          <w:spacing w:val="-7"/>
        </w:rPr>
        <w:t xml:space="preserve"> </w:t>
      </w:r>
      <w:r>
        <w:t>Islands</w:t>
      </w:r>
    </w:p>
    <w:p w14:paraId="7326D5BD" w14:textId="77777777" w:rsidR="00EF3DFB" w:rsidRDefault="00D27C17">
      <w:pPr>
        <w:pStyle w:val="BodyText"/>
        <w:tabs>
          <w:tab w:val="left" w:pos="7427"/>
        </w:tabs>
        <w:spacing w:before="85"/>
        <w:ind w:left="872"/>
      </w:pPr>
      <w:r>
        <w:t>Newell Brands de</w:t>
      </w:r>
      <w:r>
        <w:rPr>
          <w:spacing w:val="-10"/>
        </w:rPr>
        <w:t xml:space="preserve"> </w:t>
      </w:r>
      <w:r>
        <w:t>Argentina</w:t>
      </w:r>
      <w:r>
        <w:rPr>
          <w:spacing w:val="-4"/>
        </w:rPr>
        <w:t xml:space="preserve"> </w:t>
      </w:r>
      <w:r>
        <w:t>S.A.</w:t>
      </w:r>
      <w:r>
        <w:tab/>
        <w:t>Argentina</w:t>
      </w:r>
    </w:p>
    <w:p w14:paraId="7326D5BE" w14:textId="77777777" w:rsidR="00EF3DFB" w:rsidRDefault="00D27C17">
      <w:pPr>
        <w:pStyle w:val="BodyText"/>
        <w:tabs>
          <w:tab w:val="left" w:pos="7427"/>
        </w:tabs>
        <w:spacing w:before="85"/>
        <w:ind w:left="872"/>
      </w:pPr>
      <w:r>
        <w:t>Newell Brands de</w:t>
      </w:r>
      <w:r>
        <w:rPr>
          <w:spacing w:val="-11"/>
        </w:rPr>
        <w:t xml:space="preserve"> </w:t>
      </w:r>
      <w:r>
        <w:t>Chile</w:t>
      </w:r>
      <w:r>
        <w:rPr>
          <w:spacing w:val="-4"/>
        </w:rPr>
        <w:t xml:space="preserve"> </w:t>
      </w:r>
      <w:r>
        <w:t>Limitada</w:t>
      </w:r>
      <w:r>
        <w:tab/>
        <w:t>Chile</w:t>
      </w:r>
    </w:p>
    <w:p w14:paraId="7326D5BF" w14:textId="77777777" w:rsidR="00EF3DFB" w:rsidRDefault="00D27C17">
      <w:pPr>
        <w:pStyle w:val="BodyText"/>
        <w:tabs>
          <w:tab w:val="left" w:pos="7427"/>
        </w:tabs>
        <w:spacing w:before="85"/>
        <w:ind w:left="872"/>
      </w:pPr>
      <w:r>
        <w:t>Newell Brands de</w:t>
      </w:r>
      <w:r>
        <w:rPr>
          <w:spacing w:val="-10"/>
        </w:rPr>
        <w:t xml:space="preserve"> </w:t>
      </w:r>
      <w:r>
        <w:t>Colombia</w:t>
      </w:r>
      <w:r>
        <w:rPr>
          <w:spacing w:val="-4"/>
        </w:rPr>
        <w:t xml:space="preserve"> </w:t>
      </w:r>
      <w:r>
        <w:t>S.A.S.</w:t>
      </w:r>
      <w:r>
        <w:tab/>
        <w:t>Colombia</w:t>
      </w:r>
    </w:p>
    <w:p w14:paraId="7326D5C0" w14:textId="77777777" w:rsidR="00EF3DFB" w:rsidRDefault="00D27C17">
      <w:pPr>
        <w:pStyle w:val="BodyText"/>
        <w:tabs>
          <w:tab w:val="left" w:pos="7427"/>
        </w:tabs>
        <w:spacing w:before="85"/>
        <w:ind w:left="872"/>
      </w:pPr>
      <w:r>
        <w:t>Newell Brands de Mexico, S.A.</w:t>
      </w:r>
      <w:r>
        <w:rPr>
          <w:spacing w:val="-12"/>
        </w:rPr>
        <w:t xml:space="preserve"> </w:t>
      </w:r>
      <w:r>
        <w:t>de</w:t>
      </w:r>
      <w:r>
        <w:rPr>
          <w:spacing w:val="-3"/>
        </w:rPr>
        <w:t xml:space="preserve"> </w:t>
      </w:r>
      <w:r>
        <w:t>C.V.</w:t>
      </w:r>
      <w:r>
        <w:tab/>
        <w:t>Mexico</w:t>
      </w:r>
    </w:p>
    <w:p w14:paraId="7326D5C1" w14:textId="77777777" w:rsidR="00EF3DFB" w:rsidRDefault="00D27C17">
      <w:pPr>
        <w:pStyle w:val="BodyText"/>
        <w:tabs>
          <w:tab w:val="left" w:pos="7427"/>
        </w:tabs>
        <w:spacing w:before="85"/>
        <w:ind w:left="872"/>
      </w:pPr>
      <w:r>
        <w:t>Newell Brands de</w:t>
      </w:r>
      <w:r>
        <w:rPr>
          <w:spacing w:val="-9"/>
        </w:rPr>
        <w:t xml:space="preserve"> </w:t>
      </w:r>
      <w:r>
        <w:t>Peru</w:t>
      </w:r>
      <w:r>
        <w:rPr>
          <w:spacing w:val="-2"/>
        </w:rPr>
        <w:t xml:space="preserve"> </w:t>
      </w:r>
      <w:r>
        <w:t>S.A.C.</w:t>
      </w:r>
      <w:r>
        <w:tab/>
        <w:t>Peru</w:t>
      </w:r>
    </w:p>
    <w:p w14:paraId="7326D5C2" w14:textId="77777777" w:rsidR="00EF3DFB" w:rsidRDefault="00D27C17">
      <w:pPr>
        <w:pStyle w:val="BodyText"/>
        <w:tabs>
          <w:tab w:val="left" w:pos="7427"/>
        </w:tabs>
        <w:spacing w:before="85"/>
        <w:ind w:left="872"/>
      </w:pPr>
      <w:r>
        <w:t xml:space="preserve">Newell Brands </w:t>
      </w:r>
      <w:r>
        <w:t>HK</w:t>
      </w:r>
      <w:r>
        <w:rPr>
          <w:spacing w:val="-11"/>
        </w:rPr>
        <w:t xml:space="preserve"> </w:t>
      </w:r>
      <w:r>
        <w:t>Holdings</w:t>
      </w:r>
      <w:r>
        <w:rPr>
          <w:spacing w:val="-4"/>
        </w:rPr>
        <w:t xml:space="preserve"> </w:t>
      </w:r>
      <w:r>
        <w:t>Limited</w:t>
      </w:r>
      <w:r>
        <w:tab/>
        <w:t>Hong</w:t>
      </w:r>
      <w:r>
        <w:rPr>
          <w:spacing w:val="-2"/>
        </w:rPr>
        <w:t xml:space="preserve"> </w:t>
      </w:r>
      <w:r>
        <w:t>Kong</w:t>
      </w:r>
    </w:p>
    <w:p w14:paraId="7326D5C3" w14:textId="77777777" w:rsidR="00EF3DFB" w:rsidRDefault="00D27C17">
      <w:pPr>
        <w:pStyle w:val="BodyText"/>
        <w:tabs>
          <w:tab w:val="left" w:pos="7427"/>
        </w:tabs>
        <w:spacing w:before="85"/>
        <w:ind w:left="872"/>
      </w:pPr>
      <w:r>
        <w:t>Newell Brands HK</w:t>
      </w:r>
      <w:r>
        <w:rPr>
          <w:spacing w:val="-11"/>
        </w:rPr>
        <w:t xml:space="preserve"> </w:t>
      </w:r>
      <w:r>
        <w:t>Sourcing</w:t>
      </w:r>
      <w:r>
        <w:rPr>
          <w:spacing w:val="-3"/>
        </w:rPr>
        <w:t xml:space="preserve"> </w:t>
      </w:r>
      <w:r>
        <w:t>Limited</w:t>
      </w:r>
      <w:r>
        <w:tab/>
        <w:t>Hong</w:t>
      </w:r>
      <w:r>
        <w:rPr>
          <w:spacing w:val="-2"/>
        </w:rPr>
        <w:t xml:space="preserve"> </w:t>
      </w:r>
      <w:r>
        <w:t>Kong</w:t>
      </w:r>
    </w:p>
    <w:p w14:paraId="7326D5C4" w14:textId="77777777" w:rsidR="00EF3DFB" w:rsidRDefault="00D27C17">
      <w:pPr>
        <w:pStyle w:val="BodyText"/>
        <w:tabs>
          <w:tab w:val="left" w:pos="7427"/>
        </w:tabs>
        <w:spacing w:before="85"/>
        <w:ind w:left="872"/>
      </w:pPr>
      <w:r>
        <w:t>Newell Brands International</w:t>
      </w:r>
      <w:r>
        <w:rPr>
          <w:spacing w:val="-11"/>
        </w:rPr>
        <w:t xml:space="preserve"> </w:t>
      </w:r>
      <w:r>
        <w:t>I</w:t>
      </w:r>
      <w:r>
        <w:rPr>
          <w:spacing w:val="-3"/>
        </w:rPr>
        <w:t xml:space="preserve"> </w:t>
      </w:r>
      <w:r>
        <w:t>B.V.</w:t>
      </w:r>
      <w:r>
        <w:tab/>
        <w:t>Netherlands</w:t>
      </w:r>
    </w:p>
    <w:p w14:paraId="7326D5C5" w14:textId="77777777" w:rsidR="00EF3DFB" w:rsidRDefault="00D27C17">
      <w:pPr>
        <w:pStyle w:val="BodyText"/>
        <w:tabs>
          <w:tab w:val="left" w:pos="7427"/>
        </w:tabs>
        <w:spacing w:before="85"/>
        <w:ind w:left="872"/>
      </w:pPr>
      <w:r>
        <w:t>Newell Brands International</w:t>
      </w:r>
      <w:r>
        <w:rPr>
          <w:spacing w:val="-11"/>
        </w:rPr>
        <w:t xml:space="preserve"> </w:t>
      </w:r>
      <w:r>
        <w:t>II</w:t>
      </w:r>
      <w:r>
        <w:rPr>
          <w:spacing w:val="-3"/>
        </w:rPr>
        <w:t xml:space="preserve"> </w:t>
      </w:r>
      <w:r>
        <w:t>B.V.</w:t>
      </w:r>
      <w:r>
        <w:tab/>
        <w:t>Netherlands</w:t>
      </w:r>
    </w:p>
    <w:p w14:paraId="7326D5C6" w14:textId="77777777" w:rsidR="00EF3DFB" w:rsidRDefault="00D27C17">
      <w:pPr>
        <w:pStyle w:val="BodyText"/>
        <w:tabs>
          <w:tab w:val="left" w:pos="7427"/>
        </w:tabs>
        <w:spacing w:before="85"/>
        <w:ind w:left="872"/>
      </w:pPr>
      <w:r>
        <w:t>Newell Brands Ireland Services Designated</w:t>
      </w:r>
      <w:r>
        <w:rPr>
          <w:spacing w:val="-22"/>
        </w:rPr>
        <w:t xml:space="preserve"> </w:t>
      </w:r>
      <w:r>
        <w:t>Activity</w:t>
      </w:r>
      <w:r>
        <w:rPr>
          <w:spacing w:val="-4"/>
        </w:rPr>
        <w:t xml:space="preserve"> </w:t>
      </w:r>
      <w:r>
        <w:t>Company</w:t>
      </w:r>
      <w:r>
        <w:tab/>
        <w:t>Ireland</w:t>
      </w:r>
    </w:p>
    <w:p w14:paraId="7326D5C7" w14:textId="77777777" w:rsidR="00EF3DFB" w:rsidRDefault="00D27C17">
      <w:pPr>
        <w:pStyle w:val="BodyText"/>
        <w:tabs>
          <w:tab w:val="left" w:pos="7427"/>
        </w:tabs>
        <w:spacing w:before="85"/>
        <w:ind w:left="872"/>
      </w:pPr>
      <w:r>
        <w:t>Newell Brands</w:t>
      </w:r>
      <w:r>
        <w:rPr>
          <w:spacing w:val="-7"/>
        </w:rPr>
        <w:t xml:space="preserve"> </w:t>
      </w:r>
      <w:r>
        <w:t>Japan</w:t>
      </w:r>
      <w:r>
        <w:rPr>
          <w:spacing w:val="-3"/>
        </w:rPr>
        <w:t xml:space="preserve"> </w:t>
      </w:r>
      <w:r>
        <w:t>G.K.</w:t>
      </w:r>
      <w:r>
        <w:tab/>
        <w:t>Japan</w:t>
      </w:r>
    </w:p>
    <w:p w14:paraId="7326D5C8" w14:textId="77777777" w:rsidR="00EF3DFB" w:rsidRDefault="00D27C17">
      <w:pPr>
        <w:pStyle w:val="BodyText"/>
        <w:tabs>
          <w:tab w:val="left" w:pos="7427"/>
        </w:tabs>
        <w:spacing w:before="86"/>
        <w:ind w:left="872"/>
      </w:pPr>
      <w:r>
        <w:t>Newell Brands Lux Holdings S.</w:t>
      </w:r>
      <w:r>
        <w:rPr>
          <w:spacing w:val="-11"/>
        </w:rPr>
        <w:t xml:space="preserve"> </w:t>
      </w:r>
      <w:r>
        <w:t>à</w:t>
      </w:r>
      <w:r>
        <w:rPr>
          <w:spacing w:val="-3"/>
        </w:rPr>
        <w:t xml:space="preserve"> </w:t>
      </w:r>
      <w:r>
        <w:t>r.l.</w:t>
      </w:r>
      <w:r>
        <w:tab/>
        <w:t>Luxembourg</w:t>
      </w:r>
    </w:p>
    <w:p w14:paraId="7326D5C9" w14:textId="77777777" w:rsidR="00EF3DFB" w:rsidRDefault="00D27C17">
      <w:pPr>
        <w:pStyle w:val="BodyText"/>
        <w:tabs>
          <w:tab w:val="left" w:pos="7427"/>
        </w:tabs>
        <w:spacing w:before="85" w:line="328" w:lineRule="auto"/>
        <w:ind w:left="872" w:right="2517"/>
      </w:pPr>
      <w:r>
        <w:t>Newell Brands Lux Real Estate Holdings</w:t>
      </w:r>
      <w:r>
        <w:rPr>
          <w:spacing w:val="30"/>
        </w:rPr>
        <w:t xml:space="preserve"> </w:t>
      </w:r>
      <w:r>
        <w:t>S.à</w:t>
      </w:r>
      <w:r>
        <w:rPr>
          <w:spacing w:val="-4"/>
        </w:rPr>
        <w:t xml:space="preserve"> </w:t>
      </w:r>
      <w:r>
        <w:t>r.l.</w:t>
      </w:r>
      <w:r>
        <w:tab/>
        <w:t>Luxembourg Newell Brands Technical Center (Guangzhou)</w:t>
      </w:r>
      <w:r>
        <w:rPr>
          <w:spacing w:val="-21"/>
        </w:rPr>
        <w:t xml:space="preserve"> </w:t>
      </w:r>
      <w:r>
        <w:t>Company</w:t>
      </w:r>
      <w:r>
        <w:rPr>
          <w:spacing w:val="-4"/>
        </w:rPr>
        <w:t xml:space="preserve"> </w:t>
      </w:r>
      <w:r>
        <w:t>Limited</w:t>
      </w:r>
      <w:r>
        <w:tab/>
        <w:t>China Newell</w:t>
      </w:r>
      <w:r>
        <w:rPr>
          <w:spacing w:val="-3"/>
        </w:rPr>
        <w:t xml:space="preserve"> </w:t>
      </w:r>
      <w:r>
        <w:t>Europe</w:t>
      </w:r>
      <w:r>
        <w:rPr>
          <w:spacing w:val="-3"/>
        </w:rPr>
        <w:t xml:space="preserve"> </w:t>
      </w:r>
      <w:r>
        <w:t>Sàrl</w:t>
      </w:r>
      <w:r>
        <w:tab/>
        <w:t>Switzerland</w:t>
      </w:r>
    </w:p>
    <w:p w14:paraId="7326D5CA" w14:textId="77777777" w:rsidR="00EF3DFB" w:rsidRDefault="00D27C17">
      <w:pPr>
        <w:pStyle w:val="BodyText"/>
        <w:tabs>
          <w:tab w:val="left" w:pos="7427"/>
        </w:tabs>
        <w:spacing w:line="230" w:lineRule="exact"/>
        <w:ind w:left="872"/>
      </w:pPr>
      <w:r>
        <w:t>Newell</w:t>
      </w:r>
      <w:r>
        <w:rPr>
          <w:spacing w:val="-5"/>
        </w:rPr>
        <w:t xml:space="preserve"> </w:t>
      </w:r>
      <w:r>
        <w:t>Holdings</w:t>
      </w:r>
      <w:r>
        <w:rPr>
          <w:spacing w:val="-5"/>
        </w:rPr>
        <w:t xml:space="preserve"> </w:t>
      </w:r>
      <w:r>
        <w:t>Limite</w:t>
      </w:r>
      <w:r>
        <w:t>d</w:t>
      </w:r>
      <w:r>
        <w:tab/>
        <w:t>United</w:t>
      </w:r>
      <w:r>
        <w:rPr>
          <w:spacing w:val="-1"/>
        </w:rPr>
        <w:t xml:space="preserve"> </w:t>
      </w:r>
      <w:r>
        <w:t>Kingdom</w:t>
      </w:r>
    </w:p>
    <w:p w14:paraId="7326D5CB" w14:textId="77777777" w:rsidR="00EF3DFB" w:rsidRDefault="00D27C17">
      <w:pPr>
        <w:pStyle w:val="BodyText"/>
        <w:tabs>
          <w:tab w:val="left" w:pos="7427"/>
        </w:tabs>
        <w:spacing w:before="85"/>
        <w:ind w:left="872"/>
      </w:pPr>
      <w:r>
        <w:t>Newell Insurance Designated</w:t>
      </w:r>
      <w:r>
        <w:rPr>
          <w:spacing w:val="-14"/>
        </w:rPr>
        <w:t xml:space="preserve"> </w:t>
      </w:r>
      <w:r>
        <w:t>Activity</w:t>
      </w:r>
      <w:r>
        <w:rPr>
          <w:spacing w:val="-4"/>
        </w:rPr>
        <w:t xml:space="preserve"> </w:t>
      </w:r>
      <w:r>
        <w:t>Company</w:t>
      </w:r>
      <w:r>
        <w:tab/>
        <w:t>Ireland</w:t>
      </w:r>
    </w:p>
    <w:p w14:paraId="7326D5CC" w14:textId="77777777" w:rsidR="00EF3DFB" w:rsidRDefault="00D27C17">
      <w:pPr>
        <w:pStyle w:val="BodyText"/>
        <w:tabs>
          <w:tab w:val="left" w:pos="7427"/>
        </w:tabs>
        <w:spacing w:before="85"/>
        <w:ind w:left="872"/>
      </w:pPr>
      <w:r>
        <w:t>Newell International</w:t>
      </w:r>
      <w:r>
        <w:rPr>
          <w:spacing w:val="-9"/>
        </w:rPr>
        <w:t xml:space="preserve"> </w:t>
      </w:r>
      <w:r>
        <w:t>Capital</w:t>
      </w:r>
      <w:r>
        <w:rPr>
          <w:spacing w:val="-5"/>
        </w:rPr>
        <w:t xml:space="preserve"> </w:t>
      </w:r>
      <w:r>
        <w:t>SAS</w:t>
      </w:r>
      <w:r>
        <w:tab/>
        <w:t>France</w:t>
      </w:r>
    </w:p>
    <w:p w14:paraId="7326D5CD" w14:textId="77777777" w:rsidR="00EF3DFB" w:rsidRDefault="00D27C17">
      <w:pPr>
        <w:pStyle w:val="BodyText"/>
        <w:tabs>
          <w:tab w:val="left" w:pos="7427"/>
        </w:tabs>
        <w:spacing w:before="85"/>
        <w:ind w:left="872"/>
      </w:pPr>
      <w:r>
        <w:t>Newell International Finance Co</w:t>
      </w:r>
      <w:r>
        <w:rPr>
          <w:spacing w:val="-19"/>
        </w:rPr>
        <w:t xml:space="preserve"> </w:t>
      </w:r>
      <w:r>
        <w:t>Limited</w:t>
      </w:r>
      <w:r>
        <w:rPr>
          <w:spacing w:val="-4"/>
        </w:rPr>
        <w:t xml:space="preserve"> </w:t>
      </w:r>
      <w:r>
        <w:t>Partnership</w:t>
      </w:r>
      <w:r>
        <w:tab/>
        <w:t>Scotland</w:t>
      </w:r>
    </w:p>
    <w:p w14:paraId="7326D5CE" w14:textId="77777777" w:rsidR="00EF3DFB" w:rsidRDefault="00D27C17">
      <w:pPr>
        <w:pStyle w:val="BodyText"/>
        <w:tabs>
          <w:tab w:val="left" w:pos="7427"/>
        </w:tabs>
        <w:spacing w:before="85"/>
        <w:ind w:left="872"/>
      </w:pPr>
      <w:r>
        <w:t>Newell Investments</w:t>
      </w:r>
      <w:r>
        <w:rPr>
          <w:spacing w:val="-8"/>
        </w:rPr>
        <w:t xml:space="preserve"> </w:t>
      </w:r>
      <w:r>
        <w:t>France</w:t>
      </w:r>
      <w:r>
        <w:rPr>
          <w:spacing w:val="-4"/>
        </w:rPr>
        <w:t xml:space="preserve"> </w:t>
      </w:r>
      <w:r>
        <w:t>SAS</w:t>
      </w:r>
      <w:r>
        <w:tab/>
        <w:t>France</w:t>
      </w:r>
    </w:p>
    <w:p w14:paraId="7326D5CF" w14:textId="77777777" w:rsidR="00EF3DFB" w:rsidRDefault="00D27C17">
      <w:pPr>
        <w:pStyle w:val="BodyText"/>
        <w:tabs>
          <w:tab w:val="left" w:pos="7427"/>
        </w:tabs>
        <w:spacing w:before="85"/>
        <w:ind w:left="872"/>
      </w:pPr>
      <w:r>
        <w:t>Newell Luxembourg Finance</w:t>
      </w:r>
      <w:r>
        <w:rPr>
          <w:spacing w:val="-9"/>
        </w:rPr>
        <w:t xml:space="preserve"> </w:t>
      </w:r>
      <w:r>
        <w:t>S.à</w:t>
      </w:r>
      <w:r>
        <w:rPr>
          <w:spacing w:val="-4"/>
        </w:rPr>
        <w:t xml:space="preserve"> </w:t>
      </w:r>
      <w:r>
        <w:t>r.l.</w:t>
      </w:r>
      <w:r>
        <w:tab/>
        <w:t>Luxembourg</w:t>
      </w:r>
    </w:p>
    <w:p w14:paraId="7326D5D0" w14:textId="77777777" w:rsidR="00EF3DFB" w:rsidRDefault="00D27C17">
      <w:pPr>
        <w:pStyle w:val="BodyText"/>
        <w:tabs>
          <w:tab w:val="left" w:pos="7427"/>
        </w:tabs>
        <w:spacing w:before="85"/>
        <w:ind w:left="872"/>
      </w:pPr>
      <w:r>
        <w:t>Newell New</w:t>
      </w:r>
      <w:r>
        <w:rPr>
          <w:spacing w:val="-9"/>
        </w:rPr>
        <w:t xml:space="preserve"> </w:t>
      </w:r>
      <w:r>
        <w:t>Zealand</w:t>
      </w:r>
      <w:r>
        <w:rPr>
          <w:spacing w:val="-4"/>
        </w:rPr>
        <w:t xml:space="preserve"> </w:t>
      </w:r>
      <w:r>
        <w:t>Limited</w:t>
      </w:r>
      <w:r>
        <w:tab/>
        <w:t>New</w:t>
      </w:r>
      <w:r>
        <w:rPr>
          <w:spacing w:val="-8"/>
        </w:rPr>
        <w:t xml:space="preserve"> </w:t>
      </w:r>
      <w:r>
        <w:t>Zealand</w:t>
      </w:r>
    </w:p>
    <w:p w14:paraId="7326D5D1" w14:textId="77777777" w:rsidR="00EF3DFB" w:rsidRDefault="00D27C17">
      <w:pPr>
        <w:pStyle w:val="BodyText"/>
        <w:tabs>
          <w:tab w:val="left" w:pos="7427"/>
        </w:tabs>
        <w:spacing w:before="85"/>
        <w:ind w:left="872"/>
      </w:pPr>
      <w:r>
        <w:t>Newell Poland Services Sp.</w:t>
      </w:r>
      <w:r>
        <w:rPr>
          <w:spacing w:val="-10"/>
        </w:rPr>
        <w:t xml:space="preserve"> </w:t>
      </w:r>
      <w:r>
        <w:t>z</w:t>
      </w:r>
      <w:r>
        <w:rPr>
          <w:spacing w:val="-3"/>
        </w:rPr>
        <w:t xml:space="preserve"> </w:t>
      </w:r>
      <w:r>
        <w:t>o.o.</w:t>
      </w:r>
      <w:r>
        <w:tab/>
        <w:t>Poland</w:t>
      </w:r>
    </w:p>
    <w:p w14:paraId="7326D5D2" w14:textId="77777777" w:rsidR="00EF3DFB" w:rsidRDefault="00D27C17">
      <w:pPr>
        <w:pStyle w:val="BodyText"/>
        <w:tabs>
          <w:tab w:val="left" w:pos="7427"/>
        </w:tabs>
        <w:spacing w:before="85"/>
        <w:ind w:left="872"/>
      </w:pPr>
      <w:r>
        <w:t>Newell Rubbermaid (M)</w:t>
      </w:r>
      <w:r>
        <w:rPr>
          <w:spacing w:val="-10"/>
        </w:rPr>
        <w:t xml:space="preserve"> </w:t>
      </w:r>
      <w:r>
        <w:t>SDN.</w:t>
      </w:r>
      <w:r>
        <w:rPr>
          <w:spacing w:val="-3"/>
        </w:rPr>
        <w:t xml:space="preserve"> </w:t>
      </w:r>
      <w:r>
        <w:t>BHD.</w:t>
      </w:r>
      <w:r>
        <w:tab/>
        <w:t>Malaysia</w:t>
      </w:r>
    </w:p>
    <w:p w14:paraId="7326D5D3" w14:textId="77777777" w:rsidR="00EF3DFB" w:rsidRDefault="00D27C17">
      <w:pPr>
        <w:pStyle w:val="BodyText"/>
        <w:tabs>
          <w:tab w:val="left" w:pos="7427"/>
        </w:tabs>
        <w:spacing w:before="85"/>
        <w:ind w:left="872"/>
      </w:pPr>
      <w:r>
        <w:t>Newell Rubbermaid (Thailand)</w:t>
      </w:r>
      <w:r>
        <w:rPr>
          <w:spacing w:val="-10"/>
        </w:rPr>
        <w:t xml:space="preserve"> </w:t>
      </w:r>
      <w:r>
        <w:t>Co.,</w:t>
      </w:r>
      <w:r>
        <w:rPr>
          <w:spacing w:val="-3"/>
        </w:rPr>
        <w:t xml:space="preserve"> </w:t>
      </w:r>
      <w:r>
        <w:t>Ltd.</w:t>
      </w:r>
      <w:r>
        <w:tab/>
        <w:t>Thailand</w:t>
      </w:r>
    </w:p>
    <w:p w14:paraId="7326D5D4" w14:textId="77777777" w:rsidR="00EF3DFB" w:rsidRDefault="00EF3DFB">
      <w:pPr>
        <w:sectPr w:rsidR="00EF3DFB">
          <w:footerReference w:type="default" r:id="rId321"/>
          <w:pgSz w:w="12240" w:h="15840"/>
          <w:pgMar w:top="1420" w:right="640" w:bottom="280" w:left="620" w:header="0" w:footer="0" w:gutter="0"/>
          <w:cols w:space="720"/>
        </w:sectPr>
      </w:pPr>
    </w:p>
    <w:p w14:paraId="7326D5D5" w14:textId="77777777" w:rsidR="00EF3DFB" w:rsidRDefault="00D27C17">
      <w:pPr>
        <w:pStyle w:val="BodyText"/>
        <w:tabs>
          <w:tab w:val="left" w:pos="7427"/>
        </w:tabs>
        <w:spacing w:before="75"/>
        <w:ind w:left="872"/>
      </w:pPr>
      <w:r>
        <w:lastRenderedPageBreak/>
        <w:t>Newell Rubbermaid Asia</w:t>
      </w:r>
      <w:r>
        <w:rPr>
          <w:spacing w:val="-14"/>
        </w:rPr>
        <w:t xml:space="preserve"> </w:t>
      </w:r>
      <w:r>
        <w:t>Pacific</w:t>
      </w:r>
      <w:r>
        <w:rPr>
          <w:spacing w:val="-5"/>
        </w:rPr>
        <w:t xml:space="preserve"> </w:t>
      </w:r>
      <w:r>
        <w:t>Limited</w:t>
      </w:r>
      <w:r>
        <w:tab/>
        <w:t>Hong</w:t>
      </w:r>
      <w:r>
        <w:rPr>
          <w:spacing w:val="-1"/>
        </w:rPr>
        <w:t xml:space="preserve"> </w:t>
      </w:r>
      <w:r>
        <w:t>Kong</w:t>
      </w:r>
    </w:p>
    <w:p w14:paraId="7326D5D6" w14:textId="77777777" w:rsidR="00EF3DFB" w:rsidRDefault="00D27C17">
      <w:pPr>
        <w:pStyle w:val="BodyText"/>
        <w:tabs>
          <w:tab w:val="left" w:pos="7427"/>
        </w:tabs>
        <w:spacing w:before="85"/>
        <w:ind w:left="872"/>
      </w:pPr>
      <w:r>
        <w:t>Newell Rubbermaid Consultancy Services (Shenzhen)</w:t>
      </w:r>
      <w:r>
        <w:rPr>
          <w:spacing w:val="-19"/>
        </w:rPr>
        <w:t xml:space="preserve"> </w:t>
      </w:r>
      <w:r>
        <w:t>Co.,</w:t>
      </w:r>
      <w:r>
        <w:rPr>
          <w:spacing w:val="-4"/>
        </w:rPr>
        <w:t xml:space="preserve"> </w:t>
      </w:r>
      <w:r>
        <w:t>Ltd.</w:t>
      </w:r>
      <w:r>
        <w:tab/>
        <w:t>China</w:t>
      </w:r>
    </w:p>
    <w:p w14:paraId="7326D5D7" w14:textId="77777777" w:rsidR="00EF3DFB" w:rsidRDefault="00D27C17">
      <w:pPr>
        <w:pStyle w:val="BodyText"/>
        <w:tabs>
          <w:tab w:val="left" w:pos="7427"/>
        </w:tabs>
        <w:spacing w:before="85"/>
        <w:ind w:left="872"/>
      </w:pPr>
      <w:r>
        <w:t>Newell Rubbermaid Czech</w:t>
      </w:r>
      <w:r>
        <w:rPr>
          <w:spacing w:val="-11"/>
        </w:rPr>
        <w:t xml:space="preserve"> </w:t>
      </w:r>
      <w:r>
        <w:t>Republic</w:t>
      </w:r>
      <w:r>
        <w:rPr>
          <w:spacing w:val="-4"/>
        </w:rPr>
        <w:t xml:space="preserve"> </w:t>
      </w:r>
      <w:r>
        <w:t>s.r.o.</w:t>
      </w:r>
      <w:r>
        <w:tab/>
        <w:t>Czech</w:t>
      </w:r>
      <w:r>
        <w:rPr>
          <w:spacing w:val="-1"/>
        </w:rPr>
        <w:t xml:space="preserve"> </w:t>
      </w:r>
      <w:r>
        <w:t>Republic</w:t>
      </w:r>
    </w:p>
    <w:p w14:paraId="7326D5D8" w14:textId="77777777" w:rsidR="00EF3DFB" w:rsidRDefault="00D27C17">
      <w:pPr>
        <w:pStyle w:val="BodyText"/>
        <w:tabs>
          <w:tab w:val="left" w:pos="7427"/>
        </w:tabs>
        <w:spacing w:before="85"/>
        <w:ind w:left="872"/>
      </w:pPr>
      <w:r>
        <w:t>Newell Rubbermaid German</w:t>
      </w:r>
      <w:r>
        <w:rPr>
          <w:spacing w:val="-10"/>
        </w:rPr>
        <w:t xml:space="preserve"> </w:t>
      </w:r>
      <w:r>
        <w:t>Holding</w:t>
      </w:r>
      <w:r>
        <w:rPr>
          <w:spacing w:val="-4"/>
        </w:rPr>
        <w:t xml:space="preserve"> </w:t>
      </w:r>
      <w:r>
        <w:t>GmbH</w:t>
      </w:r>
      <w:r>
        <w:tab/>
        <w:t>Germany</w:t>
      </w:r>
    </w:p>
    <w:p w14:paraId="7326D5D9" w14:textId="77777777" w:rsidR="00EF3DFB" w:rsidRDefault="00D27C17">
      <w:pPr>
        <w:pStyle w:val="BodyText"/>
        <w:tabs>
          <w:tab w:val="left" w:pos="7427"/>
        </w:tabs>
        <w:spacing w:before="85"/>
        <w:ind w:left="872"/>
      </w:pPr>
      <w:r>
        <w:t>Newell Rubbermaid Global Sourcing</w:t>
      </w:r>
      <w:r>
        <w:rPr>
          <w:spacing w:val="-14"/>
        </w:rPr>
        <w:t xml:space="preserve"> </w:t>
      </w:r>
      <w:r>
        <w:t>Asia</w:t>
      </w:r>
      <w:r>
        <w:rPr>
          <w:spacing w:val="-4"/>
        </w:rPr>
        <w:t xml:space="preserve"> </w:t>
      </w:r>
      <w:r>
        <w:t>L</w:t>
      </w:r>
      <w:r>
        <w:t>td.</w:t>
      </w:r>
      <w:r>
        <w:tab/>
        <w:t>Cayman</w:t>
      </w:r>
      <w:r>
        <w:rPr>
          <w:spacing w:val="-1"/>
        </w:rPr>
        <w:t xml:space="preserve"> </w:t>
      </w:r>
      <w:r>
        <w:t>Islands</w:t>
      </w:r>
    </w:p>
    <w:p w14:paraId="7326D5DA" w14:textId="77777777" w:rsidR="00EF3DFB" w:rsidRDefault="00D27C17">
      <w:pPr>
        <w:pStyle w:val="BodyText"/>
        <w:tabs>
          <w:tab w:val="left" w:pos="7427"/>
        </w:tabs>
        <w:spacing w:before="85"/>
        <w:ind w:left="872"/>
      </w:pPr>
      <w:r>
        <w:t>Newell Rubbermaid</w:t>
      </w:r>
      <w:r>
        <w:rPr>
          <w:spacing w:val="-7"/>
        </w:rPr>
        <w:t xml:space="preserve"> </w:t>
      </w:r>
      <w:r>
        <w:t>Holding</w:t>
      </w:r>
      <w:r>
        <w:rPr>
          <w:spacing w:val="-3"/>
        </w:rPr>
        <w:t xml:space="preserve"> </w:t>
      </w:r>
      <w:r>
        <w:t>B.V.</w:t>
      </w:r>
      <w:r>
        <w:tab/>
        <w:t>Netherlands</w:t>
      </w:r>
    </w:p>
    <w:p w14:paraId="7326D5DB" w14:textId="77777777" w:rsidR="00EF3DFB" w:rsidRDefault="00D27C17">
      <w:pPr>
        <w:pStyle w:val="BodyText"/>
        <w:tabs>
          <w:tab w:val="left" w:pos="7427"/>
        </w:tabs>
        <w:spacing w:before="85"/>
        <w:ind w:left="872"/>
      </w:pPr>
      <w:r>
        <w:t>Newell Rubbermaid Hungary</w:t>
      </w:r>
      <w:r>
        <w:rPr>
          <w:spacing w:val="-10"/>
        </w:rPr>
        <w:t xml:space="preserve"> </w:t>
      </w:r>
      <w:r>
        <w:t>Trading</w:t>
      </w:r>
      <w:r>
        <w:rPr>
          <w:spacing w:val="-3"/>
        </w:rPr>
        <w:t xml:space="preserve"> </w:t>
      </w:r>
      <w:r>
        <w:t>Ltd.</w:t>
      </w:r>
      <w:r>
        <w:tab/>
        <w:t>Hungary</w:t>
      </w:r>
    </w:p>
    <w:p w14:paraId="7326D5DC" w14:textId="77777777" w:rsidR="00EF3DFB" w:rsidRDefault="00D27C17">
      <w:pPr>
        <w:pStyle w:val="BodyText"/>
        <w:tabs>
          <w:tab w:val="left" w:pos="7427"/>
        </w:tabs>
        <w:spacing w:before="85"/>
        <w:ind w:left="872"/>
      </w:pPr>
      <w:r>
        <w:t>Newell Rubbermaid Kirtasiye Ticaret ve Sanayi</w:t>
      </w:r>
      <w:r>
        <w:rPr>
          <w:spacing w:val="-27"/>
        </w:rPr>
        <w:t xml:space="preserve"> </w:t>
      </w:r>
      <w:r>
        <w:t>Limited</w:t>
      </w:r>
      <w:r>
        <w:rPr>
          <w:spacing w:val="-4"/>
        </w:rPr>
        <w:t xml:space="preserve"> </w:t>
      </w:r>
      <w:r>
        <w:t>Sirketi</w:t>
      </w:r>
      <w:r>
        <w:tab/>
        <w:t>Turkey</w:t>
      </w:r>
    </w:p>
    <w:p w14:paraId="7326D5DD" w14:textId="77777777" w:rsidR="00EF3DFB" w:rsidRDefault="00D27C17">
      <w:pPr>
        <w:pStyle w:val="BodyText"/>
        <w:tabs>
          <w:tab w:val="left" w:pos="7427"/>
        </w:tabs>
        <w:spacing w:before="85"/>
        <w:ind w:left="872"/>
      </w:pPr>
      <w:r>
        <w:t>Newell Rubbermaid Mexicali, S. de R.L.</w:t>
      </w:r>
      <w:r>
        <w:rPr>
          <w:spacing w:val="-17"/>
        </w:rPr>
        <w:t xml:space="preserve"> </w:t>
      </w:r>
      <w:r>
        <w:t>de</w:t>
      </w:r>
      <w:r>
        <w:rPr>
          <w:spacing w:val="-4"/>
        </w:rPr>
        <w:t xml:space="preserve"> </w:t>
      </w:r>
      <w:r>
        <w:t>C.V.</w:t>
      </w:r>
      <w:r>
        <w:tab/>
        <w:t>Mexico</w:t>
      </w:r>
    </w:p>
    <w:p w14:paraId="7326D5DE" w14:textId="77777777" w:rsidR="00EF3DFB" w:rsidRDefault="00D27C17">
      <w:pPr>
        <w:pStyle w:val="BodyText"/>
        <w:tabs>
          <w:tab w:val="left" w:pos="7427"/>
        </w:tabs>
        <w:spacing w:before="85"/>
        <w:ind w:left="872"/>
      </w:pPr>
      <w:r>
        <w:t>Newell Rubbermaid Middle</w:t>
      </w:r>
      <w:r>
        <w:rPr>
          <w:spacing w:val="-11"/>
        </w:rPr>
        <w:t xml:space="preserve"> </w:t>
      </w:r>
      <w:r>
        <w:t>East</w:t>
      </w:r>
      <w:r>
        <w:rPr>
          <w:spacing w:val="-4"/>
        </w:rPr>
        <w:t xml:space="preserve"> </w:t>
      </w:r>
      <w:r>
        <w:t>FZE</w:t>
      </w:r>
      <w:r>
        <w:tab/>
        <w:t>United Arab</w:t>
      </w:r>
      <w:r>
        <w:rPr>
          <w:spacing w:val="-1"/>
        </w:rPr>
        <w:t xml:space="preserve"> </w:t>
      </w:r>
      <w:r>
        <w:t>Emirates</w:t>
      </w:r>
    </w:p>
    <w:p w14:paraId="7326D5DF" w14:textId="77777777" w:rsidR="00EF3DFB" w:rsidRDefault="00D27C17">
      <w:pPr>
        <w:pStyle w:val="BodyText"/>
        <w:tabs>
          <w:tab w:val="left" w:pos="7427"/>
        </w:tabs>
        <w:spacing w:before="85"/>
        <w:ind w:left="872"/>
      </w:pPr>
      <w:r>
        <w:t>Newell Rubbermaid Panama S.</w:t>
      </w:r>
      <w:r>
        <w:rPr>
          <w:spacing w:val="-12"/>
        </w:rPr>
        <w:t xml:space="preserve"> </w:t>
      </w:r>
      <w:r>
        <w:t>de</w:t>
      </w:r>
      <w:r>
        <w:rPr>
          <w:spacing w:val="-4"/>
        </w:rPr>
        <w:t xml:space="preserve"> </w:t>
      </w:r>
      <w:r>
        <w:t>R.L.</w:t>
      </w:r>
      <w:r>
        <w:tab/>
        <w:t>Panama</w:t>
      </w:r>
    </w:p>
    <w:p w14:paraId="7326D5E0" w14:textId="77777777" w:rsidR="00EF3DFB" w:rsidRDefault="00D27C17">
      <w:pPr>
        <w:pStyle w:val="BodyText"/>
        <w:tabs>
          <w:tab w:val="left" w:pos="7427"/>
        </w:tabs>
        <w:spacing w:before="85"/>
        <w:ind w:left="872"/>
      </w:pPr>
      <w:r>
        <w:t>Newell Rubbermaid Products (Shanghai)</w:t>
      </w:r>
      <w:r>
        <w:rPr>
          <w:spacing w:val="-13"/>
        </w:rPr>
        <w:t xml:space="preserve"> </w:t>
      </w:r>
      <w:r>
        <w:t>Co.,</w:t>
      </w:r>
      <w:r>
        <w:rPr>
          <w:spacing w:val="-3"/>
        </w:rPr>
        <w:t xml:space="preserve"> </w:t>
      </w:r>
      <w:r>
        <w:t>Ltd.</w:t>
      </w:r>
      <w:r>
        <w:tab/>
        <w:t>China</w:t>
      </w:r>
    </w:p>
    <w:p w14:paraId="7326D5E1" w14:textId="77777777" w:rsidR="00EF3DFB" w:rsidRDefault="00D27C17">
      <w:pPr>
        <w:pStyle w:val="BodyText"/>
        <w:tabs>
          <w:tab w:val="left" w:pos="7427"/>
        </w:tabs>
        <w:spacing w:before="85"/>
        <w:ind w:left="872"/>
      </w:pPr>
      <w:r>
        <w:t>Newell Rubbermaid Servicios de Mexico, S. de R.L.</w:t>
      </w:r>
      <w:r>
        <w:rPr>
          <w:spacing w:val="-21"/>
        </w:rPr>
        <w:t xml:space="preserve"> </w:t>
      </w:r>
      <w:r>
        <w:t>de</w:t>
      </w:r>
      <w:r>
        <w:rPr>
          <w:spacing w:val="-4"/>
        </w:rPr>
        <w:t xml:space="preserve"> </w:t>
      </w:r>
      <w:r>
        <w:t>C.V.</w:t>
      </w:r>
      <w:r>
        <w:tab/>
        <w:t>Mexico</w:t>
      </w:r>
    </w:p>
    <w:p w14:paraId="7326D5E2" w14:textId="77777777" w:rsidR="00EF3DFB" w:rsidRDefault="00D27C17">
      <w:pPr>
        <w:pStyle w:val="BodyText"/>
        <w:tabs>
          <w:tab w:val="left" w:pos="7427"/>
        </w:tabs>
        <w:spacing w:before="85"/>
        <w:ind w:left="872"/>
      </w:pPr>
      <w:r>
        <w:t>Newell Rubbermaid Sourcing Management Hong</w:t>
      </w:r>
      <w:r>
        <w:rPr>
          <w:spacing w:val="-16"/>
        </w:rPr>
        <w:t xml:space="preserve"> </w:t>
      </w:r>
      <w:r>
        <w:t>Kong</w:t>
      </w:r>
      <w:r>
        <w:rPr>
          <w:spacing w:val="-3"/>
        </w:rPr>
        <w:t xml:space="preserve"> </w:t>
      </w:r>
      <w:r>
        <w:t>LP</w:t>
      </w:r>
      <w:r>
        <w:tab/>
        <w:t>Hong</w:t>
      </w:r>
      <w:r>
        <w:rPr>
          <w:spacing w:val="-2"/>
        </w:rPr>
        <w:t xml:space="preserve"> </w:t>
      </w:r>
      <w:r>
        <w:t>Kong</w:t>
      </w:r>
    </w:p>
    <w:p w14:paraId="7326D5E3" w14:textId="77777777" w:rsidR="00EF3DFB" w:rsidRDefault="00D27C17">
      <w:pPr>
        <w:pStyle w:val="BodyText"/>
        <w:tabs>
          <w:tab w:val="left" w:pos="7427"/>
        </w:tabs>
        <w:spacing w:before="85"/>
        <w:ind w:left="872"/>
      </w:pPr>
      <w:r>
        <w:t>Newell Rubbermaid Sourcing Services Hong</w:t>
      </w:r>
      <w:r>
        <w:rPr>
          <w:spacing w:val="-18"/>
        </w:rPr>
        <w:t xml:space="preserve"> </w:t>
      </w:r>
      <w:r>
        <w:t>Kong</w:t>
      </w:r>
      <w:r>
        <w:rPr>
          <w:spacing w:val="-4"/>
        </w:rPr>
        <w:t xml:space="preserve"> </w:t>
      </w:r>
      <w:r>
        <w:t>Limited</w:t>
      </w:r>
      <w:r>
        <w:tab/>
        <w:t>Hong</w:t>
      </w:r>
      <w:r>
        <w:rPr>
          <w:spacing w:val="-2"/>
        </w:rPr>
        <w:t xml:space="preserve"> </w:t>
      </w:r>
      <w:r>
        <w:t>Kong</w:t>
      </w:r>
    </w:p>
    <w:p w14:paraId="7326D5E4" w14:textId="77777777" w:rsidR="00EF3DFB" w:rsidRDefault="00D27C17">
      <w:pPr>
        <w:pStyle w:val="BodyText"/>
        <w:tabs>
          <w:tab w:val="left" w:pos="7427"/>
        </w:tabs>
        <w:spacing w:before="85"/>
        <w:ind w:left="872"/>
      </w:pPr>
      <w:r>
        <w:t>Newell Rubbermaid</w:t>
      </w:r>
      <w:r>
        <w:rPr>
          <w:spacing w:val="-7"/>
        </w:rPr>
        <w:t xml:space="preserve"> </w:t>
      </w:r>
      <w:r>
        <w:t>Sweden</w:t>
      </w:r>
      <w:r>
        <w:rPr>
          <w:spacing w:val="-3"/>
        </w:rPr>
        <w:t xml:space="preserve"> </w:t>
      </w:r>
      <w:r>
        <w:t>AB</w:t>
      </w:r>
      <w:r>
        <w:tab/>
        <w:t>Sweden</w:t>
      </w:r>
    </w:p>
    <w:p w14:paraId="7326D5E5" w14:textId="77777777" w:rsidR="00EF3DFB" w:rsidRDefault="00D27C17">
      <w:pPr>
        <w:pStyle w:val="BodyText"/>
        <w:tabs>
          <w:tab w:val="left" w:pos="7427"/>
        </w:tabs>
        <w:spacing w:before="85"/>
        <w:ind w:left="872"/>
      </w:pPr>
      <w:r>
        <w:t>Newell Rubbermaid Trading (Shanghai)</w:t>
      </w:r>
      <w:r>
        <w:rPr>
          <w:spacing w:val="-12"/>
        </w:rPr>
        <w:t xml:space="preserve"> </w:t>
      </w:r>
      <w:r>
        <w:t>Co.,</w:t>
      </w:r>
      <w:r>
        <w:rPr>
          <w:spacing w:val="-3"/>
        </w:rPr>
        <w:t xml:space="preserve"> </w:t>
      </w:r>
      <w:r>
        <w:t>Ltd.</w:t>
      </w:r>
      <w:r>
        <w:tab/>
        <w:t>China</w:t>
      </w:r>
    </w:p>
    <w:p w14:paraId="7326D5E6" w14:textId="77777777" w:rsidR="00EF3DFB" w:rsidRDefault="00D27C17">
      <w:pPr>
        <w:pStyle w:val="BodyText"/>
        <w:tabs>
          <w:tab w:val="left" w:pos="7427"/>
        </w:tabs>
        <w:spacing w:before="85"/>
        <w:ind w:left="872"/>
      </w:pPr>
      <w:r>
        <w:t>Newell Rubbermaid UK</w:t>
      </w:r>
      <w:r>
        <w:rPr>
          <w:spacing w:val="-12"/>
        </w:rPr>
        <w:t xml:space="preserve"> </w:t>
      </w:r>
      <w:r>
        <w:t>Holdings</w:t>
      </w:r>
      <w:r>
        <w:rPr>
          <w:spacing w:val="-5"/>
        </w:rPr>
        <w:t xml:space="preserve"> </w:t>
      </w:r>
      <w:r>
        <w:t>Limited</w:t>
      </w:r>
      <w:r>
        <w:tab/>
        <w:t>Unite</w:t>
      </w:r>
      <w:r>
        <w:t>d</w:t>
      </w:r>
      <w:r>
        <w:rPr>
          <w:spacing w:val="-6"/>
        </w:rPr>
        <w:t xml:space="preserve"> </w:t>
      </w:r>
      <w:r>
        <w:t>Kingdom</w:t>
      </w:r>
    </w:p>
    <w:p w14:paraId="7326D5E7" w14:textId="77777777" w:rsidR="00EF3DFB" w:rsidRDefault="00D27C17">
      <w:pPr>
        <w:pStyle w:val="BodyText"/>
        <w:tabs>
          <w:tab w:val="left" w:pos="7427"/>
        </w:tabs>
        <w:spacing w:before="85"/>
        <w:ind w:left="872"/>
      </w:pPr>
      <w:r>
        <w:t>Newell Rubbermaid</w:t>
      </w:r>
      <w:r>
        <w:rPr>
          <w:spacing w:val="-8"/>
        </w:rPr>
        <w:t xml:space="preserve"> </w:t>
      </w:r>
      <w:r>
        <w:t>UK</w:t>
      </w:r>
      <w:r>
        <w:rPr>
          <w:spacing w:val="-5"/>
        </w:rPr>
        <w:t xml:space="preserve"> </w:t>
      </w:r>
      <w:r>
        <w:t>Limited</w:t>
      </w:r>
      <w:r>
        <w:tab/>
        <w:t>United</w:t>
      </w:r>
      <w:r>
        <w:rPr>
          <w:spacing w:val="-6"/>
        </w:rPr>
        <w:t xml:space="preserve"> </w:t>
      </w:r>
      <w:r>
        <w:t>Kingdom</w:t>
      </w:r>
    </w:p>
    <w:p w14:paraId="7326D5E8" w14:textId="77777777" w:rsidR="00EF3DFB" w:rsidRDefault="00D27C17">
      <w:pPr>
        <w:pStyle w:val="BodyText"/>
        <w:tabs>
          <w:tab w:val="left" w:pos="7427"/>
        </w:tabs>
        <w:spacing w:before="85"/>
        <w:ind w:left="872"/>
      </w:pPr>
      <w:r>
        <w:t>Newell Rubbermaid</w:t>
      </w:r>
      <w:r>
        <w:rPr>
          <w:spacing w:val="-7"/>
        </w:rPr>
        <w:t xml:space="preserve"> </w:t>
      </w:r>
      <w:r>
        <w:t>UK</w:t>
      </w:r>
      <w:r>
        <w:rPr>
          <w:spacing w:val="-4"/>
        </w:rPr>
        <w:t xml:space="preserve"> </w:t>
      </w:r>
      <w:r>
        <w:t>Production</w:t>
      </w:r>
      <w:r>
        <w:tab/>
        <w:t>United</w:t>
      </w:r>
      <w:r>
        <w:rPr>
          <w:spacing w:val="-6"/>
        </w:rPr>
        <w:t xml:space="preserve"> </w:t>
      </w:r>
      <w:r>
        <w:t>Kingdom</w:t>
      </w:r>
    </w:p>
    <w:p w14:paraId="7326D5E9" w14:textId="77777777" w:rsidR="00EF3DFB" w:rsidRDefault="00D27C17">
      <w:pPr>
        <w:pStyle w:val="BodyText"/>
        <w:tabs>
          <w:tab w:val="left" w:pos="7427"/>
        </w:tabs>
        <w:spacing w:before="85"/>
        <w:ind w:left="872"/>
      </w:pPr>
      <w:r>
        <w:t>Newell Rubbermaid UK</w:t>
      </w:r>
      <w:r>
        <w:rPr>
          <w:spacing w:val="-13"/>
        </w:rPr>
        <w:t xml:space="preserve"> </w:t>
      </w:r>
      <w:r>
        <w:t>Services</w:t>
      </w:r>
      <w:r>
        <w:rPr>
          <w:spacing w:val="-5"/>
        </w:rPr>
        <w:t xml:space="preserve"> </w:t>
      </w:r>
      <w:r>
        <w:t>Limited</w:t>
      </w:r>
      <w:r>
        <w:tab/>
        <w:t>United</w:t>
      </w:r>
      <w:r>
        <w:rPr>
          <w:spacing w:val="-6"/>
        </w:rPr>
        <w:t xml:space="preserve"> </w:t>
      </w:r>
      <w:r>
        <w:t>Kingdom</w:t>
      </w:r>
    </w:p>
    <w:p w14:paraId="7326D5EA" w14:textId="77777777" w:rsidR="00EF3DFB" w:rsidRDefault="00D27C17">
      <w:pPr>
        <w:pStyle w:val="BodyText"/>
        <w:tabs>
          <w:tab w:val="left" w:pos="7427"/>
        </w:tabs>
        <w:spacing w:before="85"/>
        <w:ind w:left="872"/>
      </w:pPr>
      <w:r>
        <w:t>Newell Spain</w:t>
      </w:r>
      <w:r>
        <w:rPr>
          <w:spacing w:val="-6"/>
        </w:rPr>
        <w:t xml:space="preserve"> </w:t>
      </w:r>
      <w:r>
        <w:t>Holding,</w:t>
      </w:r>
      <w:r>
        <w:rPr>
          <w:spacing w:val="-3"/>
        </w:rPr>
        <w:t xml:space="preserve"> </w:t>
      </w:r>
      <w:r>
        <w:t>S.L.</w:t>
      </w:r>
      <w:r>
        <w:tab/>
        <w:t>Spain</w:t>
      </w:r>
    </w:p>
    <w:p w14:paraId="7326D5EB" w14:textId="77777777" w:rsidR="00EF3DFB" w:rsidRDefault="00D27C17">
      <w:pPr>
        <w:pStyle w:val="BodyText"/>
        <w:tabs>
          <w:tab w:val="left" w:pos="7427"/>
        </w:tabs>
        <w:spacing w:before="85"/>
        <w:ind w:left="872"/>
      </w:pPr>
      <w:r>
        <w:t>Newell Spain</w:t>
      </w:r>
      <w:r>
        <w:rPr>
          <w:spacing w:val="-7"/>
        </w:rPr>
        <w:t xml:space="preserve"> </w:t>
      </w:r>
      <w:r>
        <w:t>Services,</w:t>
      </w:r>
      <w:r>
        <w:rPr>
          <w:spacing w:val="-4"/>
        </w:rPr>
        <w:t xml:space="preserve"> </w:t>
      </w:r>
      <w:r>
        <w:t>S.L.</w:t>
      </w:r>
      <w:r>
        <w:tab/>
        <w:t>Spain</w:t>
      </w:r>
    </w:p>
    <w:p w14:paraId="7326D5EC" w14:textId="77777777" w:rsidR="00EF3DFB" w:rsidRDefault="00D27C17">
      <w:pPr>
        <w:pStyle w:val="BodyText"/>
        <w:tabs>
          <w:tab w:val="left" w:pos="7427"/>
        </w:tabs>
        <w:spacing w:before="85"/>
        <w:ind w:left="872"/>
      </w:pPr>
      <w:r>
        <w:t>Newell</w:t>
      </w:r>
      <w:r>
        <w:rPr>
          <w:spacing w:val="-4"/>
        </w:rPr>
        <w:t xml:space="preserve"> </w:t>
      </w:r>
      <w:r>
        <w:t>Spain,</w:t>
      </w:r>
      <w:r>
        <w:rPr>
          <w:spacing w:val="-3"/>
        </w:rPr>
        <w:t xml:space="preserve"> </w:t>
      </w:r>
      <w:r>
        <w:t>S.L.</w:t>
      </w:r>
      <w:r>
        <w:tab/>
        <w:t>Spain</w:t>
      </w:r>
    </w:p>
    <w:p w14:paraId="7326D5ED" w14:textId="77777777" w:rsidR="00EF3DFB" w:rsidRDefault="00D27C17">
      <w:pPr>
        <w:pStyle w:val="BodyText"/>
        <w:tabs>
          <w:tab w:val="left" w:pos="7427"/>
        </w:tabs>
        <w:spacing w:before="85"/>
        <w:ind w:left="872"/>
      </w:pPr>
      <w:r>
        <w:t>Nimex Saltillo S.A.</w:t>
      </w:r>
      <w:r>
        <w:rPr>
          <w:spacing w:val="-8"/>
        </w:rPr>
        <w:t xml:space="preserve"> </w:t>
      </w:r>
      <w:r>
        <w:t>de</w:t>
      </w:r>
      <w:r>
        <w:rPr>
          <w:spacing w:val="-4"/>
        </w:rPr>
        <w:t xml:space="preserve"> </w:t>
      </w:r>
      <w:r>
        <w:t>C.V.</w:t>
      </w:r>
      <w:r>
        <w:tab/>
        <w:t>Mexico</w:t>
      </w:r>
    </w:p>
    <w:p w14:paraId="7326D5EE" w14:textId="77777777" w:rsidR="00EF3DFB" w:rsidRDefault="00D27C17">
      <w:pPr>
        <w:pStyle w:val="BodyText"/>
        <w:tabs>
          <w:tab w:val="left" w:pos="7427"/>
        </w:tabs>
        <w:spacing w:before="85"/>
        <w:ind w:left="872"/>
      </w:pPr>
      <w:r>
        <w:t>Northern Aqueduct</w:t>
      </w:r>
      <w:r>
        <w:rPr>
          <w:spacing w:val="-4"/>
        </w:rPr>
        <w:t xml:space="preserve"> </w:t>
      </w:r>
      <w:r>
        <w:t>I,</w:t>
      </w:r>
      <w:r>
        <w:rPr>
          <w:spacing w:val="-2"/>
        </w:rPr>
        <w:t xml:space="preserve"> </w:t>
      </w:r>
      <w:r>
        <w:t>B.V.</w:t>
      </w:r>
      <w:r>
        <w:tab/>
        <w:t>Netherlands</w:t>
      </w:r>
    </w:p>
    <w:p w14:paraId="7326D5EF" w14:textId="77777777" w:rsidR="00EF3DFB" w:rsidRDefault="00D27C17">
      <w:pPr>
        <w:pStyle w:val="BodyText"/>
        <w:tabs>
          <w:tab w:val="left" w:pos="7427"/>
        </w:tabs>
        <w:spacing w:before="85"/>
        <w:ind w:left="872"/>
      </w:pPr>
      <w:r>
        <w:t>Northern Aqueduct</w:t>
      </w:r>
      <w:r>
        <w:rPr>
          <w:spacing w:val="-4"/>
        </w:rPr>
        <w:t xml:space="preserve"> </w:t>
      </w:r>
      <w:r>
        <w:t>II,</w:t>
      </w:r>
      <w:r>
        <w:rPr>
          <w:spacing w:val="-2"/>
        </w:rPr>
        <w:t xml:space="preserve"> </w:t>
      </w:r>
      <w:r>
        <w:t>B.V.</w:t>
      </w:r>
      <w:r>
        <w:tab/>
        <w:t>Netherlands</w:t>
      </w:r>
    </w:p>
    <w:p w14:paraId="7326D5F0" w14:textId="77777777" w:rsidR="00EF3DFB" w:rsidRDefault="00D27C17">
      <w:pPr>
        <w:pStyle w:val="BodyText"/>
        <w:tabs>
          <w:tab w:val="left" w:pos="7427"/>
        </w:tabs>
        <w:spacing w:before="86"/>
        <w:ind w:left="872"/>
      </w:pPr>
      <w:r>
        <w:t>NR Canada</w:t>
      </w:r>
      <w:r>
        <w:rPr>
          <w:spacing w:val="-6"/>
        </w:rPr>
        <w:t xml:space="preserve"> </w:t>
      </w:r>
      <w:r>
        <w:t>Holding</w:t>
      </w:r>
      <w:r>
        <w:rPr>
          <w:spacing w:val="-2"/>
        </w:rPr>
        <w:t xml:space="preserve"> </w:t>
      </w:r>
      <w:r>
        <w:t>ULC</w:t>
      </w:r>
      <w:r>
        <w:tab/>
        <w:t>Canada</w:t>
      </w:r>
    </w:p>
    <w:p w14:paraId="7326D5F1" w14:textId="77777777" w:rsidR="00EF3DFB" w:rsidRDefault="00D27C17">
      <w:pPr>
        <w:pStyle w:val="BodyText"/>
        <w:tabs>
          <w:tab w:val="left" w:pos="7427"/>
        </w:tabs>
        <w:spacing w:before="85"/>
        <w:ind w:left="872"/>
      </w:pPr>
      <w:r>
        <w:t>NR</w:t>
      </w:r>
      <w:r>
        <w:rPr>
          <w:spacing w:val="-3"/>
        </w:rPr>
        <w:t xml:space="preserve"> </w:t>
      </w:r>
      <w:r>
        <w:t>Capital</w:t>
      </w:r>
      <w:r>
        <w:rPr>
          <w:spacing w:val="-3"/>
        </w:rPr>
        <w:t xml:space="preserve"> </w:t>
      </w:r>
      <w:r>
        <w:t>Co.</w:t>
      </w:r>
      <w:r>
        <w:tab/>
        <w:t>Canada</w:t>
      </w:r>
    </w:p>
    <w:p w14:paraId="7326D5F2" w14:textId="77777777" w:rsidR="00EF3DFB" w:rsidRDefault="00D27C17">
      <w:pPr>
        <w:pStyle w:val="BodyText"/>
        <w:tabs>
          <w:tab w:val="left" w:pos="7427"/>
        </w:tabs>
        <w:spacing w:before="85"/>
        <w:ind w:left="872"/>
      </w:pPr>
      <w:r>
        <w:t>NR</w:t>
      </w:r>
      <w:r>
        <w:rPr>
          <w:spacing w:val="-3"/>
        </w:rPr>
        <w:t xml:space="preserve"> </w:t>
      </w:r>
      <w:r>
        <w:t>Finance</w:t>
      </w:r>
      <w:r>
        <w:rPr>
          <w:spacing w:val="-3"/>
        </w:rPr>
        <w:t xml:space="preserve"> </w:t>
      </w:r>
      <w:r>
        <w:t>Co.</w:t>
      </w:r>
      <w:r>
        <w:tab/>
        <w:t>Canada</w:t>
      </w:r>
    </w:p>
    <w:p w14:paraId="7326D5F3" w14:textId="77777777" w:rsidR="00EF3DFB" w:rsidRDefault="00D27C17">
      <w:pPr>
        <w:pStyle w:val="BodyText"/>
        <w:tabs>
          <w:tab w:val="left" w:pos="7427"/>
        </w:tabs>
        <w:spacing w:before="85"/>
        <w:ind w:left="872"/>
      </w:pPr>
      <w:r>
        <w:t>NWL</w:t>
      </w:r>
      <w:r>
        <w:rPr>
          <w:spacing w:val="-3"/>
        </w:rPr>
        <w:t xml:space="preserve"> </w:t>
      </w:r>
      <w:r>
        <w:t>Austria</w:t>
      </w:r>
      <w:r>
        <w:rPr>
          <w:spacing w:val="-3"/>
        </w:rPr>
        <w:t xml:space="preserve"> </w:t>
      </w:r>
      <w:r>
        <w:t>GmbH</w:t>
      </w:r>
      <w:r>
        <w:tab/>
        <w:t>Austria</w:t>
      </w:r>
    </w:p>
    <w:p w14:paraId="7326D5F4" w14:textId="77777777" w:rsidR="00EF3DFB" w:rsidRDefault="00D27C17">
      <w:pPr>
        <w:pStyle w:val="BodyText"/>
        <w:tabs>
          <w:tab w:val="left" w:pos="7427"/>
        </w:tabs>
        <w:spacing w:before="85"/>
        <w:ind w:left="872"/>
      </w:pPr>
      <w:r>
        <w:t>NWL</w:t>
      </w:r>
      <w:r>
        <w:rPr>
          <w:spacing w:val="-3"/>
        </w:rPr>
        <w:t xml:space="preserve"> </w:t>
      </w:r>
      <w:r>
        <w:t>Belgium</w:t>
      </w:r>
      <w:r>
        <w:rPr>
          <w:spacing w:val="-3"/>
        </w:rPr>
        <w:t xml:space="preserve"> </w:t>
      </w:r>
      <w:r>
        <w:t>BV</w:t>
      </w:r>
      <w:r>
        <w:tab/>
        <w:t>Belgium</w:t>
      </w:r>
    </w:p>
    <w:p w14:paraId="7326D5F5" w14:textId="77777777" w:rsidR="00EF3DFB" w:rsidRDefault="00D27C17">
      <w:pPr>
        <w:pStyle w:val="BodyText"/>
        <w:tabs>
          <w:tab w:val="left" w:pos="7427"/>
        </w:tabs>
        <w:spacing w:before="85"/>
        <w:ind w:left="872"/>
      </w:pPr>
      <w:r>
        <w:t>NWL Belgium</w:t>
      </w:r>
      <w:r>
        <w:rPr>
          <w:spacing w:val="-7"/>
        </w:rPr>
        <w:t xml:space="preserve"> </w:t>
      </w:r>
      <w:r>
        <w:t>Production</w:t>
      </w:r>
      <w:r>
        <w:rPr>
          <w:spacing w:val="-3"/>
        </w:rPr>
        <w:t xml:space="preserve"> </w:t>
      </w:r>
      <w:r>
        <w:t>BV</w:t>
      </w:r>
      <w:r>
        <w:tab/>
        <w:t>Belgium</w:t>
      </w:r>
    </w:p>
    <w:p w14:paraId="7326D5F6" w14:textId="77777777" w:rsidR="00EF3DFB" w:rsidRDefault="00D27C17">
      <w:pPr>
        <w:pStyle w:val="BodyText"/>
        <w:tabs>
          <w:tab w:val="left" w:pos="7427"/>
        </w:tabs>
        <w:spacing w:before="85"/>
        <w:ind w:left="872"/>
      </w:pPr>
      <w:r>
        <w:t>NWL Belgium</w:t>
      </w:r>
      <w:r>
        <w:rPr>
          <w:spacing w:val="-7"/>
        </w:rPr>
        <w:t xml:space="preserve"> </w:t>
      </w:r>
      <w:r>
        <w:t>Services</w:t>
      </w:r>
      <w:r>
        <w:rPr>
          <w:spacing w:val="-4"/>
        </w:rPr>
        <w:t xml:space="preserve"> </w:t>
      </w:r>
      <w:r>
        <w:t>BV</w:t>
      </w:r>
      <w:r>
        <w:tab/>
        <w:t>Belgium</w:t>
      </w:r>
    </w:p>
    <w:p w14:paraId="7326D5F7" w14:textId="77777777" w:rsidR="00EF3DFB" w:rsidRDefault="00D27C17">
      <w:pPr>
        <w:pStyle w:val="BodyText"/>
        <w:tabs>
          <w:tab w:val="left" w:pos="7427"/>
        </w:tabs>
        <w:spacing w:before="85"/>
        <w:ind w:left="872"/>
      </w:pPr>
      <w:r>
        <w:t>NWL Brands</w:t>
      </w:r>
      <w:r>
        <w:rPr>
          <w:spacing w:val="-7"/>
        </w:rPr>
        <w:t xml:space="preserve"> </w:t>
      </w:r>
      <w:r>
        <w:t>Export</w:t>
      </w:r>
      <w:r>
        <w:rPr>
          <w:spacing w:val="-4"/>
        </w:rPr>
        <w:t xml:space="preserve"> </w:t>
      </w:r>
      <w:r>
        <w:t>Limited</w:t>
      </w:r>
      <w:r>
        <w:tab/>
        <w:t>United</w:t>
      </w:r>
      <w:r>
        <w:rPr>
          <w:spacing w:val="-1"/>
        </w:rPr>
        <w:t xml:space="preserve"> </w:t>
      </w:r>
      <w:r>
        <w:t>Kingdom</w:t>
      </w:r>
    </w:p>
    <w:p w14:paraId="7326D5F8" w14:textId="77777777" w:rsidR="00EF3DFB" w:rsidRDefault="00D27C17">
      <w:pPr>
        <w:pStyle w:val="BodyText"/>
        <w:tabs>
          <w:tab w:val="left" w:pos="7427"/>
        </w:tabs>
        <w:spacing w:before="85"/>
        <w:ind w:left="872"/>
      </w:pPr>
      <w:r>
        <w:t>NWL Cayman</w:t>
      </w:r>
      <w:r>
        <w:rPr>
          <w:spacing w:val="-6"/>
        </w:rPr>
        <w:t xml:space="preserve"> </w:t>
      </w:r>
      <w:r>
        <w:t>Holdings</w:t>
      </w:r>
      <w:r>
        <w:rPr>
          <w:spacing w:val="-4"/>
        </w:rPr>
        <w:t xml:space="preserve"> </w:t>
      </w:r>
      <w:r>
        <w:t>Ltd.</w:t>
      </w:r>
      <w:r>
        <w:tab/>
        <w:t>Cayman</w:t>
      </w:r>
      <w:r>
        <w:rPr>
          <w:spacing w:val="-1"/>
        </w:rPr>
        <w:t xml:space="preserve"> </w:t>
      </w:r>
      <w:r>
        <w:t>Islands</w:t>
      </w:r>
    </w:p>
    <w:p w14:paraId="7326D5F9" w14:textId="77777777" w:rsidR="00EF3DFB" w:rsidRDefault="00D27C17">
      <w:pPr>
        <w:pStyle w:val="BodyText"/>
        <w:tabs>
          <w:tab w:val="left" w:pos="7427"/>
        </w:tabs>
        <w:spacing w:before="85"/>
        <w:ind w:left="872"/>
      </w:pPr>
      <w:r>
        <w:t>NWL Denmark</w:t>
      </w:r>
      <w:r>
        <w:rPr>
          <w:spacing w:val="-6"/>
        </w:rPr>
        <w:t xml:space="preserve"> </w:t>
      </w:r>
      <w:r>
        <w:t>Services</w:t>
      </w:r>
      <w:r>
        <w:rPr>
          <w:spacing w:val="-4"/>
        </w:rPr>
        <w:t xml:space="preserve"> </w:t>
      </w:r>
      <w:r>
        <w:t>ApS</w:t>
      </w:r>
      <w:r>
        <w:tab/>
        <w:t>Denmark</w:t>
      </w:r>
    </w:p>
    <w:p w14:paraId="7326D5FA" w14:textId="77777777" w:rsidR="00EF3DFB" w:rsidRDefault="00D27C17">
      <w:pPr>
        <w:pStyle w:val="BodyText"/>
        <w:tabs>
          <w:tab w:val="left" w:pos="7427"/>
        </w:tabs>
        <w:spacing w:before="85"/>
        <w:ind w:left="872"/>
      </w:pPr>
      <w:r>
        <w:t>NWL European Finance</w:t>
      </w:r>
      <w:r>
        <w:rPr>
          <w:spacing w:val="-8"/>
        </w:rPr>
        <w:t xml:space="preserve"> </w:t>
      </w:r>
      <w:r>
        <w:t>S.à</w:t>
      </w:r>
      <w:r>
        <w:rPr>
          <w:spacing w:val="-3"/>
        </w:rPr>
        <w:t xml:space="preserve"> </w:t>
      </w:r>
      <w:r>
        <w:t>r.l.</w:t>
      </w:r>
      <w:r>
        <w:tab/>
        <w:t>Luxembourg</w:t>
      </w:r>
    </w:p>
    <w:p w14:paraId="7326D5FB" w14:textId="77777777" w:rsidR="00EF3DFB" w:rsidRDefault="00D27C17">
      <w:pPr>
        <w:pStyle w:val="BodyText"/>
        <w:tabs>
          <w:tab w:val="left" w:pos="7427"/>
        </w:tabs>
        <w:spacing w:before="85"/>
        <w:ind w:left="872"/>
      </w:pPr>
      <w:r>
        <w:t>NWL</w:t>
      </w:r>
      <w:r>
        <w:rPr>
          <w:spacing w:val="-3"/>
        </w:rPr>
        <w:t xml:space="preserve"> </w:t>
      </w:r>
      <w:r>
        <w:t>Finland</w:t>
      </w:r>
      <w:r>
        <w:rPr>
          <w:spacing w:val="-2"/>
        </w:rPr>
        <w:t xml:space="preserve"> </w:t>
      </w:r>
      <w:r>
        <w:t>OY</w:t>
      </w:r>
      <w:r>
        <w:tab/>
        <w:t>Finland</w:t>
      </w:r>
    </w:p>
    <w:p w14:paraId="7326D5FC" w14:textId="77777777" w:rsidR="00EF3DFB" w:rsidRDefault="00D27C17">
      <w:pPr>
        <w:pStyle w:val="BodyText"/>
        <w:tabs>
          <w:tab w:val="left" w:pos="7427"/>
        </w:tabs>
        <w:spacing w:before="85"/>
        <w:ind w:left="872"/>
      </w:pPr>
      <w:r>
        <w:t>NWL France</w:t>
      </w:r>
      <w:r>
        <w:rPr>
          <w:spacing w:val="-7"/>
        </w:rPr>
        <w:t xml:space="preserve"> </w:t>
      </w:r>
      <w:r>
        <w:t>Production</w:t>
      </w:r>
      <w:r>
        <w:rPr>
          <w:spacing w:val="-3"/>
        </w:rPr>
        <w:t xml:space="preserve"> </w:t>
      </w:r>
      <w:r>
        <w:t>SAS</w:t>
      </w:r>
      <w:r>
        <w:tab/>
      </w:r>
      <w:r>
        <w:t>France</w:t>
      </w:r>
    </w:p>
    <w:p w14:paraId="7326D5FD" w14:textId="77777777" w:rsidR="00EF3DFB" w:rsidRDefault="00D27C17">
      <w:pPr>
        <w:pStyle w:val="BodyText"/>
        <w:tabs>
          <w:tab w:val="left" w:pos="7427"/>
        </w:tabs>
        <w:spacing w:before="85"/>
        <w:ind w:left="872"/>
      </w:pPr>
      <w:r>
        <w:t>NWL</w:t>
      </w:r>
      <w:r>
        <w:rPr>
          <w:spacing w:val="-3"/>
        </w:rPr>
        <w:t xml:space="preserve"> </w:t>
      </w:r>
      <w:r>
        <w:t>France</w:t>
      </w:r>
      <w:r>
        <w:rPr>
          <w:spacing w:val="-3"/>
        </w:rPr>
        <w:t xml:space="preserve"> </w:t>
      </w:r>
      <w:r>
        <w:t>SAS</w:t>
      </w:r>
      <w:r>
        <w:tab/>
        <w:t>France</w:t>
      </w:r>
    </w:p>
    <w:p w14:paraId="7326D5FE" w14:textId="77777777" w:rsidR="00EF3DFB" w:rsidRDefault="00EF3DFB">
      <w:pPr>
        <w:sectPr w:rsidR="00EF3DFB">
          <w:footerReference w:type="default" r:id="rId322"/>
          <w:pgSz w:w="12240" w:h="15840"/>
          <w:pgMar w:top="1420" w:right="640" w:bottom="280" w:left="620" w:header="0" w:footer="0" w:gutter="0"/>
          <w:cols w:space="720"/>
        </w:sectPr>
      </w:pPr>
    </w:p>
    <w:p w14:paraId="7326D5FF" w14:textId="77777777" w:rsidR="00EF3DFB" w:rsidRDefault="00D27C17">
      <w:pPr>
        <w:pStyle w:val="BodyText"/>
        <w:tabs>
          <w:tab w:val="left" w:pos="7427"/>
        </w:tabs>
        <w:spacing w:before="75"/>
        <w:ind w:left="872"/>
      </w:pPr>
      <w:r>
        <w:lastRenderedPageBreak/>
        <w:t>NWL France</w:t>
      </w:r>
      <w:r>
        <w:rPr>
          <w:spacing w:val="-7"/>
        </w:rPr>
        <w:t xml:space="preserve"> </w:t>
      </w:r>
      <w:r>
        <w:t>Services</w:t>
      </w:r>
      <w:r>
        <w:rPr>
          <w:spacing w:val="-4"/>
        </w:rPr>
        <w:t xml:space="preserve"> </w:t>
      </w:r>
      <w:r>
        <w:t>SAS</w:t>
      </w:r>
      <w:r>
        <w:tab/>
        <w:t>France</w:t>
      </w:r>
    </w:p>
    <w:p w14:paraId="7326D600" w14:textId="77777777" w:rsidR="00EF3DFB" w:rsidRDefault="00D27C17">
      <w:pPr>
        <w:pStyle w:val="BodyText"/>
        <w:tabs>
          <w:tab w:val="left" w:pos="7427"/>
        </w:tabs>
        <w:spacing w:before="85"/>
        <w:ind w:left="872"/>
      </w:pPr>
      <w:r>
        <w:t>NWL</w:t>
      </w:r>
      <w:r>
        <w:rPr>
          <w:spacing w:val="-3"/>
        </w:rPr>
        <w:t xml:space="preserve"> </w:t>
      </w:r>
      <w:r>
        <w:t>Germany</w:t>
      </w:r>
      <w:r>
        <w:rPr>
          <w:spacing w:val="-2"/>
        </w:rPr>
        <w:t xml:space="preserve"> </w:t>
      </w:r>
      <w:r>
        <w:t>GmbH</w:t>
      </w:r>
      <w:r>
        <w:tab/>
        <w:t>Germany</w:t>
      </w:r>
    </w:p>
    <w:p w14:paraId="7326D601" w14:textId="77777777" w:rsidR="00EF3DFB" w:rsidRDefault="00D27C17">
      <w:pPr>
        <w:pStyle w:val="BodyText"/>
        <w:tabs>
          <w:tab w:val="left" w:pos="7427"/>
        </w:tabs>
        <w:spacing w:before="85"/>
        <w:ind w:left="872"/>
      </w:pPr>
      <w:r>
        <w:t>NWL Germany Office</w:t>
      </w:r>
      <w:r>
        <w:rPr>
          <w:spacing w:val="-9"/>
        </w:rPr>
        <w:t xml:space="preserve"> </w:t>
      </w:r>
      <w:r>
        <w:t>Products</w:t>
      </w:r>
      <w:r>
        <w:rPr>
          <w:spacing w:val="-4"/>
        </w:rPr>
        <w:t xml:space="preserve"> </w:t>
      </w:r>
      <w:r>
        <w:t>GmbH</w:t>
      </w:r>
      <w:r>
        <w:tab/>
        <w:t>Germany</w:t>
      </w:r>
    </w:p>
    <w:p w14:paraId="7326D602" w14:textId="77777777" w:rsidR="00EF3DFB" w:rsidRDefault="00D27C17">
      <w:pPr>
        <w:pStyle w:val="BodyText"/>
        <w:tabs>
          <w:tab w:val="left" w:pos="7427"/>
        </w:tabs>
        <w:spacing w:before="85"/>
        <w:ind w:left="872"/>
      </w:pPr>
      <w:r>
        <w:t>NWL Germany</w:t>
      </w:r>
      <w:r>
        <w:rPr>
          <w:spacing w:val="-6"/>
        </w:rPr>
        <w:t xml:space="preserve"> </w:t>
      </w:r>
      <w:r>
        <w:t>Production</w:t>
      </w:r>
      <w:r>
        <w:rPr>
          <w:spacing w:val="-3"/>
        </w:rPr>
        <w:t xml:space="preserve"> </w:t>
      </w:r>
      <w:r>
        <w:t>GmbH</w:t>
      </w:r>
      <w:r>
        <w:tab/>
        <w:t>Germany</w:t>
      </w:r>
    </w:p>
    <w:p w14:paraId="7326D603" w14:textId="77777777" w:rsidR="00EF3DFB" w:rsidRDefault="00D27C17">
      <w:pPr>
        <w:pStyle w:val="BodyText"/>
        <w:tabs>
          <w:tab w:val="left" w:pos="7427"/>
        </w:tabs>
        <w:spacing w:before="85"/>
        <w:ind w:left="872"/>
      </w:pPr>
      <w:r>
        <w:t>NWL Germany</w:t>
      </w:r>
      <w:r>
        <w:rPr>
          <w:spacing w:val="-6"/>
        </w:rPr>
        <w:t xml:space="preserve"> </w:t>
      </w:r>
      <w:r>
        <w:t>Services</w:t>
      </w:r>
      <w:r>
        <w:rPr>
          <w:spacing w:val="-4"/>
        </w:rPr>
        <w:t xml:space="preserve"> </w:t>
      </w:r>
      <w:r>
        <w:t>GmbH</w:t>
      </w:r>
      <w:r>
        <w:tab/>
        <w:t>Germany</w:t>
      </w:r>
    </w:p>
    <w:p w14:paraId="7326D604" w14:textId="77777777" w:rsidR="00EF3DFB" w:rsidRDefault="00D27C17">
      <w:pPr>
        <w:pStyle w:val="BodyText"/>
        <w:tabs>
          <w:tab w:val="left" w:pos="7427"/>
        </w:tabs>
        <w:spacing w:before="85"/>
        <w:ind w:left="872"/>
      </w:pPr>
      <w:r>
        <w:t>NWL Hamburg</w:t>
      </w:r>
      <w:r>
        <w:rPr>
          <w:spacing w:val="-6"/>
        </w:rPr>
        <w:t xml:space="preserve"> </w:t>
      </w:r>
      <w:r>
        <w:t>Services</w:t>
      </w:r>
      <w:r>
        <w:rPr>
          <w:spacing w:val="-4"/>
        </w:rPr>
        <w:t xml:space="preserve"> </w:t>
      </w:r>
      <w:r>
        <w:t>GmbH</w:t>
      </w:r>
      <w:r>
        <w:tab/>
        <w:t>Germany</w:t>
      </w:r>
    </w:p>
    <w:p w14:paraId="7326D605" w14:textId="77777777" w:rsidR="00EF3DFB" w:rsidRDefault="00D27C17">
      <w:pPr>
        <w:pStyle w:val="BodyText"/>
        <w:tabs>
          <w:tab w:val="left" w:pos="7427"/>
        </w:tabs>
        <w:spacing w:before="85"/>
        <w:ind w:left="872"/>
      </w:pPr>
      <w:r>
        <w:t>NWL</w:t>
      </w:r>
      <w:r>
        <w:rPr>
          <w:spacing w:val="-3"/>
        </w:rPr>
        <w:t xml:space="preserve"> </w:t>
      </w:r>
      <w:r>
        <w:t>Italy</w:t>
      </w:r>
      <w:r>
        <w:rPr>
          <w:spacing w:val="-2"/>
        </w:rPr>
        <w:t xml:space="preserve"> </w:t>
      </w:r>
      <w:r>
        <w:t>S.r.l.</w:t>
      </w:r>
      <w:r>
        <w:tab/>
        <w:t>Italy</w:t>
      </w:r>
    </w:p>
    <w:p w14:paraId="7326D606" w14:textId="77777777" w:rsidR="00EF3DFB" w:rsidRDefault="00D27C17">
      <w:pPr>
        <w:pStyle w:val="BodyText"/>
        <w:tabs>
          <w:tab w:val="left" w:pos="7427"/>
        </w:tabs>
        <w:spacing w:before="85"/>
        <w:ind w:left="872"/>
      </w:pPr>
      <w:r>
        <w:t>NWL Luxembourg Holding</w:t>
      </w:r>
      <w:r>
        <w:rPr>
          <w:spacing w:val="-6"/>
        </w:rPr>
        <w:t xml:space="preserve"> </w:t>
      </w:r>
      <w:r>
        <w:t>S.à</w:t>
      </w:r>
      <w:r>
        <w:rPr>
          <w:spacing w:val="-3"/>
        </w:rPr>
        <w:t xml:space="preserve"> </w:t>
      </w:r>
      <w:r>
        <w:t>r.l.</w:t>
      </w:r>
      <w:r>
        <w:tab/>
        <w:t>Luxembourg</w:t>
      </w:r>
    </w:p>
    <w:p w14:paraId="7326D607" w14:textId="77777777" w:rsidR="00EF3DFB" w:rsidRDefault="00D27C17">
      <w:pPr>
        <w:pStyle w:val="BodyText"/>
        <w:tabs>
          <w:tab w:val="left" w:pos="7427"/>
        </w:tabs>
        <w:spacing w:before="85"/>
        <w:ind w:left="872"/>
      </w:pPr>
      <w:r>
        <w:t>NWL Luxembourg</w:t>
      </w:r>
      <w:r>
        <w:rPr>
          <w:spacing w:val="-4"/>
        </w:rPr>
        <w:t xml:space="preserve"> </w:t>
      </w:r>
      <w:r>
        <w:t>S.à</w:t>
      </w:r>
      <w:r>
        <w:rPr>
          <w:spacing w:val="-3"/>
        </w:rPr>
        <w:t xml:space="preserve"> </w:t>
      </w:r>
      <w:r>
        <w:t>r.l.</w:t>
      </w:r>
      <w:r>
        <w:tab/>
        <w:t>Luxembourg</w:t>
      </w:r>
    </w:p>
    <w:p w14:paraId="7326D608" w14:textId="77777777" w:rsidR="00EF3DFB" w:rsidRDefault="00D27C17">
      <w:pPr>
        <w:pStyle w:val="BodyText"/>
        <w:tabs>
          <w:tab w:val="left" w:pos="7427"/>
        </w:tabs>
        <w:spacing w:before="85"/>
        <w:ind w:left="872"/>
      </w:pPr>
      <w:r>
        <w:t>NWL</w:t>
      </w:r>
      <w:r>
        <w:rPr>
          <w:spacing w:val="-4"/>
        </w:rPr>
        <w:t xml:space="preserve"> </w:t>
      </w:r>
      <w:r>
        <w:t>Netherlands</w:t>
      </w:r>
      <w:r>
        <w:rPr>
          <w:spacing w:val="-4"/>
        </w:rPr>
        <w:t xml:space="preserve"> </w:t>
      </w:r>
      <w:r>
        <w:t>B.V.</w:t>
      </w:r>
      <w:r>
        <w:tab/>
        <w:t>Netherlands</w:t>
      </w:r>
    </w:p>
    <w:p w14:paraId="7326D609" w14:textId="77777777" w:rsidR="00EF3DFB" w:rsidRDefault="00D27C17">
      <w:pPr>
        <w:pStyle w:val="BodyText"/>
        <w:tabs>
          <w:tab w:val="left" w:pos="7427"/>
        </w:tabs>
        <w:spacing w:before="85"/>
        <w:ind w:left="872"/>
      </w:pPr>
      <w:r>
        <w:t>NWL Netherlands</w:t>
      </w:r>
      <w:r>
        <w:rPr>
          <w:spacing w:val="-7"/>
        </w:rPr>
        <w:t xml:space="preserve"> </w:t>
      </w:r>
      <w:r>
        <w:t>Holding</w:t>
      </w:r>
      <w:r>
        <w:rPr>
          <w:spacing w:val="-3"/>
        </w:rPr>
        <w:t xml:space="preserve"> </w:t>
      </w:r>
      <w:r>
        <w:t>B.V.</w:t>
      </w:r>
      <w:r>
        <w:tab/>
        <w:t>Netherlands</w:t>
      </w:r>
    </w:p>
    <w:p w14:paraId="7326D60A" w14:textId="77777777" w:rsidR="00EF3DFB" w:rsidRDefault="00D27C17">
      <w:pPr>
        <w:pStyle w:val="BodyText"/>
        <w:tabs>
          <w:tab w:val="left" w:pos="7427"/>
        </w:tabs>
        <w:spacing w:before="85"/>
        <w:ind w:left="872"/>
      </w:pPr>
      <w:r>
        <w:t>NWL Netherlands Holding</w:t>
      </w:r>
      <w:r>
        <w:rPr>
          <w:spacing w:val="-9"/>
        </w:rPr>
        <w:t xml:space="preserve"> </w:t>
      </w:r>
      <w:r>
        <w:t>II</w:t>
      </w:r>
      <w:r>
        <w:rPr>
          <w:spacing w:val="-3"/>
        </w:rPr>
        <w:t xml:space="preserve"> </w:t>
      </w:r>
      <w:r>
        <w:t>B.V.</w:t>
      </w:r>
      <w:r>
        <w:tab/>
        <w:t>Netherlands</w:t>
      </w:r>
    </w:p>
    <w:p w14:paraId="7326D60B" w14:textId="77777777" w:rsidR="00EF3DFB" w:rsidRDefault="00D27C17">
      <w:pPr>
        <w:pStyle w:val="BodyText"/>
        <w:tabs>
          <w:tab w:val="left" w:pos="7427"/>
        </w:tabs>
        <w:spacing w:before="85"/>
        <w:ind w:left="872"/>
      </w:pPr>
      <w:r>
        <w:t>NWL Netherlands Holding</w:t>
      </w:r>
      <w:r>
        <w:rPr>
          <w:spacing w:val="-9"/>
        </w:rPr>
        <w:t xml:space="preserve"> </w:t>
      </w:r>
      <w:r>
        <w:t>III</w:t>
      </w:r>
      <w:r>
        <w:rPr>
          <w:spacing w:val="-3"/>
        </w:rPr>
        <w:t xml:space="preserve"> </w:t>
      </w:r>
      <w:r>
        <w:t>B.V.</w:t>
      </w:r>
      <w:r>
        <w:tab/>
        <w:t>Netherlands</w:t>
      </w:r>
    </w:p>
    <w:p w14:paraId="7326D60C" w14:textId="77777777" w:rsidR="00EF3DFB" w:rsidRDefault="00D27C17">
      <w:pPr>
        <w:pStyle w:val="BodyText"/>
        <w:tabs>
          <w:tab w:val="left" w:pos="7427"/>
        </w:tabs>
        <w:spacing w:before="85"/>
        <w:ind w:left="872"/>
      </w:pPr>
      <w:r>
        <w:t>NWL Netherlands JP</w:t>
      </w:r>
      <w:r>
        <w:rPr>
          <w:spacing w:val="-10"/>
        </w:rPr>
        <w:t xml:space="preserve"> </w:t>
      </w:r>
      <w:r>
        <w:t>Holding</w:t>
      </w:r>
      <w:r>
        <w:rPr>
          <w:spacing w:val="-3"/>
        </w:rPr>
        <w:t xml:space="preserve"> </w:t>
      </w:r>
      <w:r>
        <w:t>B.V.</w:t>
      </w:r>
      <w:r>
        <w:tab/>
        <w:t>Netherlands</w:t>
      </w:r>
    </w:p>
    <w:p w14:paraId="7326D60D" w14:textId="77777777" w:rsidR="00EF3DFB" w:rsidRDefault="00D27C17">
      <w:pPr>
        <w:pStyle w:val="BodyText"/>
        <w:tabs>
          <w:tab w:val="left" w:pos="7427"/>
        </w:tabs>
        <w:spacing w:before="85"/>
        <w:ind w:left="872"/>
      </w:pPr>
      <w:r>
        <w:t>NWL Netherlands</w:t>
      </w:r>
      <w:r>
        <w:rPr>
          <w:spacing w:val="-8"/>
        </w:rPr>
        <w:t xml:space="preserve"> </w:t>
      </w:r>
      <w:r>
        <w:t>Production</w:t>
      </w:r>
      <w:r>
        <w:rPr>
          <w:spacing w:val="-3"/>
        </w:rPr>
        <w:t xml:space="preserve"> </w:t>
      </w:r>
      <w:r>
        <w:t>B.V.</w:t>
      </w:r>
      <w:r>
        <w:tab/>
        <w:t>Netherlands</w:t>
      </w:r>
    </w:p>
    <w:p w14:paraId="7326D60E" w14:textId="77777777" w:rsidR="00EF3DFB" w:rsidRDefault="00D27C17">
      <w:pPr>
        <w:pStyle w:val="BodyText"/>
        <w:tabs>
          <w:tab w:val="left" w:pos="7427"/>
        </w:tabs>
        <w:spacing w:before="85"/>
        <w:ind w:left="872"/>
      </w:pPr>
      <w:r>
        <w:t>NWL Netherlands</w:t>
      </w:r>
      <w:r>
        <w:rPr>
          <w:spacing w:val="-8"/>
        </w:rPr>
        <w:t xml:space="preserve"> </w:t>
      </w:r>
      <w:r>
        <w:t>Services</w:t>
      </w:r>
      <w:r>
        <w:rPr>
          <w:spacing w:val="-4"/>
        </w:rPr>
        <w:t xml:space="preserve"> </w:t>
      </w:r>
      <w:r>
        <w:t>B.V.</w:t>
      </w:r>
      <w:r>
        <w:tab/>
        <w:t>Netherlands</w:t>
      </w:r>
    </w:p>
    <w:p w14:paraId="7326D60F" w14:textId="77777777" w:rsidR="00EF3DFB" w:rsidRDefault="00D27C17">
      <w:pPr>
        <w:pStyle w:val="BodyText"/>
        <w:tabs>
          <w:tab w:val="left" w:pos="7427"/>
        </w:tabs>
        <w:spacing w:before="85"/>
        <w:ind w:left="872"/>
      </w:pPr>
      <w:r>
        <w:t>NWL</w:t>
      </w:r>
      <w:r>
        <w:rPr>
          <w:spacing w:val="-3"/>
        </w:rPr>
        <w:t xml:space="preserve"> </w:t>
      </w:r>
      <w:r>
        <w:t>Norway</w:t>
      </w:r>
      <w:r>
        <w:rPr>
          <w:spacing w:val="-2"/>
        </w:rPr>
        <w:t xml:space="preserve"> </w:t>
      </w:r>
      <w:r>
        <w:t>AS</w:t>
      </w:r>
      <w:r>
        <w:tab/>
        <w:t>Norway</w:t>
      </w:r>
    </w:p>
    <w:p w14:paraId="7326D610" w14:textId="77777777" w:rsidR="00EF3DFB" w:rsidRDefault="00D27C17">
      <w:pPr>
        <w:pStyle w:val="BodyText"/>
        <w:tabs>
          <w:tab w:val="left" w:pos="7427"/>
        </w:tabs>
        <w:spacing w:before="85"/>
        <w:ind w:left="872"/>
      </w:pPr>
      <w:r>
        <w:t>NWL South Africa</w:t>
      </w:r>
      <w:r>
        <w:rPr>
          <w:spacing w:val="-10"/>
        </w:rPr>
        <w:t xml:space="preserve"> </w:t>
      </w:r>
      <w:r>
        <w:t>(Pty)</w:t>
      </w:r>
      <w:r>
        <w:rPr>
          <w:spacing w:val="-3"/>
        </w:rPr>
        <w:t xml:space="preserve"> </w:t>
      </w:r>
      <w:r>
        <w:t>Limited</w:t>
      </w:r>
      <w:r>
        <w:tab/>
        <w:t>South</w:t>
      </w:r>
      <w:r>
        <w:rPr>
          <w:spacing w:val="-1"/>
        </w:rPr>
        <w:t xml:space="preserve"> </w:t>
      </w:r>
      <w:r>
        <w:t>Africa</w:t>
      </w:r>
    </w:p>
    <w:p w14:paraId="7326D611" w14:textId="77777777" w:rsidR="00EF3DFB" w:rsidRDefault="00D27C17">
      <w:pPr>
        <w:pStyle w:val="BodyText"/>
        <w:tabs>
          <w:tab w:val="left" w:pos="7427"/>
        </w:tabs>
        <w:spacing w:before="85"/>
        <w:ind w:left="872"/>
      </w:pPr>
      <w:r>
        <w:t>NWL</w:t>
      </w:r>
      <w:r>
        <w:rPr>
          <w:spacing w:val="-4"/>
        </w:rPr>
        <w:t xml:space="preserve"> </w:t>
      </w:r>
      <w:r>
        <w:t>Switzerland</w:t>
      </w:r>
      <w:r>
        <w:rPr>
          <w:spacing w:val="-3"/>
        </w:rPr>
        <w:t xml:space="preserve"> </w:t>
      </w:r>
      <w:r>
        <w:t>Sàrl</w:t>
      </w:r>
      <w:r>
        <w:tab/>
        <w:t>Switzerland</w:t>
      </w:r>
    </w:p>
    <w:p w14:paraId="7326D612" w14:textId="77777777" w:rsidR="00EF3DFB" w:rsidRDefault="00D27C17">
      <w:pPr>
        <w:pStyle w:val="BodyText"/>
        <w:tabs>
          <w:tab w:val="left" w:pos="7427"/>
        </w:tabs>
        <w:spacing w:before="85"/>
        <w:ind w:left="872"/>
      </w:pPr>
      <w:r>
        <w:t>NWL Valence</w:t>
      </w:r>
      <w:r>
        <w:rPr>
          <w:spacing w:val="-8"/>
        </w:rPr>
        <w:t xml:space="preserve"> </w:t>
      </w:r>
      <w:r>
        <w:t>Services</w:t>
      </w:r>
      <w:r>
        <w:rPr>
          <w:spacing w:val="-4"/>
        </w:rPr>
        <w:t xml:space="preserve"> </w:t>
      </w:r>
      <w:r>
        <w:t>SAS</w:t>
      </w:r>
      <w:r>
        <w:tab/>
        <w:t>France</w:t>
      </w:r>
    </w:p>
    <w:p w14:paraId="7326D613" w14:textId="77777777" w:rsidR="00EF3DFB" w:rsidRDefault="00D27C17">
      <w:pPr>
        <w:pStyle w:val="BodyText"/>
        <w:tabs>
          <w:tab w:val="left" w:pos="7427"/>
        </w:tabs>
        <w:spacing w:before="85"/>
        <w:ind w:left="872"/>
      </w:pPr>
      <w:r>
        <w:t>Oster de</w:t>
      </w:r>
      <w:r>
        <w:rPr>
          <w:spacing w:val="-6"/>
        </w:rPr>
        <w:t xml:space="preserve"> </w:t>
      </w:r>
      <w:r>
        <w:t>Venezuela</w:t>
      </w:r>
      <w:r>
        <w:rPr>
          <w:spacing w:val="-4"/>
        </w:rPr>
        <w:t xml:space="preserve"> </w:t>
      </w:r>
      <w:r>
        <w:t>Inc.</w:t>
      </w:r>
      <w:r>
        <w:tab/>
        <w:t>Canada</w:t>
      </w:r>
    </w:p>
    <w:p w14:paraId="7326D614" w14:textId="77777777" w:rsidR="00EF3DFB" w:rsidRDefault="00D27C17">
      <w:pPr>
        <w:pStyle w:val="BodyText"/>
        <w:tabs>
          <w:tab w:val="left" w:pos="7427"/>
        </w:tabs>
        <w:spacing w:before="85"/>
        <w:ind w:left="872"/>
      </w:pPr>
      <w:r>
        <w:t>Oster de</w:t>
      </w:r>
      <w:r>
        <w:rPr>
          <w:spacing w:val="-7"/>
        </w:rPr>
        <w:t xml:space="preserve"> </w:t>
      </w:r>
      <w:r>
        <w:t>Venezuela,</w:t>
      </w:r>
      <w:r>
        <w:rPr>
          <w:spacing w:val="-3"/>
        </w:rPr>
        <w:t xml:space="preserve"> </w:t>
      </w:r>
      <w:r>
        <w:t>S.C.A.</w:t>
      </w:r>
      <w:r>
        <w:tab/>
        <w:t>Venezuela</w:t>
      </w:r>
    </w:p>
    <w:p w14:paraId="7326D615" w14:textId="77777777" w:rsidR="00EF3DFB" w:rsidRDefault="00D27C17">
      <w:pPr>
        <w:pStyle w:val="BodyText"/>
        <w:tabs>
          <w:tab w:val="left" w:pos="7427"/>
        </w:tabs>
        <w:spacing w:before="85"/>
        <w:ind w:left="872"/>
      </w:pPr>
      <w:r>
        <w:t>Oster Electrodomesticos</w:t>
      </w:r>
      <w:r>
        <w:rPr>
          <w:spacing w:val="-9"/>
        </w:rPr>
        <w:t xml:space="preserve"> </w:t>
      </w:r>
      <w:r>
        <w:t>Iberica,</w:t>
      </w:r>
      <w:r>
        <w:rPr>
          <w:spacing w:val="-4"/>
        </w:rPr>
        <w:t xml:space="preserve"> </w:t>
      </w:r>
      <w:r>
        <w:t>S.L.</w:t>
      </w:r>
      <w:r>
        <w:tab/>
        <w:t>Spain</w:t>
      </w:r>
    </w:p>
    <w:p w14:paraId="7326D616" w14:textId="77777777" w:rsidR="00EF3DFB" w:rsidRDefault="00D27C17">
      <w:pPr>
        <w:pStyle w:val="BodyText"/>
        <w:tabs>
          <w:tab w:val="left" w:pos="7427"/>
        </w:tabs>
        <w:spacing w:before="85"/>
        <w:ind w:left="872"/>
      </w:pPr>
      <w:r>
        <w:t>Oster</w:t>
      </w:r>
      <w:r>
        <w:rPr>
          <w:spacing w:val="-2"/>
        </w:rPr>
        <w:t xml:space="preserve"> </w:t>
      </w:r>
      <w:r>
        <w:t>GmbH</w:t>
      </w:r>
      <w:r>
        <w:tab/>
        <w:t>Germany</w:t>
      </w:r>
    </w:p>
    <w:p w14:paraId="7326D617" w14:textId="77777777" w:rsidR="00EF3DFB" w:rsidRDefault="00D27C17">
      <w:pPr>
        <w:pStyle w:val="BodyText"/>
        <w:tabs>
          <w:tab w:val="left" w:pos="7427"/>
        </w:tabs>
        <w:spacing w:before="85"/>
        <w:ind w:left="872"/>
      </w:pPr>
      <w:r>
        <w:t>Oster of</w:t>
      </w:r>
      <w:r>
        <w:rPr>
          <w:spacing w:val="-4"/>
        </w:rPr>
        <w:t xml:space="preserve"> </w:t>
      </w:r>
      <w:r>
        <w:t>Canada</w:t>
      </w:r>
      <w:r>
        <w:rPr>
          <w:spacing w:val="-3"/>
        </w:rPr>
        <w:t xml:space="preserve"> </w:t>
      </w:r>
      <w:r>
        <w:t>ULC</w:t>
      </w:r>
      <w:r>
        <w:tab/>
        <w:t>Canada</w:t>
      </w:r>
    </w:p>
    <w:p w14:paraId="7326D618" w14:textId="77777777" w:rsidR="00EF3DFB" w:rsidRDefault="00D27C17">
      <w:pPr>
        <w:pStyle w:val="BodyText"/>
        <w:tabs>
          <w:tab w:val="left" w:pos="7427"/>
        </w:tabs>
        <w:spacing w:before="85"/>
        <w:ind w:left="872"/>
      </w:pPr>
      <w:r>
        <w:t>Oster VZ</w:t>
      </w:r>
      <w:r>
        <w:rPr>
          <w:spacing w:val="-5"/>
        </w:rPr>
        <w:t xml:space="preserve"> </w:t>
      </w:r>
      <w:r>
        <w:t>Holdings</w:t>
      </w:r>
      <w:r>
        <w:rPr>
          <w:spacing w:val="-3"/>
        </w:rPr>
        <w:t xml:space="preserve"> </w:t>
      </w:r>
      <w:r>
        <w:t>Inc.</w:t>
      </w:r>
      <w:r>
        <w:tab/>
        <w:t>Canada</w:t>
      </w:r>
    </w:p>
    <w:p w14:paraId="7326D619" w14:textId="77777777" w:rsidR="00EF3DFB" w:rsidRDefault="00D27C17">
      <w:pPr>
        <w:pStyle w:val="BodyText"/>
        <w:tabs>
          <w:tab w:val="left" w:pos="7427"/>
        </w:tabs>
        <w:spacing w:before="85"/>
        <w:ind w:left="872"/>
      </w:pPr>
      <w:r>
        <w:t>Parker Pen</w:t>
      </w:r>
      <w:r>
        <w:rPr>
          <w:spacing w:val="-6"/>
        </w:rPr>
        <w:t xml:space="preserve"> </w:t>
      </w:r>
      <w:r>
        <w:t>(Shanghai)</w:t>
      </w:r>
      <w:r>
        <w:rPr>
          <w:spacing w:val="-3"/>
        </w:rPr>
        <w:t xml:space="preserve"> </w:t>
      </w:r>
      <w:r>
        <w:t>Limited</w:t>
      </w:r>
      <w:r>
        <w:tab/>
        <w:t>China</w:t>
      </w:r>
    </w:p>
    <w:p w14:paraId="7326D61A" w14:textId="77777777" w:rsidR="00EF3DFB" w:rsidRDefault="00D27C17">
      <w:pPr>
        <w:pStyle w:val="BodyText"/>
        <w:tabs>
          <w:tab w:val="left" w:pos="7427"/>
        </w:tabs>
        <w:spacing w:before="86"/>
        <w:ind w:left="872"/>
      </w:pPr>
      <w:r>
        <w:t>Parker</w:t>
      </w:r>
      <w:r>
        <w:rPr>
          <w:spacing w:val="-2"/>
        </w:rPr>
        <w:t xml:space="preserve"> </w:t>
      </w:r>
      <w:r>
        <w:t>Pen</w:t>
      </w:r>
      <w:r>
        <w:rPr>
          <w:spacing w:val="-2"/>
        </w:rPr>
        <w:t xml:space="preserve"> </w:t>
      </w:r>
      <w:r>
        <w:t>Products</w:t>
      </w:r>
      <w:r>
        <w:tab/>
        <w:t>United</w:t>
      </w:r>
      <w:r>
        <w:rPr>
          <w:spacing w:val="-6"/>
        </w:rPr>
        <w:t xml:space="preserve"> </w:t>
      </w:r>
      <w:r>
        <w:t>Kingdom</w:t>
      </w:r>
    </w:p>
    <w:p w14:paraId="7326D61B" w14:textId="77777777" w:rsidR="00EF3DFB" w:rsidRDefault="00D27C17">
      <w:pPr>
        <w:pStyle w:val="BodyText"/>
        <w:tabs>
          <w:tab w:val="left" w:pos="7427"/>
        </w:tabs>
        <w:spacing w:before="85"/>
        <w:ind w:left="872"/>
      </w:pPr>
      <w:r>
        <w:t>Polyhedron</w:t>
      </w:r>
      <w:r>
        <w:rPr>
          <w:spacing w:val="-3"/>
        </w:rPr>
        <w:t xml:space="preserve"> </w:t>
      </w:r>
      <w:r>
        <w:t>Holdings</w:t>
      </w:r>
      <w:r>
        <w:rPr>
          <w:spacing w:val="-4"/>
        </w:rPr>
        <w:t xml:space="preserve"> </w:t>
      </w:r>
      <w:r>
        <w:t>Limited</w:t>
      </w:r>
      <w:r>
        <w:tab/>
        <w:t>United</w:t>
      </w:r>
      <w:r>
        <w:rPr>
          <w:spacing w:val="-6"/>
        </w:rPr>
        <w:t xml:space="preserve"> </w:t>
      </w:r>
      <w:r>
        <w:t>Kingdom</w:t>
      </w:r>
    </w:p>
    <w:p w14:paraId="7326D61C" w14:textId="77777777" w:rsidR="00EF3DFB" w:rsidRDefault="00D27C17">
      <w:pPr>
        <w:pStyle w:val="BodyText"/>
        <w:tabs>
          <w:tab w:val="left" w:pos="7427"/>
        </w:tabs>
        <w:spacing w:before="85"/>
        <w:ind w:left="872"/>
      </w:pPr>
      <w:r>
        <w:t>Prodox, S.A.</w:t>
      </w:r>
      <w:r>
        <w:rPr>
          <w:spacing w:val="-2"/>
        </w:rPr>
        <w:t xml:space="preserve"> </w:t>
      </w:r>
      <w:r>
        <w:t>de</w:t>
      </w:r>
      <w:r>
        <w:rPr>
          <w:spacing w:val="-2"/>
        </w:rPr>
        <w:t xml:space="preserve"> </w:t>
      </w:r>
      <w:r>
        <w:t>C.V.</w:t>
      </w:r>
      <w:r>
        <w:tab/>
        <w:t>Mexico</w:t>
      </w:r>
    </w:p>
    <w:p w14:paraId="7326D61D" w14:textId="77777777" w:rsidR="00EF3DFB" w:rsidRDefault="00D27C17">
      <w:pPr>
        <w:pStyle w:val="BodyText"/>
        <w:tabs>
          <w:tab w:val="left" w:pos="7427"/>
        </w:tabs>
        <w:spacing w:before="85"/>
        <w:ind w:left="872"/>
      </w:pPr>
      <w:r>
        <w:t>Pulse Home Products</w:t>
      </w:r>
      <w:r>
        <w:rPr>
          <w:spacing w:val="-12"/>
        </w:rPr>
        <w:t xml:space="preserve"> </w:t>
      </w:r>
      <w:r>
        <w:t>(Holdings)</w:t>
      </w:r>
      <w:r>
        <w:rPr>
          <w:spacing w:val="-3"/>
        </w:rPr>
        <w:t xml:space="preserve"> </w:t>
      </w:r>
      <w:r>
        <w:t>Limited</w:t>
      </w:r>
      <w:r>
        <w:tab/>
        <w:t>United</w:t>
      </w:r>
      <w:r>
        <w:rPr>
          <w:spacing w:val="-1"/>
        </w:rPr>
        <w:t xml:space="preserve"> </w:t>
      </w:r>
      <w:r>
        <w:t>Kingdom</w:t>
      </w:r>
    </w:p>
    <w:p w14:paraId="7326D61E" w14:textId="77777777" w:rsidR="00EF3DFB" w:rsidRDefault="00D27C17">
      <w:pPr>
        <w:pStyle w:val="BodyText"/>
        <w:tabs>
          <w:tab w:val="left" w:pos="7427"/>
        </w:tabs>
        <w:spacing w:before="85"/>
        <w:ind w:left="872"/>
      </w:pPr>
      <w:r>
        <w:t>Pure Fishing (Thailand)</w:t>
      </w:r>
      <w:r>
        <w:rPr>
          <w:spacing w:val="-8"/>
        </w:rPr>
        <w:t xml:space="preserve"> </w:t>
      </w:r>
      <w:r>
        <w:t>Co.,</w:t>
      </w:r>
      <w:r>
        <w:rPr>
          <w:spacing w:val="-3"/>
        </w:rPr>
        <w:t xml:space="preserve"> </w:t>
      </w:r>
      <w:r>
        <w:t>Ltd.</w:t>
      </w:r>
      <w:r>
        <w:tab/>
        <w:t>Thailand</w:t>
      </w:r>
    </w:p>
    <w:p w14:paraId="7326D61F" w14:textId="77777777" w:rsidR="00EF3DFB" w:rsidRDefault="00D27C17">
      <w:pPr>
        <w:pStyle w:val="BodyText"/>
        <w:tabs>
          <w:tab w:val="left" w:pos="7427"/>
        </w:tabs>
        <w:spacing w:before="85"/>
        <w:ind w:left="872"/>
      </w:pPr>
      <w:r>
        <w:t>Pure Fishing Spir</w:t>
      </w:r>
      <w:r>
        <w:t>it</w:t>
      </w:r>
      <w:r>
        <w:rPr>
          <w:spacing w:val="-9"/>
        </w:rPr>
        <w:t xml:space="preserve"> </w:t>
      </w:r>
      <w:r>
        <w:t>Holdings</w:t>
      </w:r>
      <w:r>
        <w:rPr>
          <w:spacing w:val="-4"/>
        </w:rPr>
        <w:t xml:space="preserve"> </w:t>
      </w:r>
      <w:r>
        <w:t>B.V.</w:t>
      </w:r>
      <w:r>
        <w:tab/>
        <w:t>Netherlands</w:t>
      </w:r>
    </w:p>
    <w:p w14:paraId="7326D620" w14:textId="77777777" w:rsidR="00EF3DFB" w:rsidRDefault="00D27C17">
      <w:pPr>
        <w:pStyle w:val="BodyText"/>
        <w:tabs>
          <w:tab w:val="left" w:pos="7427"/>
        </w:tabs>
        <w:spacing w:before="85"/>
        <w:ind w:left="872"/>
      </w:pPr>
      <w:r>
        <w:t>Raider</w:t>
      </w:r>
      <w:r>
        <w:rPr>
          <w:spacing w:val="-3"/>
        </w:rPr>
        <w:t xml:space="preserve"> </w:t>
      </w:r>
      <w:r>
        <w:t>Motor</w:t>
      </w:r>
      <w:r>
        <w:rPr>
          <w:spacing w:val="-3"/>
        </w:rPr>
        <w:t xml:space="preserve"> </w:t>
      </w:r>
      <w:r>
        <w:t>Corporation</w:t>
      </w:r>
      <w:r>
        <w:tab/>
        <w:t>Bahamas</w:t>
      </w:r>
    </w:p>
    <w:p w14:paraId="7326D621" w14:textId="77777777" w:rsidR="00EF3DFB" w:rsidRDefault="00D27C17">
      <w:pPr>
        <w:pStyle w:val="BodyText"/>
        <w:tabs>
          <w:tab w:val="left" w:pos="7427"/>
        </w:tabs>
        <w:spacing w:before="85"/>
        <w:ind w:left="872"/>
      </w:pPr>
      <w:r>
        <w:t>Repuestos</w:t>
      </w:r>
      <w:r>
        <w:rPr>
          <w:spacing w:val="-5"/>
        </w:rPr>
        <w:t xml:space="preserve"> </w:t>
      </w:r>
      <w:r>
        <w:t>Electronicos,</w:t>
      </w:r>
      <w:r>
        <w:rPr>
          <w:spacing w:val="-4"/>
        </w:rPr>
        <w:t xml:space="preserve"> </w:t>
      </w:r>
      <w:r>
        <w:t>S.A.</w:t>
      </w:r>
      <w:r>
        <w:tab/>
        <w:t>Venezuela</w:t>
      </w:r>
    </w:p>
    <w:p w14:paraId="7326D622" w14:textId="77777777" w:rsidR="00EF3DFB" w:rsidRDefault="00D27C17">
      <w:pPr>
        <w:pStyle w:val="BodyText"/>
        <w:tabs>
          <w:tab w:val="left" w:pos="7427"/>
        </w:tabs>
        <w:spacing w:before="85"/>
        <w:ind w:left="872"/>
      </w:pPr>
      <w:r>
        <w:t>Reynolds</w:t>
      </w:r>
      <w:r>
        <w:rPr>
          <w:spacing w:val="-4"/>
        </w:rPr>
        <w:t xml:space="preserve"> </w:t>
      </w:r>
      <w:r>
        <w:t>Pen</w:t>
      </w:r>
      <w:r>
        <w:rPr>
          <w:spacing w:val="-3"/>
        </w:rPr>
        <w:t xml:space="preserve"> </w:t>
      </w:r>
      <w:r>
        <w:t>International</w:t>
      </w:r>
      <w:r>
        <w:tab/>
        <w:t>France</w:t>
      </w:r>
    </w:p>
    <w:p w14:paraId="7326D623" w14:textId="77777777" w:rsidR="00EF3DFB" w:rsidRDefault="00D27C17">
      <w:pPr>
        <w:pStyle w:val="BodyText"/>
        <w:tabs>
          <w:tab w:val="left" w:pos="7427"/>
        </w:tabs>
        <w:spacing w:before="85"/>
        <w:ind w:left="872"/>
      </w:pPr>
      <w:r>
        <w:t>Reynolds Pens India</w:t>
      </w:r>
      <w:r>
        <w:rPr>
          <w:spacing w:val="-11"/>
        </w:rPr>
        <w:t xml:space="preserve"> </w:t>
      </w:r>
      <w:r>
        <w:t>Private</w:t>
      </w:r>
      <w:r>
        <w:rPr>
          <w:spacing w:val="-4"/>
        </w:rPr>
        <w:t xml:space="preserve"> </w:t>
      </w:r>
      <w:r>
        <w:t>Limited</w:t>
      </w:r>
      <w:r>
        <w:tab/>
        <w:t>India</w:t>
      </w:r>
    </w:p>
    <w:p w14:paraId="7326D624" w14:textId="77777777" w:rsidR="00EF3DFB" w:rsidRDefault="00D27C17">
      <w:pPr>
        <w:pStyle w:val="BodyText"/>
        <w:tabs>
          <w:tab w:val="left" w:pos="7427"/>
        </w:tabs>
        <w:spacing w:before="85"/>
        <w:ind w:left="872"/>
      </w:pPr>
      <w:r>
        <w:t>Rival de Mexico, S.A.</w:t>
      </w:r>
      <w:r>
        <w:rPr>
          <w:spacing w:val="-8"/>
        </w:rPr>
        <w:t xml:space="preserve"> </w:t>
      </w:r>
      <w:r>
        <w:t>de</w:t>
      </w:r>
      <w:r>
        <w:rPr>
          <w:spacing w:val="-3"/>
        </w:rPr>
        <w:t xml:space="preserve"> </w:t>
      </w:r>
      <w:r>
        <w:t>C.V.</w:t>
      </w:r>
      <w:r>
        <w:tab/>
        <w:t>Mexico</w:t>
      </w:r>
    </w:p>
    <w:p w14:paraId="7326D625" w14:textId="77777777" w:rsidR="00EF3DFB" w:rsidRDefault="00D27C17">
      <w:pPr>
        <w:pStyle w:val="BodyText"/>
        <w:tabs>
          <w:tab w:val="left" w:pos="7427"/>
        </w:tabs>
        <w:spacing w:before="85"/>
        <w:ind w:left="872"/>
      </w:pPr>
      <w:r>
        <w:t>Rubbermaid</w:t>
      </w:r>
      <w:r>
        <w:rPr>
          <w:spacing w:val="-4"/>
        </w:rPr>
        <w:t xml:space="preserve"> </w:t>
      </w:r>
      <w:r>
        <w:t>Ireland</w:t>
      </w:r>
      <w:r>
        <w:rPr>
          <w:spacing w:val="-4"/>
        </w:rPr>
        <w:t xml:space="preserve"> </w:t>
      </w:r>
      <w:r>
        <w:t>Limited</w:t>
      </w:r>
      <w:r>
        <w:tab/>
        <w:t>Ireland</w:t>
      </w:r>
    </w:p>
    <w:p w14:paraId="7326D626" w14:textId="77777777" w:rsidR="00EF3DFB" w:rsidRDefault="00D27C17">
      <w:pPr>
        <w:pStyle w:val="BodyText"/>
        <w:tabs>
          <w:tab w:val="left" w:pos="7427"/>
        </w:tabs>
        <w:spacing w:before="85"/>
        <w:ind w:left="872"/>
      </w:pPr>
      <w:r>
        <w:t>Rubbermaid</w:t>
      </w:r>
      <w:r>
        <w:rPr>
          <w:spacing w:val="-3"/>
        </w:rPr>
        <w:t xml:space="preserve"> </w:t>
      </w:r>
      <w:r>
        <w:t>Portugal,</w:t>
      </w:r>
      <w:r>
        <w:rPr>
          <w:spacing w:val="-3"/>
        </w:rPr>
        <w:t xml:space="preserve"> </w:t>
      </w:r>
      <w:r>
        <w:t>Lda.</w:t>
      </w:r>
      <w:r>
        <w:tab/>
        <w:t>Portugal</w:t>
      </w:r>
    </w:p>
    <w:p w14:paraId="7326D627" w14:textId="77777777" w:rsidR="00EF3DFB" w:rsidRDefault="00D27C17">
      <w:pPr>
        <w:pStyle w:val="BodyText"/>
        <w:tabs>
          <w:tab w:val="left" w:pos="7427"/>
        </w:tabs>
        <w:spacing w:before="85"/>
        <w:ind w:left="872"/>
      </w:pPr>
      <w:r>
        <w:t>Sanford Brands</w:t>
      </w:r>
      <w:r>
        <w:rPr>
          <w:spacing w:val="-6"/>
        </w:rPr>
        <w:t xml:space="preserve"> </w:t>
      </w:r>
      <w:r>
        <w:t>Venezuela,</w:t>
      </w:r>
      <w:r>
        <w:rPr>
          <w:spacing w:val="-3"/>
        </w:rPr>
        <w:t xml:space="preserve"> </w:t>
      </w:r>
      <w:r>
        <w:t>Inc.</w:t>
      </w:r>
      <w:r>
        <w:tab/>
        <w:t>Canada</w:t>
      </w:r>
    </w:p>
    <w:p w14:paraId="7326D628" w14:textId="77777777" w:rsidR="00EF3DFB" w:rsidRDefault="00EF3DFB">
      <w:pPr>
        <w:sectPr w:rsidR="00EF3DFB">
          <w:footerReference w:type="default" r:id="rId323"/>
          <w:pgSz w:w="12240" w:h="15840"/>
          <w:pgMar w:top="1420" w:right="640" w:bottom="280" w:left="620" w:header="0" w:footer="0" w:gutter="0"/>
          <w:cols w:space="720"/>
        </w:sectPr>
      </w:pPr>
    </w:p>
    <w:p w14:paraId="7326D629" w14:textId="77777777" w:rsidR="00EF3DFB" w:rsidRDefault="00D27C17">
      <w:pPr>
        <w:pStyle w:val="BodyText"/>
        <w:tabs>
          <w:tab w:val="left" w:pos="7427"/>
        </w:tabs>
        <w:spacing w:before="75"/>
        <w:ind w:left="872"/>
      </w:pPr>
      <w:r>
        <w:lastRenderedPageBreak/>
        <w:t>Sanford</w:t>
      </w:r>
      <w:r>
        <w:rPr>
          <w:spacing w:val="-3"/>
        </w:rPr>
        <w:t xml:space="preserve"> </w:t>
      </w:r>
      <w:r>
        <w:t>Hellas</w:t>
      </w:r>
      <w:r>
        <w:rPr>
          <w:spacing w:val="-4"/>
        </w:rPr>
        <w:t xml:space="preserve"> </w:t>
      </w:r>
      <w:r>
        <w:t>EPE</w:t>
      </w:r>
      <w:r>
        <w:tab/>
        <w:t>Greece</w:t>
      </w:r>
    </w:p>
    <w:p w14:paraId="7326D62A" w14:textId="77777777" w:rsidR="00EF3DFB" w:rsidRDefault="00D27C17">
      <w:pPr>
        <w:pStyle w:val="BodyText"/>
        <w:tabs>
          <w:tab w:val="left" w:pos="7427"/>
        </w:tabs>
        <w:spacing w:before="85"/>
        <w:ind w:left="872"/>
      </w:pPr>
      <w:r>
        <w:t>Sanford Rotring</w:t>
      </w:r>
      <w:r>
        <w:rPr>
          <w:spacing w:val="-5"/>
        </w:rPr>
        <w:t xml:space="preserve"> </w:t>
      </w:r>
      <w:r>
        <w:t>(GB)</w:t>
      </w:r>
      <w:r>
        <w:rPr>
          <w:spacing w:val="-3"/>
        </w:rPr>
        <w:t xml:space="preserve"> </w:t>
      </w:r>
      <w:r>
        <w:t>Limited</w:t>
      </w:r>
      <w:r>
        <w:tab/>
        <w:t>United</w:t>
      </w:r>
      <w:r>
        <w:rPr>
          <w:spacing w:val="-1"/>
        </w:rPr>
        <w:t xml:space="preserve"> </w:t>
      </w:r>
      <w:r>
        <w:t>Kingdom</w:t>
      </w:r>
    </w:p>
    <w:p w14:paraId="7326D62B" w14:textId="77777777" w:rsidR="00EF3DFB" w:rsidRDefault="00D27C17">
      <w:pPr>
        <w:pStyle w:val="BodyText"/>
        <w:tabs>
          <w:tab w:val="left" w:pos="7427"/>
        </w:tabs>
        <w:spacing w:before="85"/>
        <w:ind w:left="872"/>
      </w:pPr>
      <w:r>
        <w:t>Sanford,</w:t>
      </w:r>
      <w:r>
        <w:rPr>
          <w:spacing w:val="-2"/>
        </w:rPr>
        <w:t xml:space="preserve"> </w:t>
      </w:r>
      <w:r>
        <w:t>LLC</w:t>
      </w:r>
      <w:r>
        <w:tab/>
        <w:t>Russian</w:t>
      </w:r>
      <w:r>
        <w:rPr>
          <w:spacing w:val="-1"/>
        </w:rPr>
        <w:t xml:space="preserve"> </w:t>
      </w:r>
      <w:r>
        <w:t>Federation</w:t>
      </w:r>
    </w:p>
    <w:p w14:paraId="7326D62C" w14:textId="77777777" w:rsidR="00EF3DFB" w:rsidRDefault="00D27C17">
      <w:pPr>
        <w:pStyle w:val="BodyText"/>
        <w:tabs>
          <w:tab w:val="left" w:pos="7427"/>
        </w:tabs>
        <w:spacing w:before="85"/>
        <w:ind w:left="872"/>
      </w:pPr>
      <w:r>
        <w:t>Servicios Sunbeam-Coleman de Mexico, S.A.</w:t>
      </w:r>
      <w:r>
        <w:rPr>
          <w:spacing w:val="-16"/>
        </w:rPr>
        <w:t xml:space="preserve"> </w:t>
      </w:r>
      <w:r>
        <w:t>de</w:t>
      </w:r>
      <w:r>
        <w:rPr>
          <w:spacing w:val="-4"/>
        </w:rPr>
        <w:t xml:space="preserve"> </w:t>
      </w:r>
      <w:r>
        <w:t>C.V.</w:t>
      </w:r>
      <w:r>
        <w:tab/>
        <w:t>Mexico</w:t>
      </w:r>
    </w:p>
    <w:p w14:paraId="7326D62D" w14:textId="77777777" w:rsidR="00EF3DFB" w:rsidRDefault="00D27C17">
      <w:pPr>
        <w:pStyle w:val="BodyText"/>
        <w:tabs>
          <w:tab w:val="left" w:pos="7427"/>
        </w:tabs>
        <w:spacing w:before="85"/>
        <w:ind w:left="872"/>
      </w:pPr>
      <w:r>
        <w:t>Shakespe</w:t>
      </w:r>
      <w:r>
        <w:t>are</w:t>
      </w:r>
      <w:r>
        <w:rPr>
          <w:spacing w:val="-4"/>
        </w:rPr>
        <w:t xml:space="preserve"> </w:t>
      </w:r>
      <w:r>
        <w:t>Europe</w:t>
      </w:r>
      <w:r>
        <w:rPr>
          <w:spacing w:val="-4"/>
        </w:rPr>
        <w:t xml:space="preserve"> </w:t>
      </w:r>
      <w:r>
        <w:t>B.V.</w:t>
      </w:r>
      <w:r>
        <w:tab/>
        <w:t>Netherlands</w:t>
      </w:r>
    </w:p>
    <w:p w14:paraId="7326D62E" w14:textId="77777777" w:rsidR="00EF3DFB" w:rsidRDefault="00D27C17">
      <w:pPr>
        <w:pStyle w:val="BodyText"/>
        <w:tabs>
          <w:tab w:val="left" w:pos="7427"/>
        </w:tabs>
        <w:spacing w:before="85"/>
        <w:ind w:left="872"/>
      </w:pPr>
      <w:r>
        <w:t>Shanghai Spontex Trading</w:t>
      </w:r>
      <w:r>
        <w:rPr>
          <w:spacing w:val="-10"/>
        </w:rPr>
        <w:t xml:space="preserve"> </w:t>
      </w:r>
      <w:r>
        <w:t>Company</w:t>
      </w:r>
      <w:r>
        <w:rPr>
          <w:spacing w:val="-3"/>
        </w:rPr>
        <w:t xml:space="preserve"> </w:t>
      </w:r>
      <w:r>
        <w:t>Limited</w:t>
      </w:r>
      <w:r>
        <w:tab/>
        <w:t>China</w:t>
      </w:r>
    </w:p>
    <w:p w14:paraId="7326D62F" w14:textId="77777777" w:rsidR="00EF3DFB" w:rsidRDefault="00D27C17">
      <w:pPr>
        <w:pStyle w:val="BodyText"/>
        <w:tabs>
          <w:tab w:val="left" w:pos="7427"/>
        </w:tabs>
        <w:spacing w:before="85"/>
        <w:ind w:left="872"/>
      </w:pPr>
      <w:r>
        <w:t>Shenzhen CICAM Manufacturing</w:t>
      </w:r>
      <w:r>
        <w:rPr>
          <w:spacing w:val="-11"/>
        </w:rPr>
        <w:t xml:space="preserve"> </w:t>
      </w:r>
      <w:r>
        <w:t>Co.</w:t>
      </w:r>
      <w:r>
        <w:rPr>
          <w:spacing w:val="-4"/>
        </w:rPr>
        <w:t xml:space="preserve"> </w:t>
      </w:r>
      <w:r>
        <w:t>Limited</w:t>
      </w:r>
      <w:r>
        <w:tab/>
        <w:t>China</w:t>
      </w:r>
    </w:p>
    <w:p w14:paraId="7326D630" w14:textId="77777777" w:rsidR="00EF3DFB" w:rsidRDefault="00D27C17">
      <w:pPr>
        <w:pStyle w:val="BodyText"/>
        <w:tabs>
          <w:tab w:val="left" w:pos="7427"/>
        </w:tabs>
        <w:spacing w:before="85"/>
        <w:ind w:left="872"/>
      </w:pPr>
      <w:r>
        <w:t>Sistema Plastics</w:t>
      </w:r>
      <w:r>
        <w:rPr>
          <w:spacing w:val="-12"/>
        </w:rPr>
        <w:t xml:space="preserve"> </w:t>
      </w:r>
      <w:r>
        <w:t>Australia</w:t>
      </w:r>
      <w:r>
        <w:rPr>
          <w:spacing w:val="-6"/>
        </w:rPr>
        <w:t xml:space="preserve"> </w:t>
      </w:r>
      <w:r>
        <w:t>Limited</w:t>
      </w:r>
      <w:r>
        <w:tab/>
        <w:t>New</w:t>
      </w:r>
      <w:r>
        <w:rPr>
          <w:spacing w:val="-8"/>
        </w:rPr>
        <w:t xml:space="preserve"> </w:t>
      </w:r>
      <w:r>
        <w:t>Zealand</w:t>
      </w:r>
    </w:p>
    <w:p w14:paraId="7326D631" w14:textId="77777777" w:rsidR="00EF3DFB" w:rsidRDefault="00D27C17">
      <w:pPr>
        <w:pStyle w:val="BodyText"/>
        <w:tabs>
          <w:tab w:val="left" w:pos="7427"/>
        </w:tabs>
        <w:spacing w:before="85"/>
        <w:ind w:left="872"/>
      </w:pPr>
      <w:r>
        <w:t>Sistema</w:t>
      </w:r>
      <w:r>
        <w:rPr>
          <w:spacing w:val="-6"/>
        </w:rPr>
        <w:t xml:space="preserve"> </w:t>
      </w:r>
      <w:r>
        <w:t>Plastics</w:t>
      </w:r>
      <w:r>
        <w:rPr>
          <w:spacing w:val="-6"/>
        </w:rPr>
        <w:t xml:space="preserve"> </w:t>
      </w:r>
      <w:r>
        <w:t>Limited</w:t>
      </w:r>
      <w:r>
        <w:tab/>
        <w:t>New</w:t>
      </w:r>
      <w:r>
        <w:rPr>
          <w:spacing w:val="-8"/>
        </w:rPr>
        <w:t xml:space="preserve"> </w:t>
      </w:r>
      <w:r>
        <w:t>Zealand</w:t>
      </w:r>
    </w:p>
    <w:p w14:paraId="7326D632" w14:textId="77777777" w:rsidR="00EF3DFB" w:rsidRDefault="00D27C17">
      <w:pPr>
        <w:pStyle w:val="BodyText"/>
        <w:tabs>
          <w:tab w:val="left" w:pos="7427"/>
        </w:tabs>
        <w:spacing w:before="85"/>
        <w:ind w:left="872"/>
      </w:pPr>
      <w:r>
        <w:t>Sistema Plastics</w:t>
      </w:r>
      <w:r>
        <w:rPr>
          <w:spacing w:val="-10"/>
        </w:rPr>
        <w:t xml:space="preserve"> </w:t>
      </w:r>
      <w:r>
        <w:t>UK</w:t>
      </w:r>
      <w:r>
        <w:rPr>
          <w:spacing w:val="-5"/>
        </w:rPr>
        <w:t xml:space="preserve"> </w:t>
      </w:r>
      <w:r>
        <w:t>Limited</w:t>
      </w:r>
      <w:r>
        <w:tab/>
        <w:t>New</w:t>
      </w:r>
      <w:r>
        <w:rPr>
          <w:spacing w:val="-8"/>
        </w:rPr>
        <w:t xml:space="preserve"> </w:t>
      </w:r>
      <w:r>
        <w:t>Zealand</w:t>
      </w:r>
    </w:p>
    <w:p w14:paraId="7326D633" w14:textId="77777777" w:rsidR="00EF3DFB" w:rsidRDefault="00D27C17">
      <w:pPr>
        <w:pStyle w:val="BodyText"/>
        <w:tabs>
          <w:tab w:val="left" w:pos="7427"/>
        </w:tabs>
        <w:spacing w:before="85"/>
        <w:ind w:left="872"/>
      </w:pPr>
      <w:r>
        <w:t>Sistema Plastiques</w:t>
      </w:r>
      <w:r>
        <w:rPr>
          <w:spacing w:val="-11"/>
        </w:rPr>
        <w:t xml:space="preserve"> </w:t>
      </w:r>
      <w:r>
        <w:t>France</w:t>
      </w:r>
      <w:r>
        <w:rPr>
          <w:spacing w:val="-6"/>
        </w:rPr>
        <w:t xml:space="preserve"> </w:t>
      </w:r>
      <w:r>
        <w:t>Limited</w:t>
      </w:r>
      <w:r>
        <w:tab/>
        <w:t>New</w:t>
      </w:r>
      <w:r>
        <w:rPr>
          <w:spacing w:val="-8"/>
        </w:rPr>
        <w:t xml:space="preserve"> </w:t>
      </w:r>
      <w:r>
        <w:t>Zealand</w:t>
      </w:r>
    </w:p>
    <w:p w14:paraId="7326D634" w14:textId="77777777" w:rsidR="00EF3DFB" w:rsidRDefault="00D27C17">
      <w:pPr>
        <w:pStyle w:val="BodyText"/>
        <w:tabs>
          <w:tab w:val="left" w:pos="7427"/>
        </w:tabs>
        <w:spacing w:before="85"/>
        <w:ind w:left="872"/>
      </w:pPr>
      <w:r>
        <w:t>Sobral</w:t>
      </w:r>
      <w:r>
        <w:rPr>
          <w:spacing w:val="-3"/>
        </w:rPr>
        <w:t xml:space="preserve"> </w:t>
      </w:r>
      <w:r>
        <w:t>Invicta</w:t>
      </w:r>
      <w:r>
        <w:rPr>
          <w:spacing w:val="-3"/>
        </w:rPr>
        <w:t xml:space="preserve"> </w:t>
      </w:r>
      <w:r>
        <w:t>S.A.</w:t>
      </w:r>
      <w:r>
        <w:tab/>
        <w:t>Brazil</w:t>
      </w:r>
    </w:p>
    <w:p w14:paraId="7326D635" w14:textId="77777777" w:rsidR="00EF3DFB" w:rsidRDefault="00D27C17">
      <w:pPr>
        <w:pStyle w:val="BodyText"/>
        <w:tabs>
          <w:tab w:val="left" w:pos="7427"/>
        </w:tabs>
        <w:spacing w:before="85"/>
        <w:ind w:left="872"/>
      </w:pPr>
      <w:r>
        <w:t>Söke</w:t>
      </w:r>
      <w:r>
        <w:rPr>
          <w:spacing w:val="-3"/>
        </w:rPr>
        <w:t xml:space="preserve"> </w:t>
      </w:r>
      <w:r>
        <w:t>Handels</w:t>
      </w:r>
      <w:r>
        <w:rPr>
          <w:spacing w:val="-3"/>
        </w:rPr>
        <w:t xml:space="preserve"> </w:t>
      </w:r>
      <w:r>
        <w:t>GmbH</w:t>
      </w:r>
      <w:r>
        <w:tab/>
        <w:t>Austria</w:t>
      </w:r>
    </w:p>
    <w:p w14:paraId="7326D636" w14:textId="77777777" w:rsidR="00EF3DFB" w:rsidRDefault="00D27C17">
      <w:pPr>
        <w:pStyle w:val="BodyText"/>
        <w:tabs>
          <w:tab w:val="left" w:pos="7427"/>
        </w:tabs>
        <w:spacing w:before="85"/>
        <w:ind w:left="872"/>
      </w:pPr>
      <w:r>
        <w:t>Söke-Hungaria</w:t>
      </w:r>
      <w:r>
        <w:rPr>
          <w:spacing w:val="-3"/>
        </w:rPr>
        <w:t xml:space="preserve"> </w:t>
      </w:r>
      <w:r>
        <w:t>Kft</w:t>
      </w:r>
      <w:r>
        <w:tab/>
        <w:t>Hungary</w:t>
      </w:r>
    </w:p>
    <w:p w14:paraId="7326D637" w14:textId="77777777" w:rsidR="00EF3DFB" w:rsidRDefault="00D27C17">
      <w:pPr>
        <w:pStyle w:val="BodyText"/>
        <w:tabs>
          <w:tab w:val="left" w:pos="7427"/>
        </w:tabs>
        <w:spacing w:before="85"/>
        <w:ind w:left="872"/>
      </w:pPr>
      <w:r>
        <w:t>Spontex</w:t>
      </w:r>
      <w:r>
        <w:rPr>
          <w:spacing w:val="-2"/>
        </w:rPr>
        <w:t xml:space="preserve"> </w:t>
      </w:r>
      <w:r>
        <w:t>S.A.S.</w:t>
      </w:r>
      <w:r>
        <w:tab/>
        <w:t>France</w:t>
      </w:r>
    </w:p>
    <w:p w14:paraId="7326D638" w14:textId="77777777" w:rsidR="00EF3DFB" w:rsidRDefault="00D27C17">
      <w:pPr>
        <w:pStyle w:val="BodyText"/>
        <w:tabs>
          <w:tab w:val="left" w:pos="7427"/>
        </w:tabs>
        <w:spacing w:before="85"/>
        <w:ind w:left="872"/>
      </w:pPr>
      <w:r>
        <w:t>Summit</w:t>
      </w:r>
      <w:r>
        <w:rPr>
          <w:spacing w:val="-4"/>
        </w:rPr>
        <w:t xml:space="preserve"> </w:t>
      </w:r>
      <w:r>
        <w:t>Holding</w:t>
      </w:r>
      <w:r>
        <w:rPr>
          <w:spacing w:val="-3"/>
        </w:rPr>
        <w:t xml:space="preserve"> </w:t>
      </w:r>
      <w:r>
        <w:t>GmbH</w:t>
      </w:r>
      <w:r>
        <w:tab/>
        <w:t>Germany</w:t>
      </w:r>
    </w:p>
    <w:p w14:paraId="7326D639" w14:textId="77777777" w:rsidR="00EF3DFB" w:rsidRDefault="00D27C17">
      <w:pPr>
        <w:pStyle w:val="BodyText"/>
        <w:tabs>
          <w:tab w:val="left" w:pos="7427"/>
        </w:tabs>
        <w:spacing w:before="85"/>
        <w:ind w:left="872"/>
      </w:pPr>
      <w:r>
        <w:t>Summit Holdings</w:t>
      </w:r>
      <w:r>
        <w:rPr>
          <w:spacing w:val="-6"/>
        </w:rPr>
        <w:t xml:space="preserve"> </w:t>
      </w:r>
      <w:r>
        <w:t>Europe</w:t>
      </w:r>
      <w:r>
        <w:rPr>
          <w:spacing w:val="-3"/>
        </w:rPr>
        <w:t xml:space="preserve"> </w:t>
      </w:r>
      <w:r>
        <w:t>Ltd.</w:t>
      </w:r>
      <w:r>
        <w:tab/>
        <w:t>Cayman</w:t>
      </w:r>
      <w:r>
        <w:rPr>
          <w:spacing w:val="-7"/>
        </w:rPr>
        <w:t xml:space="preserve"> </w:t>
      </w:r>
      <w:r>
        <w:t>Islands</w:t>
      </w:r>
    </w:p>
    <w:p w14:paraId="7326D63A" w14:textId="77777777" w:rsidR="00EF3DFB" w:rsidRDefault="00D27C17">
      <w:pPr>
        <w:pStyle w:val="BodyText"/>
        <w:tabs>
          <w:tab w:val="left" w:pos="7427"/>
        </w:tabs>
        <w:spacing w:before="85"/>
        <w:ind w:left="872"/>
      </w:pPr>
      <w:r>
        <w:t>Summit</w:t>
      </w:r>
      <w:r>
        <w:rPr>
          <w:spacing w:val="-4"/>
        </w:rPr>
        <w:t xml:space="preserve"> </w:t>
      </w:r>
      <w:r>
        <w:t>Worldwide</w:t>
      </w:r>
      <w:r>
        <w:rPr>
          <w:spacing w:val="-4"/>
        </w:rPr>
        <w:t xml:space="preserve"> </w:t>
      </w:r>
      <w:r>
        <w:t>Company</w:t>
      </w:r>
      <w:r>
        <w:tab/>
        <w:t>Cayman</w:t>
      </w:r>
      <w:r>
        <w:rPr>
          <w:spacing w:val="-7"/>
        </w:rPr>
        <w:t xml:space="preserve"> </w:t>
      </w:r>
      <w:r>
        <w:t>Island</w:t>
      </w:r>
      <w:r>
        <w:t>s</w:t>
      </w:r>
    </w:p>
    <w:p w14:paraId="7326D63B" w14:textId="77777777" w:rsidR="00EF3DFB" w:rsidRDefault="00D27C17">
      <w:pPr>
        <w:pStyle w:val="BodyText"/>
        <w:tabs>
          <w:tab w:val="left" w:pos="7427"/>
        </w:tabs>
        <w:spacing w:before="85"/>
        <w:ind w:left="872"/>
      </w:pPr>
      <w:r>
        <w:t>Sunbeam ANZ Holdings</w:t>
      </w:r>
      <w:r>
        <w:rPr>
          <w:spacing w:val="-9"/>
        </w:rPr>
        <w:t xml:space="preserve"> </w:t>
      </w:r>
      <w:r>
        <w:t>Pty</w:t>
      </w:r>
      <w:r>
        <w:rPr>
          <w:spacing w:val="-2"/>
        </w:rPr>
        <w:t xml:space="preserve"> </w:t>
      </w:r>
      <w:r>
        <w:t>Ltd</w:t>
      </w:r>
      <w:r>
        <w:tab/>
        <w:t>Australia</w:t>
      </w:r>
    </w:p>
    <w:p w14:paraId="7326D63C" w14:textId="77777777" w:rsidR="00EF3DFB" w:rsidRDefault="00D27C17">
      <w:pPr>
        <w:pStyle w:val="BodyText"/>
        <w:tabs>
          <w:tab w:val="left" w:pos="7427"/>
        </w:tabs>
        <w:spacing w:before="85"/>
        <w:ind w:left="872"/>
      </w:pPr>
      <w:r>
        <w:t>Sunbeam Corporation</w:t>
      </w:r>
      <w:r>
        <w:rPr>
          <w:spacing w:val="-6"/>
        </w:rPr>
        <w:t xml:space="preserve"> </w:t>
      </w:r>
      <w:r>
        <w:t>Pty</w:t>
      </w:r>
      <w:r>
        <w:rPr>
          <w:spacing w:val="-3"/>
        </w:rPr>
        <w:t xml:space="preserve"> </w:t>
      </w:r>
      <w:r>
        <w:t>Ltd</w:t>
      </w:r>
      <w:r>
        <w:tab/>
        <w:t>Australia</w:t>
      </w:r>
    </w:p>
    <w:p w14:paraId="7326D63D" w14:textId="77777777" w:rsidR="00EF3DFB" w:rsidRDefault="00D27C17">
      <w:pPr>
        <w:pStyle w:val="BodyText"/>
        <w:tabs>
          <w:tab w:val="left" w:pos="7427"/>
        </w:tabs>
        <w:spacing w:before="85"/>
        <w:ind w:left="872"/>
      </w:pPr>
      <w:r>
        <w:t>Sunbeam del</w:t>
      </w:r>
      <w:r>
        <w:rPr>
          <w:spacing w:val="-5"/>
        </w:rPr>
        <w:t xml:space="preserve"> </w:t>
      </w:r>
      <w:r>
        <w:t>Peru,</w:t>
      </w:r>
      <w:r>
        <w:rPr>
          <w:spacing w:val="-2"/>
        </w:rPr>
        <w:t xml:space="preserve"> </w:t>
      </w:r>
      <w:r>
        <w:t>S.A.</w:t>
      </w:r>
      <w:r>
        <w:tab/>
        <w:t>Peru</w:t>
      </w:r>
    </w:p>
    <w:p w14:paraId="7326D63E" w14:textId="77777777" w:rsidR="00EF3DFB" w:rsidRDefault="00D27C17">
      <w:pPr>
        <w:pStyle w:val="BodyText"/>
        <w:tabs>
          <w:tab w:val="left" w:pos="7427"/>
        </w:tabs>
        <w:spacing w:before="85"/>
        <w:ind w:left="872"/>
      </w:pPr>
      <w:r>
        <w:t>Sunbeam Holdings, S.A.</w:t>
      </w:r>
      <w:r>
        <w:rPr>
          <w:spacing w:val="-7"/>
        </w:rPr>
        <w:t xml:space="preserve"> </w:t>
      </w:r>
      <w:r>
        <w:t>de</w:t>
      </w:r>
      <w:r>
        <w:rPr>
          <w:spacing w:val="-3"/>
        </w:rPr>
        <w:t xml:space="preserve"> </w:t>
      </w:r>
      <w:r>
        <w:t>C.V.</w:t>
      </w:r>
      <w:r>
        <w:tab/>
        <w:t>Mexico</w:t>
      </w:r>
    </w:p>
    <w:p w14:paraId="7326D63F" w14:textId="77777777" w:rsidR="00EF3DFB" w:rsidRDefault="00D27C17">
      <w:pPr>
        <w:pStyle w:val="BodyText"/>
        <w:tabs>
          <w:tab w:val="left" w:pos="7427"/>
        </w:tabs>
        <w:spacing w:before="85"/>
        <w:ind w:left="872"/>
      </w:pPr>
      <w:r>
        <w:t>Sunbeam NZ</w:t>
      </w:r>
      <w:r>
        <w:rPr>
          <w:spacing w:val="-8"/>
        </w:rPr>
        <w:t xml:space="preserve"> </w:t>
      </w:r>
      <w:r>
        <w:t>Corporation</w:t>
      </w:r>
      <w:r>
        <w:rPr>
          <w:spacing w:val="-3"/>
        </w:rPr>
        <w:t xml:space="preserve"> </w:t>
      </w:r>
      <w:r>
        <w:t>Limited</w:t>
      </w:r>
      <w:r>
        <w:tab/>
        <w:t>New</w:t>
      </w:r>
      <w:r>
        <w:rPr>
          <w:spacing w:val="-2"/>
        </w:rPr>
        <w:t xml:space="preserve"> </w:t>
      </w:r>
      <w:r>
        <w:t>Zealand</w:t>
      </w:r>
    </w:p>
    <w:p w14:paraId="7326D640" w14:textId="77777777" w:rsidR="00EF3DFB" w:rsidRDefault="00D27C17">
      <w:pPr>
        <w:pStyle w:val="BodyText"/>
        <w:tabs>
          <w:tab w:val="left" w:pos="7427"/>
        </w:tabs>
        <w:spacing w:before="85"/>
        <w:ind w:left="872"/>
      </w:pPr>
      <w:r>
        <w:t>Sunbeam</w:t>
      </w:r>
      <w:r>
        <w:rPr>
          <w:spacing w:val="-3"/>
        </w:rPr>
        <w:t xml:space="preserve"> </w:t>
      </w:r>
      <w:r>
        <w:t>Uruguay,</w:t>
      </w:r>
      <w:r>
        <w:rPr>
          <w:spacing w:val="-2"/>
        </w:rPr>
        <w:t xml:space="preserve"> </w:t>
      </w:r>
      <w:r>
        <w:t>S.A.</w:t>
      </w:r>
      <w:r>
        <w:tab/>
        <w:t>Uruguay</w:t>
      </w:r>
    </w:p>
    <w:p w14:paraId="7326D641" w14:textId="77777777" w:rsidR="00EF3DFB" w:rsidRDefault="00D27C17">
      <w:pPr>
        <w:pStyle w:val="BodyText"/>
        <w:tabs>
          <w:tab w:val="left" w:pos="7427"/>
        </w:tabs>
        <w:spacing w:before="85"/>
        <w:ind w:left="872"/>
      </w:pPr>
      <w:r>
        <w:t>Sunbeam-Oster de Acuña, S.A.</w:t>
      </w:r>
      <w:r>
        <w:rPr>
          <w:spacing w:val="-10"/>
        </w:rPr>
        <w:t xml:space="preserve"> </w:t>
      </w:r>
      <w:r>
        <w:t>de</w:t>
      </w:r>
      <w:r>
        <w:rPr>
          <w:spacing w:val="-4"/>
        </w:rPr>
        <w:t xml:space="preserve"> </w:t>
      </w:r>
      <w:r>
        <w:t>C.V.</w:t>
      </w:r>
      <w:r>
        <w:tab/>
        <w:t>Mexico</w:t>
      </w:r>
    </w:p>
    <w:p w14:paraId="7326D642" w14:textId="77777777" w:rsidR="00EF3DFB" w:rsidRDefault="00D27C17">
      <w:pPr>
        <w:pStyle w:val="BodyText"/>
        <w:tabs>
          <w:tab w:val="left" w:pos="7427"/>
        </w:tabs>
        <w:spacing w:before="85"/>
        <w:ind w:left="872"/>
      </w:pPr>
      <w:r>
        <w:t>Sunbeam-Oster de Matamoros, S.A.</w:t>
      </w:r>
      <w:r>
        <w:rPr>
          <w:spacing w:val="-11"/>
        </w:rPr>
        <w:t xml:space="preserve"> </w:t>
      </w:r>
      <w:r>
        <w:t>de</w:t>
      </w:r>
      <w:r>
        <w:rPr>
          <w:spacing w:val="-4"/>
        </w:rPr>
        <w:t xml:space="preserve"> </w:t>
      </w:r>
      <w:r>
        <w:t>C.V.</w:t>
      </w:r>
      <w:r>
        <w:tab/>
        <w:t>Mexico</w:t>
      </w:r>
    </w:p>
    <w:p w14:paraId="7326D643" w14:textId="77777777" w:rsidR="00EF3DFB" w:rsidRDefault="00D27C17">
      <w:pPr>
        <w:pStyle w:val="BodyText"/>
        <w:tabs>
          <w:tab w:val="left" w:pos="7427"/>
        </w:tabs>
        <w:spacing w:before="85"/>
        <w:ind w:left="872"/>
      </w:pPr>
      <w:r>
        <w:t>SunCan</w:t>
      </w:r>
      <w:r>
        <w:rPr>
          <w:spacing w:val="-2"/>
        </w:rPr>
        <w:t xml:space="preserve"> </w:t>
      </w:r>
      <w:r>
        <w:t>Holding</w:t>
      </w:r>
      <w:r>
        <w:rPr>
          <w:spacing w:val="-2"/>
        </w:rPr>
        <w:t xml:space="preserve"> </w:t>
      </w:r>
      <w:r>
        <w:t>Corp.</w:t>
      </w:r>
      <w:r>
        <w:tab/>
        <w:t>Canada</w:t>
      </w:r>
    </w:p>
    <w:p w14:paraId="7326D644" w14:textId="77777777" w:rsidR="00EF3DFB" w:rsidRDefault="00D27C17">
      <w:pPr>
        <w:pStyle w:val="BodyText"/>
        <w:tabs>
          <w:tab w:val="left" w:pos="7427"/>
        </w:tabs>
        <w:spacing w:before="86"/>
        <w:ind w:left="872"/>
      </w:pPr>
      <w:r>
        <w:t>Taiwan</w:t>
      </w:r>
      <w:r>
        <w:rPr>
          <w:spacing w:val="-3"/>
        </w:rPr>
        <w:t xml:space="preserve"> </w:t>
      </w:r>
      <w:r>
        <w:t>Aprica</w:t>
      </w:r>
      <w:r>
        <w:rPr>
          <w:spacing w:val="-4"/>
        </w:rPr>
        <w:t xml:space="preserve"> </w:t>
      </w:r>
      <w:r>
        <w:t>Inc.</w:t>
      </w:r>
      <w:r>
        <w:tab/>
        <w:t>Taiwan</w:t>
      </w:r>
    </w:p>
    <w:p w14:paraId="7326D645" w14:textId="77777777" w:rsidR="00EF3DFB" w:rsidRDefault="00D27C17">
      <w:pPr>
        <w:pStyle w:val="BodyText"/>
        <w:tabs>
          <w:tab w:val="left" w:pos="7427"/>
        </w:tabs>
        <w:spacing w:before="85"/>
        <w:ind w:left="872"/>
      </w:pPr>
      <w:r>
        <w:t>The Wallingford Insurance</w:t>
      </w:r>
      <w:r>
        <w:rPr>
          <w:spacing w:val="-11"/>
        </w:rPr>
        <w:t xml:space="preserve"> </w:t>
      </w:r>
      <w:r>
        <w:t>Company</w:t>
      </w:r>
      <w:r>
        <w:rPr>
          <w:spacing w:val="-3"/>
        </w:rPr>
        <w:t xml:space="preserve"> </w:t>
      </w:r>
      <w:r>
        <w:t>Limited</w:t>
      </w:r>
      <w:r>
        <w:tab/>
        <w:t>Bermuda</w:t>
      </w:r>
    </w:p>
    <w:p w14:paraId="7326D646" w14:textId="77777777" w:rsidR="00EF3DFB" w:rsidRDefault="00D27C17">
      <w:pPr>
        <w:pStyle w:val="BodyText"/>
        <w:tabs>
          <w:tab w:val="left" w:pos="7427"/>
        </w:tabs>
        <w:spacing w:before="85"/>
        <w:ind w:left="872"/>
      </w:pPr>
      <w:r>
        <w:t>True Temper</w:t>
      </w:r>
      <w:r>
        <w:rPr>
          <w:spacing w:val="-7"/>
        </w:rPr>
        <w:t xml:space="preserve"> </w:t>
      </w:r>
      <w:r>
        <w:t>Venezuela,</w:t>
      </w:r>
      <w:r>
        <w:rPr>
          <w:spacing w:val="-3"/>
        </w:rPr>
        <w:t xml:space="preserve"> </w:t>
      </w:r>
      <w:r>
        <w:t>S.A.</w:t>
      </w:r>
      <w:r>
        <w:tab/>
        <w:t>Venezuela</w:t>
      </w:r>
    </w:p>
    <w:p w14:paraId="7326D647" w14:textId="77777777" w:rsidR="00EF3DFB" w:rsidRDefault="00D27C17">
      <w:pPr>
        <w:pStyle w:val="BodyText"/>
        <w:tabs>
          <w:tab w:val="left" w:pos="7427"/>
        </w:tabs>
        <w:spacing w:before="85"/>
        <w:ind w:left="872"/>
      </w:pPr>
      <w:r>
        <w:t>USPC Mexico, S.A.</w:t>
      </w:r>
      <w:r>
        <w:rPr>
          <w:spacing w:val="-7"/>
        </w:rPr>
        <w:t xml:space="preserve"> </w:t>
      </w:r>
      <w:r>
        <w:t>de</w:t>
      </w:r>
      <w:r>
        <w:rPr>
          <w:spacing w:val="-3"/>
        </w:rPr>
        <w:t xml:space="preserve"> </w:t>
      </w:r>
      <w:r>
        <w:t>C</w:t>
      </w:r>
      <w:r>
        <w:t>.V.</w:t>
      </w:r>
      <w:r>
        <w:tab/>
        <w:t>Mexico</w:t>
      </w:r>
    </w:p>
    <w:p w14:paraId="7326D648" w14:textId="77777777" w:rsidR="00EF3DFB" w:rsidRDefault="00D27C17">
      <w:pPr>
        <w:pStyle w:val="BodyText"/>
        <w:tabs>
          <w:tab w:val="left" w:pos="7427"/>
        </w:tabs>
        <w:spacing w:before="85"/>
        <w:ind w:left="872"/>
      </w:pPr>
      <w:r>
        <w:t>Vine</w:t>
      </w:r>
      <w:r>
        <w:rPr>
          <w:spacing w:val="-4"/>
        </w:rPr>
        <w:t xml:space="preserve"> </w:t>
      </w:r>
      <w:r>
        <w:t>Mill</w:t>
      </w:r>
      <w:r>
        <w:rPr>
          <w:spacing w:val="-4"/>
        </w:rPr>
        <w:t xml:space="preserve"> </w:t>
      </w:r>
      <w:r>
        <w:t>Limited</w:t>
      </w:r>
      <w:r>
        <w:tab/>
        <w:t>United</w:t>
      </w:r>
      <w:r>
        <w:rPr>
          <w:spacing w:val="-1"/>
        </w:rPr>
        <w:t xml:space="preserve"> </w:t>
      </w:r>
      <w:r>
        <w:t>Kingdom</w:t>
      </w:r>
    </w:p>
    <w:p w14:paraId="7326D649" w14:textId="77777777" w:rsidR="00EF3DFB" w:rsidRDefault="00D27C17">
      <w:pPr>
        <w:pStyle w:val="BodyText"/>
        <w:tabs>
          <w:tab w:val="left" w:pos="7427"/>
        </w:tabs>
        <w:spacing w:before="85"/>
        <w:ind w:left="872"/>
      </w:pPr>
      <w:r>
        <w:t>Virumetal</w:t>
      </w:r>
      <w:r>
        <w:rPr>
          <w:spacing w:val="-4"/>
        </w:rPr>
        <w:t xml:space="preserve"> </w:t>
      </w:r>
      <w:r>
        <w:t>S.A.</w:t>
      </w:r>
      <w:r>
        <w:tab/>
        <w:t>Uruguay</w:t>
      </w:r>
    </w:p>
    <w:p w14:paraId="7326D64A" w14:textId="77777777" w:rsidR="00EF3DFB" w:rsidRDefault="00D27C17">
      <w:pPr>
        <w:pStyle w:val="BodyText"/>
        <w:tabs>
          <w:tab w:val="left" w:pos="7427"/>
        </w:tabs>
        <w:spacing w:before="85"/>
        <w:ind w:left="872"/>
      </w:pPr>
      <w:r>
        <w:t>viskovita</w:t>
      </w:r>
      <w:r>
        <w:rPr>
          <w:spacing w:val="-3"/>
        </w:rPr>
        <w:t xml:space="preserve"> </w:t>
      </w:r>
      <w:r>
        <w:t>GmbH</w:t>
      </w:r>
      <w:r>
        <w:tab/>
        <w:t>Germany</w:t>
      </w:r>
    </w:p>
    <w:p w14:paraId="7326D64B" w14:textId="77777777" w:rsidR="00EF3DFB" w:rsidRDefault="00D27C17">
      <w:pPr>
        <w:pStyle w:val="BodyText"/>
        <w:tabs>
          <w:tab w:val="left" w:pos="7427"/>
        </w:tabs>
        <w:spacing w:before="85"/>
        <w:ind w:left="872"/>
      </w:pPr>
      <w:r>
        <w:t>Waverly Products</w:t>
      </w:r>
      <w:r>
        <w:rPr>
          <w:spacing w:val="-7"/>
        </w:rPr>
        <w:t xml:space="preserve"> </w:t>
      </w:r>
      <w:r>
        <w:t>Company</w:t>
      </w:r>
      <w:r>
        <w:rPr>
          <w:spacing w:val="-4"/>
        </w:rPr>
        <w:t xml:space="preserve"> </w:t>
      </w:r>
      <w:r>
        <w:t>Limited</w:t>
      </w:r>
      <w:r>
        <w:tab/>
        <w:t>Jamaica</w:t>
      </w:r>
    </w:p>
    <w:p w14:paraId="7326D64C" w14:textId="77777777" w:rsidR="00EF3DFB" w:rsidRDefault="00D27C17">
      <w:pPr>
        <w:pStyle w:val="BodyText"/>
        <w:tabs>
          <w:tab w:val="left" w:pos="7427"/>
        </w:tabs>
        <w:spacing w:before="85"/>
        <w:ind w:left="872"/>
      </w:pPr>
      <w:r>
        <w:t>Yankee Candle</w:t>
      </w:r>
      <w:r>
        <w:rPr>
          <w:spacing w:val="-6"/>
        </w:rPr>
        <w:t xml:space="preserve"> </w:t>
      </w:r>
      <w:r>
        <w:t>Canada</w:t>
      </w:r>
      <w:r>
        <w:rPr>
          <w:spacing w:val="-3"/>
        </w:rPr>
        <w:t xml:space="preserve"> </w:t>
      </w:r>
      <w:r>
        <w:t>Inc.</w:t>
      </w:r>
      <w:r>
        <w:tab/>
        <w:t>Canada</w:t>
      </w:r>
    </w:p>
    <w:p w14:paraId="7326D64D" w14:textId="77777777" w:rsidR="00EF3DFB" w:rsidRDefault="00D27C17">
      <w:pPr>
        <w:pStyle w:val="BodyText"/>
        <w:tabs>
          <w:tab w:val="left" w:pos="7427"/>
        </w:tabs>
        <w:spacing w:before="85"/>
        <w:ind w:left="872"/>
      </w:pPr>
      <w:r>
        <w:t>Yankee Candle Company</w:t>
      </w:r>
      <w:r>
        <w:rPr>
          <w:spacing w:val="-10"/>
        </w:rPr>
        <w:t xml:space="preserve"> </w:t>
      </w:r>
      <w:r>
        <w:t>(Europe)</w:t>
      </w:r>
      <w:r>
        <w:rPr>
          <w:spacing w:val="-3"/>
        </w:rPr>
        <w:t xml:space="preserve"> </w:t>
      </w:r>
      <w:r>
        <w:t>Limited</w:t>
      </w:r>
      <w:r>
        <w:tab/>
        <w:t>United</w:t>
      </w:r>
      <w:r>
        <w:rPr>
          <w:spacing w:val="-1"/>
        </w:rPr>
        <w:t xml:space="preserve"> </w:t>
      </w:r>
      <w:r>
        <w:t>Kingdom</w:t>
      </w:r>
    </w:p>
    <w:p w14:paraId="7326D64E" w14:textId="77777777" w:rsidR="00EF3DFB" w:rsidRDefault="00D27C17">
      <w:pPr>
        <w:pStyle w:val="BodyText"/>
        <w:tabs>
          <w:tab w:val="left" w:pos="7427"/>
        </w:tabs>
        <w:spacing w:before="85"/>
        <w:ind w:left="872"/>
      </w:pPr>
      <w:r>
        <w:t>Yankee Candle</w:t>
      </w:r>
      <w:r>
        <w:rPr>
          <w:spacing w:val="-8"/>
        </w:rPr>
        <w:t xml:space="preserve"> </w:t>
      </w:r>
      <w:r>
        <w:t>Deutschland</w:t>
      </w:r>
      <w:r>
        <w:rPr>
          <w:spacing w:val="-3"/>
        </w:rPr>
        <w:t xml:space="preserve"> </w:t>
      </w:r>
      <w:r>
        <w:t>GmbH</w:t>
      </w:r>
      <w:r>
        <w:tab/>
      </w:r>
      <w:r>
        <w:t>Germany</w:t>
      </w:r>
    </w:p>
    <w:p w14:paraId="7326D64F" w14:textId="77777777" w:rsidR="00EF3DFB" w:rsidRDefault="00D27C17">
      <w:pPr>
        <w:pStyle w:val="BodyText"/>
        <w:tabs>
          <w:tab w:val="left" w:pos="7427"/>
        </w:tabs>
        <w:spacing w:before="85"/>
        <w:ind w:left="872"/>
      </w:pPr>
      <w:r>
        <w:t>Yankee</w:t>
      </w:r>
      <w:r>
        <w:rPr>
          <w:spacing w:val="-4"/>
        </w:rPr>
        <w:t xml:space="preserve"> </w:t>
      </w:r>
      <w:r>
        <w:t>Candle</w:t>
      </w:r>
      <w:r>
        <w:rPr>
          <w:spacing w:val="-4"/>
        </w:rPr>
        <w:t xml:space="preserve"> </w:t>
      </w:r>
      <w:r>
        <w:t>France</w:t>
      </w:r>
      <w:r>
        <w:tab/>
        <w:t>France</w:t>
      </w:r>
    </w:p>
    <w:p w14:paraId="7326D650" w14:textId="77777777" w:rsidR="00EF3DFB" w:rsidRDefault="00D27C17">
      <w:pPr>
        <w:pStyle w:val="BodyText"/>
        <w:tabs>
          <w:tab w:val="left" w:pos="7427"/>
        </w:tabs>
        <w:spacing w:before="85"/>
        <w:ind w:left="872"/>
      </w:pPr>
      <w:r>
        <w:t>Yankee</w:t>
      </w:r>
      <w:r>
        <w:rPr>
          <w:spacing w:val="-3"/>
        </w:rPr>
        <w:t xml:space="preserve"> </w:t>
      </w:r>
      <w:r>
        <w:t>Candle</w:t>
      </w:r>
      <w:r>
        <w:rPr>
          <w:spacing w:val="-3"/>
        </w:rPr>
        <w:t xml:space="preserve"> </w:t>
      </w:r>
      <w:r>
        <w:t>s.r.o.</w:t>
      </w:r>
      <w:r>
        <w:tab/>
        <w:t>Czech</w:t>
      </w:r>
      <w:r>
        <w:rPr>
          <w:spacing w:val="-1"/>
        </w:rPr>
        <w:t xml:space="preserve"> </w:t>
      </w:r>
      <w:r>
        <w:t>Republic</w:t>
      </w:r>
    </w:p>
    <w:p w14:paraId="7326D651" w14:textId="77777777" w:rsidR="00EF3DFB" w:rsidRDefault="00EF3DFB">
      <w:pPr>
        <w:sectPr w:rsidR="00EF3DFB">
          <w:footerReference w:type="default" r:id="rId324"/>
          <w:pgSz w:w="12240" w:h="15840"/>
          <w:pgMar w:top="1420" w:right="640" w:bottom="280" w:left="620" w:header="0" w:footer="0" w:gutter="0"/>
          <w:cols w:space="720"/>
        </w:sectPr>
      </w:pPr>
    </w:p>
    <w:p w14:paraId="7326D652" w14:textId="77777777" w:rsidR="00EF3DFB" w:rsidRDefault="00D27C17">
      <w:pPr>
        <w:pStyle w:val="Heading1"/>
        <w:spacing w:before="78"/>
        <w:ind w:left="8673"/>
      </w:pPr>
      <w:bookmarkStart w:id="96" w:name="_EXHIBIT_23.1"/>
      <w:bookmarkEnd w:id="96"/>
      <w:r>
        <w:lastRenderedPageBreak/>
        <w:t>EXHIBIT 23.1</w:t>
      </w:r>
    </w:p>
    <w:p w14:paraId="7326D653" w14:textId="77777777" w:rsidR="00EF3DFB" w:rsidRDefault="00EF3DFB">
      <w:pPr>
        <w:pStyle w:val="BodyText"/>
        <w:rPr>
          <w:b/>
          <w:sz w:val="26"/>
        </w:rPr>
      </w:pPr>
    </w:p>
    <w:p w14:paraId="7326D654" w14:textId="77777777" w:rsidR="00EF3DFB" w:rsidRDefault="00EF3DFB">
      <w:pPr>
        <w:pStyle w:val="BodyText"/>
        <w:rPr>
          <w:b/>
          <w:sz w:val="26"/>
        </w:rPr>
      </w:pPr>
    </w:p>
    <w:p w14:paraId="7326D655" w14:textId="77777777" w:rsidR="00EF3DFB" w:rsidRDefault="00EF3DFB">
      <w:pPr>
        <w:pStyle w:val="BodyText"/>
        <w:rPr>
          <w:b/>
          <w:sz w:val="26"/>
        </w:rPr>
      </w:pPr>
    </w:p>
    <w:p w14:paraId="7326D656" w14:textId="77777777" w:rsidR="00EF3DFB" w:rsidRDefault="00D27C17">
      <w:pPr>
        <w:pStyle w:val="Heading2"/>
        <w:spacing w:before="217"/>
        <w:ind w:left="2007"/>
        <w:jc w:val="left"/>
      </w:pPr>
      <w:r>
        <w:t>CONSENT OF INDEPENDENT REGISTERED PUBLIC ACCOUNTING FIRM</w:t>
      </w:r>
    </w:p>
    <w:p w14:paraId="7326D657" w14:textId="77777777" w:rsidR="00EF3DFB" w:rsidRDefault="00EF3DFB">
      <w:pPr>
        <w:pStyle w:val="BodyText"/>
        <w:rPr>
          <w:b/>
          <w:sz w:val="22"/>
        </w:rPr>
      </w:pPr>
    </w:p>
    <w:p w14:paraId="7326D658" w14:textId="77777777" w:rsidR="00EF3DFB" w:rsidRDefault="00EF3DFB">
      <w:pPr>
        <w:pStyle w:val="BodyText"/>
        <w:rPr>
          <w:b/>
          <w:sz w:val="22"/>
        </w:rPr>
      </w:pPr>
    </w:p>
    <w:p w14:paraId="7326D659" w14:textId="77777777" w:rsidR="00EF3DFB" w:rsidRDefault="00D27C17">
      <w:pPr>
        <w:pStyle w:val="BodyText"/>
        <w:spacing w:before="155" w:line="218" w:lineRule="auto"/>
        <w:ind w:left="820" w:right="858"/>
      </w:pPr>
      <w:r>
        <w:t>We hereby consent to the incorporation by reference in the Registration Statements on Form S-3 (No. 333-238122) and  Form  S</w:t>
      </w:r>
      <w:r>
        <w:rPr>
          <w:rFonts w:ascii="Lucida Sans Unicode" w:hAnsi="Lucida Sans Unicode"/>
        </w:rPr>
        <w:t>‑</w:t>
      </w:r>
      <w:r>
        <w:t>8  (Nos.  333-221872,  033-62047,  333-38621,  333-74925,  333-105113,  333-105177,  333-105178,</w:t>
      </w:r>
    </w:p>
    <w:p w14:paraId="7326D65A" w14:textId="77777777" w:rsidR="00EF3DFB" w:rsidRDefault="00D27C17">
      <w:pPr>
        <w:pStyle w:val="BodyText"/>
        <w:spacing w:line="204" w:lineRule="exact"/>
        <w:ind w:left="820"/>
      </w:pPr>
      <w:r>
        <w:t>333-125144, 333-135153, 333-149133</w:t>
      </w:r>
      <w:r>
        <w:t>, 333-166946, 333-188411 and 333-210762) of Newell Brands Inc. of our</w:t>
      </w:r>
    </w:p>
    <w:p w14:paraId="7326D65B" w14:textId="77777777" w:rsidR="00EF3DFB" w:rsidRDefault="00D27C17">
      <w:pPr>
        <w:pStyle w:val="BodyText"/>
        <w:spacing w:before="10" w:line="249" w:lineRule="auto"/>
        <w:ind w:left="820" w:right="858"/>
      </w:pPr>
      <w:r>
        <w:t>report dated February 18, 2021 relating to the financial statements and financial statement schedule and the effectiveness of internal control over financial reporting, which appears in this Form 10-K.</w:t>
      </w:r>
    </w:p>
    <w:p w14:paraId="7326D65C" w14:textId="77777777" w:rsidR="00EF3DFB" w:rsidRDefault="00EF3DFB">
      <w:pPr>
        <w:pStyle w:val="BodyText"/>
        <w:rPr>
          <w:sz w:val="22"/>
        </w:rPr>
      </w:pPr>
    </w:p>
    <w:p w14:paraId="7326D65D" w14:textId="77777777" w:rsidR="00EF3DFB" w:rsidRDefault="00EF3DFB">
      <w:pPr>
        <w:pStyle w:val="BodyText"/>
        <w:spacing w:before="1"/>
        <w:rPr>
          <w:sz w:val="18"/>
        </w:rPr>
      </w:pPr>
    </w:p>
    <w:p w14:paraId="7326D65E" w14:textId="77777777" w:rsidR="00EF3DFB" w:rsidRDefault="00D27C17">
      <w:pPr>
        <w:pStyle w:val="BodyText"/>
        <w:spacing w:line="249" w:lineRule="auto"/>
        <w:ind w:left="820" w:right="7507"/>
      </w:pPr>
      <w:r>
        <w:t>/s/ PricewaterhouseCoopers LLP New York, New York</w:t>
      </w:r>
    </w:p>
    <w:p w14:paraId="7326D65F" w14:textId="77777777" w:rsidR="00EF3DFB" w:rsidRDefault="00D27C17">
      <w:pPr>
        <w:pStyle w:val="BodyText"/>
        <w:spacing w:before="2"/>
        <w:ind w:left="820"/>
      </w:pPr>
      <w:r>
        <w:t>Fe</w:t>
      </w:r>
      <w:r>
        <w:t>bruary 18, 2021</w:t>
      </w:r>
    </w:p>
    <w:p w14:paraId="7326D660" w14:textId="77777777" w:rsidR="00EF3DFB" w:rsidRDefault="00EF3DFB">
      <w:pPr>
        <w:sectPr w:rsidR="00EF3DFB">
          <w:footerReference w:type="default" r:id="rId325"/>
          <w:pgSz w:w="12240" w:h="15840"/>
          <w:pgMar w:top="1300" w:right="640" w:bottom="280" w:left="620" w:header="0" w:footer="0" w:gutter="0"/>
          <w:cols w:space="720"/>
        </w:sectPr>
      </w:pPr>
    </w:p>
    <w:p w14:paraId="7326D661" w14:textId="77777777" w:rsidR="00EF3DFB" w:rsidRDefault="00EF3DFB">
      <w:pPr>
        <w:pStyle w:val="BodyText"/>
        <w:rPr>
          <w:sz w:val="24"/>
        </w:rPr>
      </w:pPr>
    </w:p>
    <w:p w14:paraId="7326D662" w14:textId="77777777" w:rsidR="00EF3DFB" w:rsidRDefault="00EF3DFB">
      <w:pPr>
        <w:pStyle w:val="BodyText"/>
        <w:rPr>
          <w:sz w:val="24"/>
        </w:rPr>
      </w:pPr>
    </w:p>
    <w:p w14:paraId="7326D663" w14:textId="77777777" w:rsidR="00EF3DFB" w:rsidRDefault="00EF3DFB">
      <w:pPr>
        <w:pStyle w:val="BodyText"/>
        <w:rPr>
          <w:sz w:val="24"/>
        </w:rPr>
      </w:pPr>
    </w:p>
    <w:p w14:paraId="7326D664" w14:textId="77777777" w:rsidR="00EF3DFB" w:rsidRDefault="00D27C17">
      <w:pPr>
        <w:spacing w:before="151"/>
        <w:ind w:left="100"/>
      </w:pPr>
      <w:r>
        <w:t>I, Ravichandra K. Saligram, certify that:</w:t>
      </w:r>
    </w:p>
    <w:p w14:paraId="7326D665" w14:textId="77777777" w:rsidR="00EF3DFB" w:rsidRDefault="00D27C17">
      <w:pPr>
        <w:pStyle w:val="BodyText"/>
        <w:rPr>
          <w:sz w:val="24"/>
        </w:rPr>
      </w:pPr>
      <w:r>
        <w:br w:type="column"/>
      </w:r>
    </w:p>
    <w:p w14:paraId="7326D666" w14:textId="77777777" w:rsidR="00EF3DFB" w:rsidRDefault="00EF3DFB">
      <w:pPr>
        <w:pStyle w:val="BodyText"/>
        <w:rPr>
          <w:sz w:val="22"/>
        </w:rPr>
      </w:pPr>
    </w:p>
    <w:p w14:paraId="7326D667" w14:textId="77777777" w:rsidR="00EF3DFB" w:rsidRDefault="00D27C17">
      <w:pPr>
        <w:ind w:left="100"/>
        <w:rPr>
          <w:b/>
        </w:rPr>
      </w:pPr>
      <w:r>
        <w:rPr>
          <w:b/>
        </w:rPr>
        <w:t>CERTIFICATION</w:t>
      </w:r>
    </w:p>
    <w:p w14:paraId="7326D668" w14:textId="77777777" w:rsidR="00EF3DFB" w:rsidRDefault="00D27C17">
      <w:pPr>
        <w:spacing w:before="67"/>
        <w:ind w:left="100"/>
      </w:pPr>
      <w:r>
        <w:br w:type="column"/>
      </w:r>
      <w:r>
        <w:t>EXHIBIT 31.1</w:t>
      </w:r>
    </w:p>
    <w:p w14:paraId="7326D669" w14:textId="77777777" w:rsidR="00EF3DFB" w:rsidRDefault="00EF3DFB">
      <w:pPr>
        <w:sectPr w:rsidR="00EF3DFB">
          <w:footerReference w:type="default" r:id="rId326"/>
          <w:pgSz w:w="12240" w:h="15840"/>
          <w:pgMar w:top="600" w:right="640" w:bottom="280" w:left="620" w:header="0" w:footer="0" w:gutter="0"/>
          <w:cols w:num="3" w:space="720" w:equalWidth="0">
            <w:col w:w="3684" w:space="458"/>
            <w:col w:w="1937" w:space="2682"/>
            <w:col w:w="2219"/>
          </w:cols>
        </w:sectPr>
      </w:pPr>
    </w:p>
    <w:p w14:paraId="7326D66A" w14:textId="77777777" w:rsidR="00EF3DFB" w:rsidRDefault="00EF3DFB">
      <w:pPr>
        <w:pStyle w:val="BodyText"/>
        <w:spacing w:before="6"/>
        <w:rPr>
          <w:sz w:val="11"/>
        </w:rPr>
      </w:pPr>
    </w:p>
    <w:p w14:paraId="7326D66B" w14:textId="77777777" w:rsidR="00EF3DFB" w:rsidRDefault="00D27C17">
      <w:pPr>
        <w:pStyle w:val="ListParagraph"/>
        <w:numPr>
          <w:ilvl w:val="0"/>
          <w:numId w:val="9"/>
        </w:numPr>
        <w:tabs>
          <w:tab w:val="left" w:pos="617"/>
          <w:tab w:val="left" w:pos="618"/>
        </w:tabs>
        <w:spacing w:before="91"/>
      </w:pPr>
      <w:r>
        <w:t>I have reviewed this annual report on Form 10-K for Newell Brands</w:t>
      </w:r>
      <w:r>
        <w:rPr>
          <w:spacing w:val="-4"/>
        </w:rPr>
        <w:t xml:space="preserve"> </w:t>
      </w:r>
      <w:r>
        <w:t>Inc.;</w:t>
      </w:r>
    </w:p>
    <w:p w14:paraId="7326D66C" w14:textId="77777777" w:rsidR="00EF3DFB" w:rsidRDefault="00EF3DFB">
      <w:pPr>
        <w:pStyle w:val="BodyText"/>
        <w:spacing w:before="5"/>
        <w:rPr>
          <w:sz w:val="22"/>
        </w:rPr>
      </w:pPr>
    </w:p>
    <w:p w14:paraId="7326D66D" w14:textId="77777777" w:rsidR="00EF3DFB" w:rsidRDefault="00D27C17">
      <w:pPr>
        <w:pStyle w:val="ListParagraph"/>
        <w:numPr>
          <w:ilvl w:val="0"/>
          <w:numId w:val="9"/>
        </w:numPr>
        <w:tabs>
          <w:tab w:val="left" w:pos="618"/>
        </w:tabs>
        <w:spacing w:line="208" w:lineRule="auto"/>
        <w:ind w:right="110"/>
        <w:jc w:val="both"/>
      </w:pPr>
      <w:r>
        <w:t>Based on my knowledge, this report does not contain any untrue statement of a material fact or omit to state a material fact necessary to make the statements made, in light of the cir</w:t>
      </w:r>
      <w:r>
        <w:t>cumstances under which such statements were made, not misleading with respect to the period covered by this</w:t>
      </w:r>
      <w:r>
        <w:rPr>
          <w:spacing w:val="-2"/>
        </w:rPr>
        <w:t xml:space="preserve"> </w:t>
      </w:r>
      <w:r>
        <w:t>report;</w:t>
      </w:r>
    </w:p>
    <w:p w14:paraId="7326D66E" w14:textId="77777777" w:rsidR="00EF3DFB" w:rsidRDefault="00D27C17">
      <w:pPr>
        <w:pStyle w:val="ListParagraph"/>
        <w:numPr>
          <w:ilvl w:val="0"/>
          <w:numId w:val="9"/>
        </w:numPr>
        <w:tabs>
          <w:tab w:val="left" w:pos="618"/>
        </w:tabs>
        <w:spacing w:before="180" w:line="208" w:lineRule="auto"/>
        <w:ind w:right="109"/>
        <w:jc w:val="both"/>
      </w:pPr>
      <w:r>
        <w:t>Based on my knowledge, the financial statements, and other financial information included in this report, fairly present in all material res</w:t>
      </w:r>
      <w:r>
        <w:t>pects the financial condition, results of operations and cash flows of the registrant as of, and for, the periods presented in this</w:t>
      </w:r>
      <w:r>
        <w:rPr>
          <w:spacing w:val="-3"/>
        </w:rPr>
        <w:t xml:space="preserve"> </w:t>
      </w:r>
      <w:r>
        <w:t>report;</w:t>
      </w:r>
    </w:p>
    <w:p w14:paraId="7326D66F" w14:textId="77777777" w:rsidR="00EF3DFB" w:rsidRDefault="00D27C17">
      <w:pPr>
        <w:pStyle w:val="ListParagraph"/>
        <w:numPr>
          <w:ilvl w:val="0"/>
          <w:numId w:val="9"/>
        </w:numPr>
        <w:tabs>
          <w:tab w:val="left" w:pos="618"/>
        </w:tabs>
        <w:spacing w:before="196" w:line="189" w:lineRule="auto"/>
        <w:ind w:right="110"/>
        <w:jc w:val="both"/>
      </w:pPr>
      <w:r>
        <w:t>The registrant's other certifying officer(s) and I are responsible for establishing and maintaining disclosure contr</w:t>
      </w:r>
      <w:r>
        <w:t>ols and procedures (as defined in Exchange Act Rules 13a-15(e) and 15d-15(e)) and internal control over financial reporting (as defined in Exchange Act Rules 13a-15(f) and 15d-15(f)) for the registrant and</w:t>
      </w:r>
      <w:r>
        <w:rPr>
          <w:spacing w:val="-3"/>
        </w:rPr>
        <w:t xml:space="preserve"> </w:t>
      </w:r>
      <w:r>
        <w:t>have:</w:t>
      </w:r>
    </w:p>
    <w:p w14:paraId="7326D670" w14:textId="77777777" w:rsidR="00EF3DFB" w:rsidRDefault="00EF3DFB">
      <w:pPr>
        <w:pStyle w:val="BodyText"/>
        <w:spacing w:before="10"/>
        <w:rPr>
          <w:sz w:val="26"/>
        </w:rPr>
      </w:pPr>
    </w:p>
    <w:p w14:paraId="7326D671" w14:textId="77777777" w:rsidR="00EF3DFB" w:rsidRDefault="00D27C17">
      <w:pPr>
        <w:pStyle w:val="ListParagraph"/>
        <w:numPr>
          <w:ilvl w:val="0"/>
          <w:numId w:val="8"/>
        </w:numPr>
        <w:tabs>
          <w:tab w:val="left" w:pos="1022"/>
          <w:tab w:val="left" w:pos="1023"/>
        </w:tabs>
        <w:spacing w:line="208" w:lineRule="auto"/>
        <w:ind w:right="112"/>
        <w:jc w:val="both"/>
      </w:pPr>
      <w:r>
        <w:t>designed such disclosure controls and procedures, or caused such disclosure controls and procedures to be designed under our supervision, to ensure that material information relating to the registrant, including its consolidated subsidiaries, is made known</w:t>
      </w:r>
      <w:r>
        <w:t xml:space="preserve"> to us by others within those entities, particularly during the period in which this report is being</w:t>
      </w:r>
      <w:r>
        <w:rPr>
          <w:spacing w:val="-3"/>
        </w:rPr>
        <w:t xml:space="preserve"> </w:t>
      </w:r>
      <w:r>
        <w:t>prepared;</w:t>
      </w:r>
    </w:p>
    <w:p w14:paraId="7326D672" w14:textId="77777777" w:rsidR="00EF3DFB" w:rsidRDefault="00D27C17">
      <w:pPr>
        <w:pStyle w:val="ListParagraph"/>
        <w:numPr>
          <w:ilvl w:val="0"/>
          <w:numId w:val="8"/>
        </w:numPr>
        <w:tabs>
          <w:tab w:val="left" w:pos="1022"/>
          <w:tab w:val="left" w:pos="1023"/>
        </w:tabs>
        <w:spacing w:before="170" w:line="153" w:lineRule="auto"/>
        <w:ind w:right="111"/>
        <w:jc w:val="both"/>
      </w:pPr>
      <w:r>
        <w:t>designed such internal control over financial reporting, or caused such internal control over financial reporting to</w:t>
      </w:r>
      <w:r>
        <w:rPr>
          <w:spacing w:val="32"/>
        </w:rPr>
        <w:t xml:space="preserve"> </w:t>
      </w:r>
      <w:r>
        <w:t>be</w:t>
      </w:r>
      <w:r>
        <w:rPr>
          <w:spacing w:val="33"/>
        </w:rPr>
        <w:t xml:space="preserve"> </w:t>
      </w:r>
      <w:r>
        <w:t>designed</w:t>
      </w:r>
      <w:r>
        <w:rPr>
          <w:spacing w:val="32"/>
        </w:rPr>
        <w:t xml:space="preserve"> </w:t>
      </w:r>
      <w:r>
        <w:t>under</w:t>
      </w:r>
      <w:r>
        <w:rPr>
          <w:spacing w:val="32"/>
        </w:rPr>
        <w:t xml:space="preserve"> </w:t>
      </w:r>
      <w:r>
        <w:t>our</w:t>
      </w:r>
      <w:r>
        <w:rPr>
          <w:spacing w:val="32"/>
        </w:rPr>
        <w:t xml:space="preserve"> </w:t>
      </w:r>
      <w:r>
        <w:t>superv</w:t>
      </w:r>
      <w:r>
        <w:t>ision,</w:t>
      </w:r>
      <w:r>
        <w:rPr>
          <w:spacing w:val="32"/>
        </w:rPr>
        <w:t xml:space="preserve"> </w:t>
      </w:r>
      <w:r>
        <w:t>to</w:t>
      </w:r>
      <w:r>
        <w:rPr>
          <w:spacing w:val="32"/>
        </w:rPr>
        <w:t xml:space="preserve"> </w:t>
      </w:r>
      <w:r>
        <w:t>provide</w:t>
      </w:r>
      <w:r>
        <w:rPr>
          <w:spacing w:val="33"/>
        </w:rPr>
        <w:t xml:space="preserve"> </w:t>
      </w:r>
      <w:r>
        <w:t>reasonable</w:t>
      </w:r>
      <w:r>
        <w:rPr>
          <w:spacing w:val="33"/>
        </w:rPr>
        <w:t xml:space="preserve"> </w:t>
      </w:r>
      <w:r>
        <w:t>assurance</w:t>
      </w:r>
      <w:r>
        <w:rPr>
          <w:spacing w:val="33"/>
        </w:rPr>
        <w:t xml:space="preserve"> </w:t>
      </w:r>
      <w:r>
        <w:t>regarding</w:t>
      </w:r>
      <w:r>
        <w:rPr>
          <w:spacing w:val="32"/>
        </w:rPr>
        <w:t xml:space="preserve"> </w:t>
      </w:r>
      <w:r>
        <w:t>the</w:t>
      </w:r>
      <w:r>
        <w:rPr>
          <w:spacing w:val="33"/>
        </w:rPr>
        <w:t xml:space="preserve"> </w:t>
      </w:r>
      <w:r>
        <w:t>reliability</w:t>
      </w:r>
      <w:r>
        <w:rPr>
          <w:spacing w:val="32"/>
        </w:rPr>
        <w:t xml:space="preserve"> </w:t>
      </w:r>
      <w:r>
        <w:t>of</w:t>
      </w:r>
      <w:r>
        <w:rPr>
          <w:spacing w:val="32"/>
        </w:rPr>
        <w:t xml:space="preserve"> </w:t>
      </w:r>
      <w:r>
        <w:t>financial</w:t>
      </w:r>
    </w:p>
    <w:p w14:paraId="7326D673" w14:textId="77777777" w:rsidR="00EF3DFB" w:rsidRDefault="00D27C17">
      <w:pPr>
        <w:spacing w:before="11" w:line="208" w:lineRule="auto"/>
        <w:ind w:left="1022" w:right="333"/>
      </w:pPr>
      <w:r>
        <w:t>reporting and the preparation of financial statements for external purposes in accordance with generally accepted accounting principles;</w:t>
      </w:r>
    </w:p>
    <w:p w14:paraId="7326D674" w14:textId="77777777" w:rsidR="00EF3DFB" w:rsidRDefault="00EF3DFB">
      <w:pPr>
        <w:pStyle w:val="BodyText"/>
        <w:spacing w:before="3"/>
        <w:rPr>
          <w:sz w:val="21"/>
        </w:rPr>
      </w:pPr>
    </w:p>
    <w:p w14:paraId="7326D675" w14:textId="77777777" w:rsidR="00EF3DFB" w:rsidRDefault="00D27C17">
      <w:pPr>
        <w:pStyle w:val="ListParagraph"/>
        <w:numPr>
          <w:ilvl w:val="0"/>
          <w:numId w:val="8"/>
        </w:numPr>
        <w:tabs>
          <w:tab w:val="left" w:pos="1022"/>
          <w:tab w:val="left" w:pos="1023"/>
        </w:tabs>
        <w:spacing w:before="1" w:line="187" w:lineRule="auto"/>
        <w:ind w:right="113"/>
        <w:jc w:val="both"/>
      </w:pPr>
      <w:r>
        <w:t xml:space="preserve">evaluated the effectiveness of the registrant's disclosure controls and procedures and presented in this report  our conclusions about the effectiveness of the disclosure controls and procedures, as of the end of the period covered by this report based on </w:t>
      </w:r>
      <w:r>
        <w:t>such evaluation;</w:t>
      </w:r>
      <w:r>
        <w:rPr>
          <w:spacing w:val="-2"/>
        </w:rPr>
        <w:t xml:space="preserve"> </w:t>
      </w:r>
      <w:r>
        <w:t>and</w:t>
      </w:r>
    </w:p>
    <w:p w14:paraId="7326D676" w14:textId="77777777" w:rsidR="00EF3DFB" w:rsidRDefault="00EF3DFB">
      <w:pPr>
        <w:pStyle w:val="BodyText"/>
        <w:spacing w:before="11"/>
        <w:rPr>
          <w:sz w:val="21"/>
        </w:rPr>
      </w:pPr>
    </w:p>
    <w:p w14:paraId="7326D677" w14:textId="77777777" w:rsidR="00EF3DFB" w:rsidRDefault="00D27C17">
      <w:pPr>
        <w:pStyle w:val="ListParagraph"/>
        <w:numPr>
          <w:ilvl w:val="0"/>
          <w:numId w:val="8"/>
        </w:numPr>
        <w:tabs>
          <w:tab w:val="left" w:pos="1022"/>
          <w:tab w:val="left" w:pos="1023"/>
        </w:tabs>
        <w:spacing w:line="187" w:lineRule="auto"/>
        <w:ind w:right="111"/>
        <w:jc w:val="both"/>
      </w:pPr>
      <w:r>
        <w:t>disclosed in this report any change in the registrant's internal control over financial reporting that occurred during the registrant's most recent fiscal quarter (the registrant's fourth fiscal quarter in the case of an annual report</w:t>
      </w:r>
      <w:r>
        <w:t>)</w:t>
      </w:r>
      <w:r>
        <w:rPr>
          <w:spacing w:val="12"/>
        </w:rPr>
        <w:t xml:space="preserve"> </w:t>
      </w:r>
      <w:r>
        <w:t>that</w:t>
      </w:r>
      <w:r>
        <w:rPr>
          <w:spacing w:val="12"/>
        </w:rPr>
        <w:t xml:space="preserve"> </w:t>
      </w:r>
      <w:r>
        <w:t>has</w:t>
      </w:r>
      <w:r>
        <w:rPr>
          <w:spacing w:val="12"/>
        </w:rPr>
        <w:t xml:space="preserve"> </w:t>
      </w:r>
      <w:r>
        <w:t>materially</w:t>
      </w:r>
      <w:r>
        <w:rPr>
          <w:spacing w:val="12"/>
        </w:rPr>
        <w:t xml:space="preserve"> </w:t>
      </w:r>
      <w:r>
        <w:t>affected,</w:t>
      </w:r>
      <w:r>
        <w:rPr>
          <w:spacing w:val="12"/>
        </w:rPr>
        <w:t xml:space="preserve"> </w:t>
      </w:r>
      <w:r>
        <w:t>or</w:t>
      </w:r>
      <w:r>
        <w:rPr>
          <w:spacing w:val="12"/>
        </w:rPr>
        <w:t xml:space="preserve"> </w:t>
      </w:r>
      <w:r>
        <w:t>is</w:t>
      </w:r>
      <w:r>
        <w:rPr>
          <w:spacing w:val="12"/>
        </w:rPr>
        <w:t xml:space="preserve"> </w:t>
      </w:r>
      <w:r>
        <w:t>reasonably</w:t>
      </w:r>
      <w:r>
        <w:rPr>
          <w:spacing w:val="12"/>
        </w:rPr>
        <w:t xml:space="preserve"> </w:t>
      </w:r>
      <w:r>
        <w:t>likely</w:t>
      </w:r>
      <w:r>
        <w:rPr>
          <w:spacing w:val="12"/>
        </w:rPr>
        <w:t xml:space="preserve"> </w:t>
      </w:r>
      <w:r>
        <w:t>to</w:t>
      </w:r>
      <w:r>
        <w:rPr>
          <w:spacing w:val="12"/>
        </w:rPr>
        <w:t xml:space="preserve"> </w:t>
      </w:r>
      <w:r>
        <w:t>materially</w:t>
      </w:r>
      <w:r>
        <w:rPr>
          <w:spacing w:val="12"/>
        </w:rPr>
        <w:t xml:space="preserve"> </w:t>
      </w:r>
      <w:r>
        <w:t>affect,</w:t>
      </w:r>
      <w:r>
        <w:rPr>
          <w:spacing w:val="12"/>
        </w:rPr>
        <w:t xml:space="preserve"> </w:t>
      </w:r>
      <w:r>
        <w:t>the</w:t>
      </w:r>
      <w:r>
        <w:rPr>
          <w:spacing w:val="12"/>
        </w:rPr>
        <w:t xml:space="preserve"> </w:t>
      </w:r>
      <w:r>
        <w:t>registrant's</w:t>
      </w:r>
      <w:r>
        <w:rPr>
          <w:spacing w:val="12"/>
        </w:rPr>
        <w:t xml:space="preserve"> </w:t>
      </w:r>
      <w:r>
        <w:t>internal</w:t>
      </w:r>
      <w:r>
        <w:rPr>
          <w:spacing w:val="12"/>
        </w:rPr>
        <w:t xml:space="preserve"> </w:t>
      </w:r>
      <w:r>
        <w:t>control</w:t>
      </w:r>
    </w:p>
    <w:p w14:paraId="7326D678" w14:textId="77777777" w:rsidR="00EF3DFB" w:rsidRDefault="00D27C17">
      <w:pPr>
        <w:spacing w:line="229" w:lineRule="exact"/>
        <w:ind w:left="1022"/>
      </w:pPr>
      <w:r>
        <w:t>over financial reporting; and</w:t>
      </w:r>
    </w:p>
    <w:p w14:paraId="7326D679" w14:textId="77777777" w:rsidR="00EF3DFB" w:rsidRDefault="00EF3DFB">
      <w:pPr>
        <w:pStyle w:val="BodyText"/>
        <w:rPr>
          <w:sz w:val="26"/>
        </w:rPr>
      </w:pPr>
    </w:p>
    <w:p w14:paraId="7326D67A" w14:textId="77777777" w:rsidR="00EF3DFB" w:rsidRDefault="00D27C17">
      <w:pPr>
        <w:pStyle w:val="ListParagraph"/>
        <w:numPr>
          <w:ilvl w:val="0"/>
          <w:numId w:val="9"/>
        </w:numPr>
        <w:tabs>
          <w:tab w:val="left" w:pos="618"/>
        </w:tabs>
        <w:spacing w:line="208" w:lineRule="auto"/>
        <w:ind w:right="111"/>
        <w:jc w:val="both"/>
      </w:pPr>
      <w:r>
        <w:t>The registrant's other certifying officer(s) and I have disclosed, based on our most recent evaluation of interna</w:t>
      </w:r>
      <w:r>
        <w:t>l control over financial reporting, to the registrant's auditors and the audit committee of the registrant's board of directors (or persons performing the equivalent</w:t>
      </w:r>
      <w:r>
        <w:rPr>
          <w:spacing w:val="-3"/>
        </w:rPr>
        <w:t xml:space="preserve"> </w:t>
      </w:r>
      <w:r>
        <w:t>functions):</w:t>
      </w:r>
    </w:p>
    <w:p w14:paraId="7326D67B" w14:textId="77777777" w:rsidR="00EF3DFB" w:rsidRDefault="00D27C17">
      <w:pPr>
        <w:pStyle w:val="ListParagraph"/>
        <w:numPr>
          <w:ilvl w:val="0"/>
          <w:numId w:val="7"/>
        </w:numPr>
        <w:tabs>
          <w:tab w:val="left" w:pos="1022"/>
          <w:tab w:val="left" w:pos="1023"/>
        </w:tabs>
        <w:spacing w:before="85" w:line="208" w:lineRule="auto"/>
        <w:ind w:right="110"/>
        <w:jc w:val="both"/>
      </w:pPr>
      <w:r>
        <w:t>all significant deficiencies and material weaknesses in the design or operatio</w:t>
      </w:r>
      <w:r>
        <w:t>n of internal control over financial reporting which are reasonably likely to adversely affect the registrant's ability to record, process, summarize and report financial information; and</w:t>
      </w:r>
    </w:p>
    <w:p w14:paraId="7326D67C" w14:textId="77777777" w:rsidR="00EF3DFB" w:rsidRDefault="00D27C17">
      <w:pPr>
        <w:pStyle w:val="ListParagraph"/>
        <w:numPr>
          <w:ilvl w:val="0"/>
          <w:numId w:val="7"/>
        </w:numPr>
        <w:tabs>
          <w:tab w:val="left" w:pos="1022"/>
          <w:tab w:val="left" w:pos="1023"/>
        </w:tabs>
        <w:spacing w:before="31" w:line="163" w:lineRule="auto"/>
        <w:ind w:right="113"/>
        <w:jc w:val="both"/>
      </w:pPr>
      <w:r>
        <w:t>any fraud, whether or not material, that involves management or other employees who have a significant role in the registrant's internal control over financial</w:t>
      </w:r>
      <w:r>
        <w:rPr>
          <w:spacing w:val="-2"/>
        </w:rPr>
        <w:t xml:space="preserve"> </w:t>
      </w:r>
      <w:r>
        <w:t>reporting.</w:t>
      </w:r>
    </w:p>
    <w:p w14:paraId="7326D67D" w14:textId="77777777" w:rsidR="00EF3DFB" w:rsidRDefault="00EF3DFB">
      <w:pPr>
        <w:pStyle w:val="BodyText"/>
        <w:rPr>
          <w:sz w:val="24"/>
        </w:rPr>
      </w:pPr>
    </w:p>
    <w:p w14:paraId="7326D67E" w14:textId="77777777" w:rsidR="00EF3DFB" w:rsidRDefault="00EF3DFB">
      <w:pPr>
        <w:pStyle w:val="BodyText"/>
        <w:spacing w:before="10"/>
        <w:rPr>
          <w:sz w:val="27"/>
        </w:rPr>
      </w:pPr>
    </w:p>
    <w:p w14:paraId="7326D67F" w14:textId="77777777" w:rsidR="00EF3DFB" w:rsidRDefault="00D27C17">
      <w:pPr>
        <w:ind w:left="100"/>
      </w:pPr>
      <w:r>
        <w:t>Date: February 18, 2021</w:t>
      </w:r>
    </w:p>
    <w:p w14:paraId="7326D680" w14:textId="77777777" w:rsidR="00EF3DFB" w:rsidRDefault="00EF3DFB">
      <w:pPr>
        <w:pStyle w:val="BodyText"/>
        <w:rPr>
          <w:sz w:val="24"/>
        </w:rPr>
      </w:pPr>
    </w:p>
    <w:p w14:paraId="7326D681" w14:textId="77777777" w:rsidR="00EF3DFB" w:rsidRDefault="00EF3DFB">
      <w:pPr>
        <w:pStyle w:val="BodyText"/>
        <w:rPr>
          <w:sz w:val="29"/>
        </w:rPr>
      </w:pPr>
    </w:p>
    <w:p w14:paraId="7326D682" w14:textId="12FC6495" w:rsidR="00EF3DFB" w:rsidRDefault="00D27C17">
      <w:pPr>
        <w:spacing w:line="285" w:lineRule="auto"/>
        <w:ind w:left="152" w:right="8315"/>
      </w:pPr>
      <w:r>
        <w:rPr>
          <w:noProof/>
        </w:rPr>
        <mc:AlternateContent>
          <mc:Choice Requires="wpg">
            <w:drawing>
              <wp:anchor distT="0" distB="0" distL="114300" distR="114300" simplePos="0" relativeHeight="502909496" behindDoc="1" locked="0" layoutInCell="1" allowOverlap="1" wp14:anchorId="7326D7E2" wp14:editId="4E61A4CE">
                <wp:simplePos x="0" y="0"/>
                <wp:positionH relativeFrom="page">
                  <wp:posOffset>457200</wp:posOffset>
                </wp:positionH>
                <wp:positionV relativeFrom="paragraph">
                  <wp:posOffset>173355</wp:posOffset>
                </wp:positionV>
                <wp:extent cx="3019425" cy="12700"/>
                <wp:effectExtent l="9525" t="2540" r="9525" b="381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2700"/>
                          <a:chOff x="720" y="273"/>
                          <a:chExt cx="4755" cy="20"/>
                        </a:xfrm>
                      </wpg:grpSpPr>
                      <wps:wsp>
                        <wps:cNvPr id="29" name="Line 13"/>
                        <wps:cNvCnPr>
                          <a:cxnSpLocks noChangeShapeType="1"/>
                        </wps:cNvCnPr>
                        <wps:spPr bwMode="auto">
                          <a:xfrm>
                            <a:off x="720" y="283"/>
                            <a:ext cx="47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720" y="283"/>
                            <a:ext cx="47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67016" id="Group 11" o:spid="_x0000_s1026" style="position:absolute;margin-left:36pt;margin-top:13.65pt;width:237.75pt;height:1pt;z-index:-406984;mso-position-horizontal-relative:page" coordorigin="720,273" coordsize="4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">
                <v:line id="Line 13" o:spid="_x0000_s1027" style="position:absolute;visibility:visible;mso-wrap-style:square" from="720,283" to="547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12" o:spid="_x0000_s1028" style="position:absolute;visibility:visible;mso-wrap-style:square" from="720,283" to="547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w10:wrap anchorx="page"/>
              </v:group>
            </w:pict>
          </mc:Fallback>
        </mc:AlternateContent>
      </w:r>
      <w:r>
        <w:t>/s/ Ravichandra K. Saligram Ravichandra K. Saligram</w:t>
      </w:r>
    </w:p>
    <w:p w14:paraId="7326D683" w14:textId="77777777" w:rsidR="00EF3DFB" w:rsidRDefault="00D27C17">
      <w:pPr>
        <w:spacing w:line="208" w:lineRule="auto"/>
        <w:ind w:left="152" w:right="7594"/>
      </w:pPr>
      <w:r>
        <w:t>President &amp; Chief Executive Officer (Principal Executive Officer)</w:t>
      </w:r>
    </w:p>
    <w:p w14:paraId="7326D684" w14:textId="77777777" w:rsidR="00EF3DFB" w:rsidRDefault="00EF3DFB">
      <w:pPr>
        <w:spacing w:line="208" w:lineRule="auto"/>
        <w:sectPr w:rsidR="00EF3DFB">
          <w:type w:val="continuous"/>
          <w:pgSz w:w="12240" w:h="15840"/>
          <w:pgMar w:top="760" w:right="640" w:bottom="280" w:left="620" w:header="720" w:footer="720" w:gutter="0"/>
          <w:cols w:space="720"/>
        </w:sectPr>
      </w:pPr>
    </w:p>
    <w:p w14:paraId="7326D685" w14:textId="77777777" w:rsidR="00EF3DFB" w:rsidRDefault="00D27C17">
      <w:pPr>
        <w:spacing w:before="67"/>
        <w:ind w:right="797"/>
        <w:jc w:val="right"/>
      </w:pPr>
      <w:r>
        <w:lastRenderedPageBreak/>
        <w:t>EXHIBIT 31.2</w:t>
      </w:r>
    </w:p>
    <w:p w14:paraId="7326D686" w14:textId="77777777" w:rsidR="00EF3DFB" w:rsidRDefault="00EF3DFB">
      <w:pPr>
        <w:pStyle w:val="BodyText"/>
      </w:pPr>
    </w:p>
    <w:p w14:paraId="7326D687" w14:textId="77777777" w:rsidR="00EF3DFB" w:rsidRDefault="00EF3DFB">
      <w:pPr>
        <w:pStyle w:val="BodyText"/>
        <w:spacing w:before="1"/>
        <w:rPr>
          <w:sz w:val="29"/>
        </w:rPr>
      </w:pPr>
    </w:p>
    <w:p w14:paraId="7326D688" w14:textId="77777777" w:rsidR="00EF3DFB" w:rsidRDefault="00D27C17">
      <w:pPr>
        <w:spacing w:before="91"/>
        <w:ind w:left="1605" w:right="2302"/>
        <w:jc w:val="center"/>
        <w:rPr>
          <w:b/>
        </w:rPr>
      </w:pPr>
      <w:r>
        <w:rPr>
          <w:b/>
        </w:rPr>
        <w:t>CERTIFICATION</w:t>
      </w:r>
    </w:p>
    <w:p w14:paraId="7326D689" w14:textId="77777777" w:rsidR="00EF3DFB" w:rsidRDefault="00D27C17">
      <w:pPr>
        <w:spacing w:before="196"/>
        <w:ind w:left="100"/>
      </w:pPr>
      <w:r>
        <w:t>I, Christopher H. Peterson, certify that:</w:t>
      </w:r>
    </w:p>
    <w:p w14:paraId="7326D68A" w14:textId="77777777" w:rsidR="00EF3DFB" w:rsidRDefault="00EF3DFB">
      <w:pPr>
        <w:pStyle w:val="BodyText"/>
        <w:spacing w:before="5"/>
        <w:rPr>
          <w:sz w:val="15"/>
        </w:rPr>
      </w:pPr>
    </w:p>
    <w:p w14:paraId="7326D68B" w14:textId="77777777" w:rsidR="00EF3DFB" w:rsidRDefault="00D27C17">
      <w:pPr>
        <w:pStyle w:val="ListParagraph"/>
        <w:numPr>
          <w:ilvl w:val="0"/>
          <w:numId w:val="6"/>
        </w:numPr>
        <w:tabs>
          <w:tab w:val="left" w:pos="617"/>
          <w:tab w:val="left" w:pos="618"/>
        </w:tabs>
        <w:spacing w:before="91"/>
      </w:pPr>
      <w:r>
        <w:t>I have reviewed this annual report on Form 10-K for Ne</w:t>
      </w:r>
      <w:r>
        <w:t>well Brands</w:t>
      </w:r>
      <w:r>
        <w:rPr>
          <w:spacing w:val="-4"/>
        </w:rPr>
        <w:t xml:space="preserve"> </w:t>
      </w:r>
      <w:r>
        <w:t>Inc.;</w:t>
      </w:r>
    </w:p>
    <w:p w14:paraId="7326D68C" w14:textId="77777777" w:rsidR="00EF3DFB" w:rsidRDefault="00D27C17">
      <w:pPr>
        <w:pStyle w:val="ListParagraph"/>
        <w:numPr>
          <w:ilvl w:val="0"/>
          <w:numId w:val="6"/>
        </w:numPr>
        <w:tabs>
          <w:tab w:val="left" w:pos="618"/>
        </w:tabs>
        <w:spacing w:before="79" w:line="208" w:lineRule="auto"/>
        <w:ind w:right="110"/>
        <w:jc w:val="both"/>
      </w:pPr>
      <w:r>
        <w:t>Based on my knowledge, this report does not contain any untrue statement of a material fact or omit to state a material fact necessary to make the statements made, in light of the circumstances under which such statements were made, not m</w:t>
      </w:r>
      <w:r>
        <w:t>isleading with respect to the period covered by this</w:t>
      </w:r>
      <w:r>
        <w:rPr>
          <w:spacing w:val="-2"/>
        </w:rPr>
        <w:t xml:space="preserve"> </w:t>
      </w:r>
      <w:r>
        <w:t>report;</w:t>
      </w:r>
    </w:p>
    <w:p w14:paraId="7326D68D" w14:textId="77777777" w:rsidR="00EF3DFB" w:rsidRDefault="00D27C17">
      <w:pPr>
        <w:pStyle w:val="ListParagraph"/>
        <w:numPr>
          <w:ilvl w:val="0"/>
          <w:numId w:val="6"/>
        </w:numPr>
        <w:tabs>
          <w:tab w:val="left" w:pos="618"/>
        </w:tabs>
        <w:spacing w:before="84" w:line="208" w:lineRule="auto"/>
        <w:ind w:right="109"/>
        <w:jc w:val="both"/>
      </w:pPr>
      <w:r>
        <w:t>Based on my knowledge, the financial statements, and other financial information included in this report, fairly present in all material respects the financial condition, results of operations an</w:t>
      </w:r>
      <w:r>
        <w:t>d cash flows of the registrant as of, and for, the periods presented in this</w:t>
      </w:r>
      <w:r>
        <w:rPr>
          <w:spacing w:val="-3"/>
        </w:rPr>
        <w:t xml:space="preserve"> </w:t>
      </w:r>
      <w:r>
        <w:t>report;</w:t>
      </w:r>
    </w:p>
    <w:p w14:paraId="7326D68E" w14:textId="77777777" w:rsidR="00EF3DFB" w:rsidRDefault="00D27C17">
      <w:pPr>
        <w:spacing w:before="58" w:line="212" w:lineRule="exact"/>
        <w:ind w:left="152"/>
      </w:pPr>
      <w:r>
        <w:t>4.</w:t>
      </w:r>
    </w:p>
    <w:p w14:paraId="7326D68F" w14:textId="77777777" w:rsidR="00EF3DFB" w:rsidRDefault="00D27C17">
      <w:pPr>
        <w:spacing w:line="195" w:lineRule="exact"/>
        <w:ind w:left="617"/>
      </w:pPr>
      <w:r>
        <w:t>The registrant's other certifying officer(s) and I are responsible for establishing and maintaining disclosure controls</w:t>
      </w:r>
    </w:p>
    <w:p w14:paraId="7326D690" w14:textId="77777777" w:rsidR="00EF3DFB" w:rsidRDefault="00D27C17">
      <w:pPr>
        <w:spacing w:before="11" w:line="208" w:lineRule="auto"/>
        <w:ind w:left="617"/>
      </w:pPr>
      <w:r>
        <w:t>and procedures (as defined in Exchange Act Rules 13a-15(e) and 15d-15(e)) and internal control over financial reporting (as defined in E</w:t>
      </w:r>
      <w:r>
        <w:t>xchange Act Rules 13a-15(f) and 15d-15(f)) for the registrant and have:</w:t>
      </w:r>
    </w:p>
    <w:p w14:paraId="7326D691" w14:textId="77777777" w:rsidR="00EF3DFB" w:rsidRDefault="00D27C17">
      <w:pPr>
        <w:pStyle w:val="ListParagraph"/>
        <w:numPr>
          <w:ilvl w:val="0"/>
          <w:numId w:val="5"/>
        </w:numPr>
        <w:tabs>
          <w:tab w:val="left" w:pos="1022"/>
          <w:tab w:val="left" w:pos="1023"/>
        </w:tabs>
        <w:spacing w:before="84" w:line="208" w:lineRule="auto"/>
        <w:ind w:right="112"/>
        <w:jc w:val="both"/>
      </w:pPr>
      <w:r>
        <w:t>designed such disclosure controls and procedures, or caused such disclosure controls and procedures to be designed under our supervision, to ensure that material information relating t</w:t>
      </w:r>
      <w:r>
        <w:t>o the registrant, including its consolidated subsidiaries, is made known to us by others within those entities, particularly during the period in which this report is being</w:t>
      </w:r>
      <w:r>
        <w:rPr>
          <w:spacing w:val="-3"/>
        </w:rPr>
        <w:t xml:space="preserve"> </w:t>
      </w:r>
      <w:r>
        <w:t>prepared;</w:t>
      </w:r>
    </w:p>
    <w:p w14:paraId="7326D692" w14:textId="77777777" w:rsidR="00EF3DFB" w:rsidRDefault="00D27C17">
      <w:pPr>
        <w:pStyle w:val="ListParagraph"/>
        <w:numPr>
          <w:ilvl w:val="0"/>
          <w:numId w:val="5"/>
        </w:numPr>
        <w:tabs>
          <w:tab w:val="left" w:pos="1022"/>
          <w:tab w:val="left" w:pos="1023"/>
        </w:tabs>
        <w:spacing w:before="80" w:line="208" w:lineRule="auto"/>
        <w:ind w:right="111"/>
        <w:jc w:val="both"/>
      </w:pPr>
      <w:r>
        <w:t>designed such internal control over financial reporting, or caused such i</w:t>
      </w:r>
      <w:r>
        <w:t>nternal control over financial reporting to be designed under our supervision, to provide reasonable assurance regarding the reliability of financial reporting and the preparation of financial statements for external purposes in accordance with generally a</w:t>
      </w:r>
      <w:r>
        <w:t>ccepted accounting</w:t>
      </w:r>
      <w:r>
        <w:rPr>
          <w:spacing w:val="-1"/>
        </w:rPr>
        <w:t xml:space="preserve"> </w:t>
      </w:r>
      <w:r>
        <w:t>principles;</w:t>
      </w:r>
    </w:p>
    <w:p w14:paraId="7326D693" w14:textId="77777777" w:rsidR="00EF3DFB" w:rsidRDefault="00D27C17">
      <w:pPr>
        <w:pStyle w:val="ListParagraph"/>
        <w:numPr>
          <w:ilvl w:val="0"/>
          <w:numId w:val="5"/>
        </w:numPr>
        <w:tabs>
          <w:tab w:val="left" w:pos="1022"/>
          <w:tab w:val="left" w:pos="1023"/>
        </w:tabs>
        <w:spacing w:before="85" w:line="208" w:lineRule="auto"/>
        <w:ind w:right="113"/>
        <w:jc w:val="both"/>
      </w:pPr>
      <w:r>
        <w:t>evaluated the effectiveness of the registrant's disclosure controls and procedures and presented in this report  our conclusions about the effectiveness of the disclosure controls and procedures, as of the end of the period c</w:t>
      </w:r>
      <w:r>
        <w:t>overed by this report based on such evaluation;</w:t>
      </w:r>
      <w:r>
        <w:rPr>
          <w:spacing w:val="-2"/>
        </w:rPr>
        <w:t xml:space="preserve"> </w:t>
      </w:r>
      <w:r>
        <w:t>and</w:t>
      </w:r>
    </w:p>
    <w:p w14:paraId="7326D694" w14:textId="77777777" w:rsidR="00EF3DFB" w:rsidRDefault="00EF3DFB">
      <w:pPr>
        <w:spacing w:line="208" w:lineRule="auto"/>
        <w:jc w:val="both"/>
        <w:sectPr w:rsidR="00EF3DFB">
          <w:footerReference w:type="default" r:id="rId327"/>
          <w:pgSz w:w="12240" w:h="15840"/>
          <w:pgMar w:top="600" w:right="640" w:bottom="280" w:left="620" w:header="0" w:footer="0" w:gutter="0"/>
          <w:cols w:space="720"/>
        </w:sectPr>
      </w:pPr>
    </w:p>
    <w:p w14:paraId="7326D695" w14:textId="77777777" w:rsidR="00EF3DFB" w:rsidRDefault="00EF3DFB">
      <w:pPr>
        <w:pStyle w:val="ListParagraph"/>
        <w:numPr>
          <w:ilvl w:val="0"/>
          <w:numId w:val="5"/>
        </w:numPr>
        <w:tabs>
          <w:tab w:val="left" w:pos="411"/>
        </w:tabs>
        <w:spacing w:before="57"/>
        <w:ind w:left="410" w:hanging="258"/>
      </w:pPr>
    </w:p>
    <w:p w14:paraId="7326D696" w14:textId="77777777" w:rsidR="00EF3DFB" w:rsidRDefault="00D27C17">
      <w:pPr>
        <w:pStyle w:val="BodyText"/>
        <w:spacing w:before="10"/>
        <w:rPr>
          <w:sz w:val="23"/>
        </w:rPr>
      </w:pPr>
      <w:r>
        <w:br w:type="column"/>
      </w:r>
    </w:p>
    <w:p w14:paraId="7326D697" w14:textId="77777777" w:rsidR="00EF3DFB" w:rsidRDefault="00D27C17">
      <w:pPr>
        <w:spacing w:line="208" w:lineRule="auto"/>
        <w:ind w:left="152" w:right="111"/>
        <w:jc w:val="both"/>
      </w:pPr>
      <w:r>
        <w:t>disclosed in this report any change in the registrant's internal control over financial reporting that occurred during the registrant's most recent fiscal quarter (the registrant's four</w:t>
      </w:r>
      <w:r>
        <w:t>th fiscal quarter in the case of an annual report) that has materially affected, or is reasonably likely to materially affect, the registrant's internal control over financial reporting; and</w:t>
      </w:r>
    </w:p>
    <w:p w14:paraId="7326D698" w14:textId="77777777" w:rsidR="00EF3DFB" w:rsidRDefault="00EF3DFB">
      <w:pPr>
        <w:spacing w:line="208" w:lineRule="auto"/>
        <w:jc w:val="both"/>
        <w:sectPr w:rsidR="00EF3DFB">
          <w:type w:val="continuous"/>
          <w:pgSz w:w="12240" w:h="15840"/>
          <w:pgMar w:top="760" w:right="640" w:bottom="280" w:left="620" w:header="720" w:footer="720" w:gutter="0"/>
          <w:cols w:num="2" w:space="720" w:equalWidth="0">
            <w:col w:w="450" w:space="420"/>
            <w:col w:w="10110"/>
          </w:cols>
        </w:sectPr>
      </w:pPr>
    </w:p>
    <w:p w14:paraId="7326D699" w14:textId="77777777" w:rsidR="00EF3DFB" w:rsidRDefault="00D27C17">
      <w:pPr>
        <w:spacing w:before="84" w:line="208" w:lineRule="auto"/>
        <w:ind w:left="617" w:right="111" w:hanging="465"/>
        <w:jc w:val="both"/>
      </w:pPr>
      <w:r>
        <w:rPr>
          <w:position w:val="5"/>
        </w:rPr>
        <w:t xml:space="preserve">5.  </w:t>
      </w:r>
      <w:r>
        <w:t>The registrant's other certifying officer(s) and I have disclosed, based on our most recent evaluation of internal  control over financial reporting, to the registrant's auditors and the audit committee of the registrant's board of directors (or persons pe</w:t>
      </w:r>
      <w:r>
        <w:t>rforming the equivalent</w:t>
      </w:r>
      <w:r>
        <w:rPr>
          <w:spacing w:val="-3"/>
        </w:rPr>
        <w:t xml:space="preserve"> </w:t>
      </w:r>
      <w:r>
        <w:t>functions):</w:t>
      </w:r>
    </w:p>
    <w:p w14:paraId="7326D69A" w14:textId="77777777" w:rsidR="00EF3DFB" w:rsidRDefault="00D27C17">
      <w:pPr>
        <w:pStyle w:val="ListParagraph"/>
        <w:numPr>
          <w:ilvl w:val="0"/>
          <w:numId w:val="4"/>
        </w:numPr>
        <w:tabs>
          <w:tab w:val="left" w:pos="1022"/>
          <w:tab w:val="left" w:pos="1023"/>
        </w:tabs>
        <w:spacing w:before="85" w:line="208" w:lineRule="auto"/>
        <w:ind w:right="110"/>
        <w:jc w:val="both"/>
      </w:pPr>
      <w:r>
        <w:t>all significant deficiencies and material weaknesses in the design or operation of internal control over financial reporting which are reasonably likely to adversely affect the registrant's ability to record, process, summarize and report financial informa</w:t>
      </w:r>
      <w:r>
        <w:t>tion; and</w:t>
      </w:r>
    </w:p>
    <w:p w14:paraId="7326D69B" w14:textId="77777777" w:rsidR="00EF3DFB" w:rsidRDefault="00D27C17">
      <w:pPr>
        <w:pStyle w:val="ListParagraph"/>
        <w:numPr>
          <w:ilvl w:val="0"/>
          <w:numId w:val="4"/>
        </w:numPr>
        <w:tabs>
          <w:tab w:val="left" w:pos="1022"/>
          <w:tab w:val="left" w:pos="1023"/>
        </w:tabs>
        <w:spacing w:before="80" w:line="208" w:lineRule="auto"/>
        <w:ind w:right="113"/>
        <w:jc w:val="both"/>
      </w:pPr>
      <w:r>
        <w:t>any fraud, whether or not material, that involves management or other employees who have a significant role in the registrant's internal control over financial</w:t>
      </w:r>
      <w:r>
        <w:rPr>
          <w:spacing w:val="-2"/>
        </w:rPr>
        <w:t xml:space="preserve"> </w:t>
      </w:r>
      <w:r>
        <w:t>reporting.</w:t>
      </w:r>
    </w:p>
    <w:p w14:paraId="7326D69C" w14:textId="77777777" w:rsidR="00EF3DFB" w:rsidRDefault="00EF3DFB">
      <w:pPr>
        <w:pStyle w:val="BodyText"/>
        <w:rPr>
          <w:sz w:val="24"/>
        </w:rPr>
      </w:pPr>
    </w:p>
    <w:p w14:paraId="7326D69D" w14:textId="77777777" w:rsidR="00EF3DFB" w:rsidRDefault="00EF3DFB">
      <w:pPr>
        <w:pStyle w:val="BodyText"/>
        <w:spacing w:before="8"/>
        <w:rPr>
          <w:sz w:val="30"/>
        </w:rPr>
      </w:pPr>
    </w:p>
    <w:p w14:paraId="7326D69E" w14:textId="77777777" w:rsidR="00EF3DFB" w:rsidRDefault="00D27C17">
      <w:pPr>
        <w:ind w:left="100"/>
      </w:pPr>
      <w:r>
        <w:t>Date: February 18, 2021</w:t>
      </w:r>
    </w:p>
    <w:p w14:paraId="7326D69F" w14:textId="77777777" w:rsidR="00EF3DFB" w:rsidRDefault="00EF3DFB">
      <w:pPr>
        <w:pStyle w:val="BodyText"/>
        <w:rPr>
          <w:sz w:val="24"/>
        </w:rPr>
      </w:pPr>
    </w:p>
    <w:p w14:paraId="7326D6A0" w14:textId="77777777" w:rsidR="00EF3DFB" w:rsidRDefault="00EF3DFB">
      <w:pPr>
        <w:pStyle w:val="BodyText"/>
        <w:rPr>
          <w:sz w:val="24"/>
        </w:rPr>
      </w:pPr>
    </w:p>
    <w:p w14:paraId="7326D6A1" w14:textId="431C4A17" w:rsidR="00EF3DFB" w:rsidRDefault="00D27C17">
      <w:pPr>
        <w:spacing w:before="177" w:line="288" w:lineRule="auto"/>
        <w:ind w:left="152" w:right="8424"/>
      </w:pPr>
      <w:r>
        <w:rPr>
          <w:noProof/>
        </w:rPr>
        <mc:AlternateContent>
          <mc:Choice Requires="wpg">
            <w:drawing>
              <wp:anchor distT="0" distB="0" distL="114300" distR="114300" simplePos="0" relativeHeight="502909520" behindDoc="1" locked="0" layoutInCell="1" allowOverlap="1" wp14:anchorId="7326D7E3" wp14:editId="0E969D46">
                <wp:simplePos x="0" y="0"/>
                <wp:positionH relativeFrom="page">
                  <wp:posOffset>457200</wp:posOffset>
                </wp:positionH>
                <wp:positionV relativeFrom="paragraph">
                  <wp:posOffset>285750</wp:posOffset>
                </wp:positionV>
                <wp:extent cx="3724275" cy="12700"/>
                <wp:effectExtent l="9525" t="3810" r="9525" b="2540"/>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12700"/>
                          <a:chOff x="720" y="450"/>
                          <a:chExt cx="5865" cy="20"/>
                        </a:xfrm>
                      </wpg:grpSpPr>
                      <wps:wsp>
                        <wps:cNvPr id="26" name="Line 10"/>
                        <wps:cNvCnPr>
                          <a:cxnSpLocks noChangeShapeType="1"/>
                        </wps:cNvCnPr>
                        <wps:spPr bwMode="auto">
                          <a:xfrm>
                            <a:off x="720" y="460"/>
                            <a:ext cx="58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720" y="460"/>
                            <a:ext cx="58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2FA686" id="Group 8" o:spid="_x0000_s1026" style="position:absolute;margin-left:36pt;margin-top:22.5pt;width:293.25pt;height:1pt;z-index:-406960;mso-position-horizontal-relative:page" coordorigin="720,450" coordsize="5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">
                <v:line id="Line 10" o:spid="_x0000_s1027" style="position:absolute;visibility:visible;mso-wrap-style:square" from="720,460" to="658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9" o:spid="_x0000_s1028" style="position:absolute;visibility:visible;mso-wrap-style:square" from="720,460" to="658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w10:wrap anchorx="page"/>
              </v:group>
            </w:pict>
          </mc:Fallback>
        </mc:AlternateContent>
      </w:r>
      <w:r>
        <w:t>/s/ Christopher H. Peterson Christopher H. P</w:t>
      </w:r>
      <w:r>
        <w:t>eterson</w:t>
      </w:r>
    </w:p>
    <w:p w14:paraId="7326D6A2" w14:textId="77777777" w:rsidR="00EF3DFB" w:rsidRDefault="00D27C17">
      <w:pPr>
        <w:spacing w:line="285" w:lineRule="auto"/>
        <w:ind w:left="152" w:right="5310"/>
      </w:pPr>
      <w:r>
        <w:t>Chief Financial Officer and President, Business Operations (Principal Financial Officer and Principal Accounting Officer)</w:t>
      </w:r>
    </w:p>
    <w:p w14:paraId="7326D6A3" w14:textId="77777777" w:rsidR="00EF3DFB" w:rsidRDefault="00EF3DFB">
      <w:pPr>
        <w:spacing w:line="285" w:lineRule="auto"/>
        <w:sectPr w:rsidR="00EF3DFB">
          <w:type w:val="continuous"/>
          <w:pgSz w:w="12240" w:h="15840"/>
          <w:pgMar w:top="760" w:right="640" w:bottom="280" w:left="620" w:header="720" w:footer="720" w:gutter="0"/>
          <w:cols w:space="720"/>
        </w:sectPr>
      </w:pPr>
    </w:p>
    <w:p w14:paraId="7326D6A4" w14:textId="77777777" w:rsidR="00EF3DFB" w:rsidRDefault="00D27C17">
      <w:pPr>
        <w:spacing w:before="67"/>
        <w:ind w:right="797"/>
        <w:jc w:val="right"/>
      </w:pPr>
      <w:r>
        <w:lastRenderedPageBreak/>
        <w:t>EXHIBIT 32.1</w:t>
      </w:r>
    </w:p>
    <w:p w14:paraId="7326D6A5" w14:textId="77777777" w:rsidR="00EF3DFB" w:rsidRDefault="00EF3DFB">
      <w:pPr>
        <w:pStyle w:val="BodyText"/>
        <w:rPr>
          <w:sz w:val="24"/>
        </w:rPr>
      </w:pPr>
    </w:p>
    <w:p w14:paraId="7326D6A6" w14:textId="77777777" w:rsidR="00EF3DFB" w:rsidRDefault="00EF3DFB">
      <w:pPr>
        <w:pStyle w:val="BodyText"/>
        <w:spacing w:before="11"/>
        <w:rPr>
          <w:sz w:val="32"/>
        </w:rPr>
      </w:pPr>
    </w:p>
    <w:p w14:paraId="7326D6A7" w14:textId="77777777" w:rsidR="00EF3DFB" w:rsidRDefault="00D27C17">
      <w:pPr>
        <w:spacing w:line="422" w:lineRule="auto"/>
        <w:ind w:left="3789" w:right="3766"/>
        <w:jc w:val="center"/>
        <w:rPr>
          <w:b/>
        </w:rPr>
      </w:pPr>
      <w:r>
        <w:rPr>
          <w:b/>
        </w:rPr>
        <w:t>CERTIFICATION PURSUANT TO 18 U.S.C. SECTION 1350,</w:t>
      </w:r>
    </w:p>
    <w:p w14:paraId="7326D6A8" w14:textId="77777777" w:rsidR="00EF3DFB" w:rsidRDefault="00D27C17">
      <w:pPr>
        <w:spacing w:before="2"/>
        <w:ind w:left="137" w:right="116"/>
        <w:jc w:val="center"/>
        <w:rPr>
          <w:b/>
        </w:rPr>
      </w:pPr>
      <w:r>
        <w:rPr>
          <w:b/>
        </w:rPr>
        <w:t>AS ADOPTED PURSUANT TO</w:t>
      </w:r>
    </w:p>
    <w:p w14:paraId="7326D6A9" w14:textId="77777777" w:rsidR="00EF3DFB" w:rsidRDefault="00D27C17">
      <w:pPr>
        <w:spacing w:before="193"/>
        <w:ind w:left="2644"/>
        <w:rPr>
          <w:b/>
        </w:rPr>
      </w:pPr>
      <w:r>
        <w:rPr>
          <w:b/>
        </w:rPr>
        <w:t>SECTION 906 OF THE SARBANES-OXLEY ACT OF 2002</w:t>
      </w:r>
    </w:p>
    <w:p w14:paraId="7326D6AA" w14:textId="77777777" w:rsidR="00EF3DFB" w:rsidRDefault="00EF3DFB">
      <w:pPr>
        <w:pStyle w:val="BodyText"/>
        <w:spacing w:before="9"/>
        <w:rPr>
          <w:b/>
          <w:sz w:val="18"/>
        </w:rPr>
      </w:pPr>
    </w:p>
    <w:p w14:paraId="7326D6AB" w14:textId="77777777" w:rsidR="00EF3DFB" w:rsidRDefault="00D27C17">
      <w:pPr>
        <w:spacing w:line="249" w:lineRule="auto"/>
        <w:ind w:left="820" w:right="794"/>
        <w:jc w:val="both"/>
      </w:pPr>
      <w:r>
        <w:t>In connection with the annual report of Newell Brands Inc. (the “Company”) on Form 10-K for the period ended December 31, 2020 as filed with the Securities and Exchange Commission on the date hereof (the “Repo</w:t>
      </w:r>
      <w:r>
        <w:t>rt”), I, Ravichandra K. Saligram, Chief Executive Officer of the Company, certify, pursuant to 18</w:t>
      </w:r>
    </w:p>
    <w:p w14:paraId="7326D6AC" w14:textId="77777777" w:rsidR="00EF3DFB" w:rsidRDefault="00D27C17">
      <w:pPr>
        <w:pStyle w:val="ListParagraph"/>
        <w:numPr>
          <w:ilvl w:val="2"/>
          <w:numId w:val="3"/>
        </w:numPr>
        <w:tabs>
          <w:tab w:val="left" w:pos="1468"/>
        </w:tabs>
        <w:spacing w:before="3"/>
        <w:ind w:hanging="647"/>
      </w:pPr>
      <w:r>
        <w:t>§ 1350, as adopted pursuant to § 906 of the Sarbanes-Oxley Act of 2002,</w:t>
      </w:r>
      <w:r>
        <w:rPr>
          <w:spacing w:val="-3"/>
        </w:rPr>
        <w:t xml:space="preserve"> </w:t>
      </w:r>
      <w:r>
        <w:t>that:</w:t>
      </w:r>
    </w:p>
    <w:p w14:paraId="7326D6AD" w14:textId="77777777" w:rsidR="00EF3DFB" w:rsidRDefault="00D27C17">
      <w:pPr>
        <w:pStyle w:val="ListParagraph"/>
        <w:numPr>
          <w:ilvl w:val="3"/>
          <w:numId w:val="3"/>
        </w:numPr>
        <w:tabs>
          <w:tab w:val="left" w:pos="1666"/>
        </w:tabs>
        <w:spacing w:before="191" w:line="271" w:lineRule="auto"/>
        <w:ind w:right="794" w:firstLine="495"/>
      </w:pPr>
      <w:r>
        <w:t>The Report fully complies with the requirements of section 13(a) or 15(d) of the</w:t>
      </w:r>
      <w:r>
        <w:t xml:space="preserve"> Securities Exchange Act of 1934;</w:t>
      </w:r>
      <w:r>
        <w:rPr>
          <w:spacing w:val="-1"/>
        </w:rPr>
        <w:t xml:space="preserve"> </w:t>
      </w:r>
      <w:r>
        <w:t>and</w:t>
      </w:r>
    </w:p>
    <w:p w14:paraId="7326D6AE" w14:textId="77777777" w:rsidR="00EF3DFB" w:rsidRDefault="00D27C17">
      <w:pPr>
        <w:pStyle w:val="ListParagraph"/>
        <w:numPr>
          <w:ilvl w:val="3"/>
          <w:numId w:val="3"/>
        </w:numPr>
        <w:tabs>
          <w:tab w:val="left" w:pos="1656"/>
        </w:tabs>
        <w:spacing w:before="180" w:line="271" w:lineRule="auto"/>
        <w:ind w:right="794" w:firstLine="495"/>
      </w:pPr>
      <w:r>
        <w:t>The information contained in the Report fairly presents, in all material respects, the financial condition and results of operations of the</w:t>
      </w:r>
      <w:r>
        <w:rPr>
          <w:spacing w:val="-3"/>
        </w:rPr>
        <w:t xml:space="preserve"> </w:t>
      </w:r>
      <w:r>
        <w:t>Company.</w:t>
      </w:r>
    </w:p>
    <w:p w14:paraId="7326D6AF" w14:textId="77777777" w:rsidR="00EF3DFB" w:rsidRDefault="00EF3DFB">
      <w:pPr>
        <w:pStyle w:val="BodyText"/>
        <w:rPr>
          <w:sz w:val="24"/>
        </w:rPr>
      </w:pPr>
    </w:p>
    <w:p w14:paraId="7326D6B0" w14:textId="77777777" w:rsidR="00EF3DFB" w:rsidRDefault="00EF3DFB">
      <w:pPr>
        <w:pStyle w:val="BodyText"/>
        <w:rPr>
          <w:sz w:val="24"/>
        </w:rPr>
      </w:pPr>
    </w:p>
    <w:p w14:paraId="7326D6B1" w14:textId="78E3E270" w:rsidR="00EF3DFB" w:rsidRDefault="00D27C17">
      <w:pPr>
        <w:spacing w:before="145" w:line="285" w:lineRule="auto"/>
        <w:ind w:left="872" w:right="7595"/>
      </w:pPr>
      <w:r>
        <w:rPr>
          <w:noProof/>
        </w:rPr>
        <mc:AlternateContent>
          <mc:Choice Requires="wpg">
            <w:drawing>
              <wp:anchor distT="0" distB="0" distL="114300" distR="114300" simplePos="0" relativeHeight="502909544" behindDoc="1" locked="0" layoutInCell="1" allowOverlap="1" wp14:anchorId="7326D7E4" wp14:editId="38F70E14">
                <wp:simplePos x="0" y="0"/>
                <wp:positionH relativeFrom="page">
                  <wp:posOffset>914400</wp:posOffset>
                </wp:positionH>
                <wp:positionV relativeFrom="paragraph">
                  <wp:posOffset>265430</wp:posOffset>
                </wp:positionV>
                <wp:extent cx="2924175" cy="12700"/>
                <wp:effectExtent l="9525" t="5080" r="9525" b="1270"/>
                <wp:wrapNone/>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12700"/>
                          <a:chOff x="1440" y="418"/>
                          <a:chExt cx="4605" cy="20"/>
                        </a:xfrm>
                      </wpg:grpSpPr>
                      <wps:wsp>
                        <wps:cNvPr id="23" name="Line 7"/>
                        <wps:cNvCnPr>
                          <a:cxnSpLocks noChangeShapeType="1"/>
                        </wps:cNvCnPr>
                        <wps:spPr bwMode="auto">
                          <a:xfrm>
                            <a:off x="1440" y="428"/>
                            <a:ext cx="4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1440" y="428"/>
                            <a:ext cx="46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3AEEB" id="Group 5" o:spid="_x0000_s1026" style="position:absolute;margin-left:1in;margin-top:20.9pt;width:230.25pt;height:1pt;z-index:-406936;mso-position-horizontal-relative:page" coordorigin="1440,418" coordsize="46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">
                <v:line id="Line 7" o:spid="_x0000_s1027" style="position:absolute;visibility:visible;mso-wrap-style:square" from="1440,428" to="604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6" o:spid="_x0000_s1028" style="position:absolute;visibility:visible;mso-wrap-style:square" from="1440,428" to="604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w10:wrap anchorx="page"/>
              </v:group>
            </w:pict>
          </mc:Fallback>
        </mc:AlternateContent>
      </w:r>
      <w:r>
        <w:t>/s/ Ravichandra K. Saligram Ravichandra K. Saligram</w:t>
      </w:r>
    </w:p>
    <w:p w14:paraId="7326D6B2" w14:textId="77777777" w:rsidR="00EF3DFB" w:rsidRDefault="00D27C17">
      <w:pPr>
        <w:spacing w:line="285" w:lineRule="auto"/>
        <w:ind w:left="872" w:right="6874"/>
      </w:pPr>
      <w:r>
        <w:t xml:space="preserve">President &amp; </w:t>
      </w:r>
      <w:r>
        <w:t>Chief Executive Officer (Principal Executive Officer) February 18, 2021</w:t>
      </w:r>
    </w:p>
    <w:p w14:paraId="7326D6B3" w14:textId="77777777" w:rsidR="00EF3DFB" w:rsidRDefault="00EF3DFB">
      <w:pPr>
        <w:spacing w:line="285" w:lineRule="auto"/>
        <w:sectPr w:rsidR="00EF3DFB">
          <w:footerReference w:type="default" r:id="rId328"/>
          <w:pgSz w:w="12240" w:h="15840"/>
          <w:pgMar w:top="1320" w:right="640" w:bottom="280" w:left="620" w:header="0" w:footer="0" w:gutter="0"/>
          <w:cols w:space="720"/>
        </w:sectPr>
      </w:pPr>
    </w:p>
    <w:p w14:paraId="7326D6B4" w14:textId="77777777" w:rsidR="00EF3DFB" w:rsidRDefault="00D27C17">
      <w:pPr>
        <w:spacing w:before="67"/>
        <w:ind w:right="797"/>
        <w:jc w:val="right"/>
      </w:pPr>
      <w:bookmarkStart w:id="97" w:name="Section_1"/>
      <w:bookmarkEnd w:id="97"/>
      <w:r>
        <w:lastRenderedPageBreak/>
        <w:t>EXHIBIT 32.2</w:t>
      </w:r>
    </w:p>
    <w:p w14:paraId="7326D6B5" w14:textId="77777777" w:rsidR="00EF3DFB" w:rsidRDefault="00EF3DFB">
      <w:pPr>
        <w:pStyle w:val="BodyText"/>
        <w:rPr>
          <w:sz w:val="24"/>
        </w:rPr>
      </w:pPr>
    </w:p>
    <w:p w14:paraId="7326D6B6" w14:textId="77777777" w:rsidR="00EF3DFB" w:rsidRDefault="00EF3DFB">
      <w:pPr>
        <w:pStyle w:val="BodyText"/>
        <w:spacing w:before="11"/>
        <w:rPr>
          <w:sz w:val="32"/>
        </w:rPr>
      </w:pPr>
    </w:p>
    <w:p w14:paraId="7326D6B7" w14:textId="77777777" w:rsidR="00EF3DFB" w:rsidRDefault="00D27C17">
      <w:pPr>
        <w:spacing w:line="422" w:lineRule="auto"/>
        <w:ind w:left="3789" w:right="3766"/>
        <w:jc w:val="center"/>
        <w:rPr>
          <w:b/>
        </w:rPr>
      </w:pPr>
      <w:r>
        <w:rPr>
          <w:b/>
        </w:rPr>
        <w:t>CERTIFICATION PURSUANT TO 18 U.S.C. SECTION 1350,</w:t>
      </w:r>
    </w:p>
    <w:p w14:paraId="7326D6B8" w14:textId="77777777" w:rsidR="00EF3DFB" w:rsidRDefault="00D27C17">
      <w:pPr>
        <w:spacing w:before="2"/>
        <w:ind w:left="137" w:right="116"/>
        <w:jc w:val="center"/>
        <w:rPr>
          <w:b/>
        </w:rPr>
      </w:pPr>
      <w:r>
        <w:rPr>
          <w:b/>
        </w:rPr>
        <w:t>AS ADOPTED PURSUANT TO</w:t>
      </w:r>
    </w:p>
    <w:p w14:paraId="7326D6B9" w14:textId="77777777" w:rsidR="00EF3DFB" w:rsidRDefault="00D27C17">
      <w:pPr>
        <w:spacing w:before="193"/>
        <w:ind w:left="2644"/>
        <w:rPr>
          <w:b/>
        </w:rPr>
      </w:pPr>
      <w:r>
        <w:rPr>
          <w:b/>
        </w:rPr>
        <w:t>SECTION 906 OF THE SARBANES-OXLEY ACT OF 2002</w:t>
      </w:r>
    </w:p>
    <w:p w14:paraId="7326D6BA" w14:textId="77777777" w:rsidR="00EF3DFB" w:rsidRDefault="00EF3DFB">
      <w:pPr>
        <w:pStyle w:val="BodyText"/>
        <w:spacing w:before="9"/>
        <w:rPr>
          <w:b/>
          <w:sz w:val="18"/>
        </w:rPr>
      </w:pPr>
    </w:p>
    <w:p w14:paraId="7326D6BB" w14:textId="77777777" w:rsidR="00EF3DFB" w:rsidRDefault="00D27C17">
      <w:pPr>
        <w:spacing w:line="249" w:lineRule="auto"/>
        <w:ind w:left="820" w:right="794"/>
        <w:jc w:val="both"/>
      </w:pPr>
      <w:r>
        <w:t>In connection with the annual report of Newell Brands Inc. (the “Company”) on Form 10-K for the period ended December 31, 2020 as filed with the Securities and Exchange Commission on the date hereof (the “Repo</w:t>
      </w:r>
      <w:r>
        <w:t>rt”), I, Christopher H. Peterson, Chief Financial Officer of the Company, certify, pursuant to 18</w:t>
      </w:r>
    </w:p>
    <w:p w14:paraId="7326D6BC" w14:textId="77777777" w:rsidR="00EF3DFB" w:rsidRDefault="00D27C17">
      <w:pPr>
        <w:pStyle w:val="ListParagraph"/>
        <w:numPr>
          <w:ilvl w:val="2"/>
          <w:numId w:val="2"/>
        </w:numPr>
        <w:tabs>
          <w:tab w:val="left" w:pos="1468"/>
        </w:tabs>
        <w:spacing w:before="3"/>
        <w:ind w:hanging="647"/>
      </w:pPr>
      <w:r>
        <w:t>§ 1350, as adopted pursuant to § 906 of the Sarbanes-Oxley Act of 2002,</w:t>
      </w:r>
      <w:r>
        <w:rPr>
          <w:spacing w:val="-3"/>
        </w:rPr>
        <w:t xml:space="preserve"> </w:t>
      </w:r>
      <w:r>
        <w:t>that:</w:t>
      </w:r>
    </w:p>
    <w:p w14:paraId="7326D6BD" w14:textId="77777777" w:rsidR="00EF3DFB" w:rsidRDefault="00D27C17">
      <w:pPr>
        <w:pStyle w:val="ListParagraph"/>
        <w:numPr>
          <w:ilvl w:val="3"/>
          <w:numId w:val="2"/>
        </w:numPr>
        <w:tabs>
          <w:tab w:val="left" w:pos="1666"/>
        </w:tabs>
        <w:spacing w:before="191" w:line="271" w:lineRule="auto"/>
        <w:ind w:right="794" w:firstLine="495"/>
      </w:pPr>
      <w:r>
        <w:t>The Report fully complies with the requirements of section 13(a) or 15(d) of the</w:t>
      </w:r>
      <w:r>
        <w:t xml:space="preserve"> Securities Exchange Act of 1934;</w:t>
      </w:r>
      <w:r>
        <w:rPr>
          <w:spacing w:val="-1"/>
        </w:rPr>
        <w:t xml:space="preserve"> </w:t>
      </w:r>
      <w:r>
        <w:t>and</w:t>
      </w:r>
    </w:p>
    <w:p w14:paraId="7326D6BE" w14:textId="77777777" w:rsidR="00EF3DFB" w:rsidRDefault="00D27C17">
      <w:pPr>
        <w:pStyle w:val="ListParagraph"/>
        <w:numPr>
          <w:ilvl w:val="3"/>
          <w:numId w:val="2"/>
        </w:numPr>
        <w:tabs>
          <w:tab w:val="left" w:pos="1656"/>
        </w:tabs>
        <w:spacing w:before="180" w:line="271" w:lineRule="auto"/>
        <w:ind w:right="794" w:firstLine="495"/>
      </w:pPr>
      <w:r>
        <w:t>The information contained in the Report fairly presents, in all material respects, the financial condition and results of operations of the</w:t>
      </w:r>
      <w:r>
        <w:rPr>
          <w:spacing w:val="-3"/>
        </w:rPr>
        <w:t xml:space="preserve"> </w:t>
      </w:r>
      <w:r>
        <w:t>Company.</w:t>
      </w:r>
    </w:p>
    <w:p w14:paraId="7326D6BF" w14:textId="77777777" w:rsidR="00EF3DFB" w:rsidRDefault="00EF3DFB">
      <w:pPr>
        <w:pStyle w:val="BodyText"/>
        <w:rPr>
          <w:sz w:val="24"/>
        </w:rPr>
      </w:pPr>
    </w:p>
    <w:p w14:paraId="7326D6C0" w14:textId="77777777" w:rsidR="00EF3DFB" w:rsidRDefault="00EF3DFB">
      <w:pPr>
        <w:pStyle w:val="BodyText"/>
        <w:rPr>
          <w:sz w:val="24"/>
        </w:rPr>
      </w:pPr>
    </w:p>
    <w:p w14:paraId="7326D6C1" w14:textId="42672C49" w:rsidR="00EF3DFB" w:rsidRDefault="00D27C17">
      <w:pPr>
        <w:spacing w:before="145" w:line="285" w:lineRule="auto"/>
        <w:ind w:left="872" w:right="7704"/>
      </w:pPr>
      <w:r>
        <w:rPr>
          <w:noProof/>
        </w:rPr>
        <mc:AlternateContent>
          <mc:Choice Requires="wpg">
            <w:drawing>
              <wp:anchor distT="0" distB="0" distL="114300" distR="114300" simplePos="0" relativeHeight="502909568" behindDoc="1" locked="0" layoutInCell="1" allowOverlap="1" wp14:anchorId="7326D7E5" wp14:editId="4596B9EA">
                <wp:simplePos x="0" y="0"/>
                <wp:positionH relativeFrom="page">
                  <wp:posOffset>914400</wp:posOffset>
                </wp:positionH>
                <wp:positionV relativeFrom="paragraph">
                  <wp:posOffset>265430</wp:posOffset>
                </wp:positionV>
                <wp:extent cx="3705225" cy="12700"/>
                <wp:effectExtent l="9525" t="5080" r="9525" b="127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12700"/>
                          <a:chOff x="1440" y="418"/>
                          <a:chExt cx="5835" cy="20"/>
                        </a:xfrm>
                      </wpg:grpSpPr>
                      <wps:wsp>
                        <wps:cNvPr id="20" name="Line 4"/>
                        <wps:cNvCnPr>
                          <a:cxnSpLocks noChangeShapeType="1"/>
                        </wps:cNvCnPr>
                        <wps:spPr bwMode="auto">
                          <a:xfrm>
                            <a:off x="1440" y="428"/>
                            <a:ext cx="5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1440" y="428"/>
                            <a:ext cx="58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59BF7" id="Group 2" o:spid="_x0000_s1026" style="position:absolute;margin-left:1in;margin-top:20.9pt;width:291.75pt;height:1pt;z-index:-406912;mso-position-horizontal-relative:page" coordorigin="1440,418" coordsize="5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">
                <v:line id="Line 4" o:spid="_x0000_s1027" style="position:absolute;visibility:visible;mso-wrap-style:square" from="1440,428" to="727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3" o:spid="_x0000_s1028" style="position:absolute;visibility:visible;mso-wrap-style:square" from="1440,428" to="727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w10:wrap anchorx="page"/>
              </v:group>
            </w:pict>
          </mc:Fallback>
        </mc:AlternateContent>
      </w:r>
      <w:r>
        <w:t>/s/ Christopher H. Peterson Christopher H. Peterson</w:t>
      </w:r>
    </w:p>
    <w:p w14:paraId="7326D6C2" w14:textId="77777777" w:rsidR="00EF3DFB" w:rsidRDefault="00D27C17">
      <w:pPr>
        <w:spacing w:line="292" w:lineRule="auto"/>
        <w:ind w:left="872" w:right="4590"/>
      </w:pPr>
      <w:r>
        <w:t>Chief Financial Officer and President, Business Operations (Principal Financial Officer and Principal Accounting Officer) February 18, 2021</w:t>
      </w:r>
    </w:p>
    <w:sectPr w:rsidR="00EF3DFB">
      <w:footerReference w:type="default" r:id="rId329"/>
      <w:pgSz w:w="12240" w:h="15840"/>
      <w:pgMar w:top="600" w:right="64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D809" w14:textId="77777777" w:rsidR="00000000" w:rsidRDefault="00D27C17">
      <w:r>
        <w:separator/>
      </w:r>
    </w:p>
  </w:endnote>
  <w:endnote w:type="continuationSeparator" w:id="0">
    <w:p w14:paraId="7326D80B" w14:textId="77777777" w:rsidR="00000000" w:rsidRDefault="00D2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6" w14:textId="6279B2AF" w:rsidR="00EF3DFB" w:rsidRDefault="00D27C17">
    <w:pPr>
      <w:pStyle w:val="BodyText"/>
      <w:spacing w:line="14" w:lineRule="auto"/>
    </w:pPr>
    <w:r>
      <w:rPr>
        <w:noProof/>
      </w:rPr>
      <mc:AlternateContent>
        <mc:Choice Requires="wps">
          <w:drawing>
            <wp:anchor distT="0" distB="0" distL="114300" distR="114300" simplePos="0" relativeHeight="502904600" behindDoc="1" locked="0" layoutInCell="1" allowOverlap="1" wp14:anchorId="7326D805" wp14:editId="38CB188D">
              <wp:simplePos x="0" y="0"/>
              <wp:positionH relativeFrom="page">
                <wp:posOffset>3829050</wp:posOffset>
              </wp:positionH>
              <wp:positionV relativeFrom="page">
                <wp:posOffset>9733915</wp:posOffset>
              </wp:positionV>
              <wp:extent cx="114300" cy="16637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3D" w14:textId="77777777" w:rsidR="00EF3DFB" w:rsidRDefault="00D27C17">
                          <w:pPr>
                            <w:pStyle w:val="BodyText"/>
                            <w:spacing w:before="11"/>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5" id="_x0000_t202" coordsize="21600,21600" o:spt="202" path="m,l,21600r21600,l21600,xe">
              <v:stroke joinstyle="miter"/>
              <v:path gradientshapeok="t" o:connecttype="rect"/>
            </v:shapetype>
            <v:shape id="Text Box 14" o:spid="_x0000_s1041" type="#_x0000_t202" style="position:absolute;margin-left:301.5pt;margin-top:766.45pt;width:9pt;height:13.1pt;z-index:-41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" filled="f" stroked="f">
              <v:textbox inset="0,0,0,0">
                <w:txbxContent>
                  <w:p w14:paraId="7326D93D" w14:textId="77777777" w:rsidR="00EF3DFB" w:rsidRDefault="00D27C17">
                    <w:pPr>
                      <w:pStyle w:val="BodyText"/>
                      <w:spacing w:before="11"/>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F" w14:textId="1E300830" w:rsidR="00EF3DFB" w:rsidRDefault="00D27C17">
    <w:pPr>
      <w:pStyle w:val="BodyText"/>
      <w:spacing w:line="14" w:lineRule="auto"/>
    </w:pPr>
    <w:r>
      <w:rPr>
        <w:noProof/>
      </w:rPr>
      <mc:AlternateContent>
        <mc:Choice Requires="wps">
          <w:drawing>
            <wp:anchor distT="0" distB="0" distL="114300" distR="114300" simplePos="0" relativeHeight="502904816" behindDoc="1" locked="0" layoutInCell="1" allowOverlap="1" wp14:anchorId="7326D80E" wp14:editId="74488C01">
              <wp:simplePos x="0" y="0"/>
              <wp:positionH relativeFrom="page">
                <wp:posOffset>3797300</wp:posOffset>
              </wp:positionH>
              <wp:positionV relativeFrom="page">
                <wp:posOffset>9733915</wp:posOffset>
              </wp:positionV>
              <wp:extent cx="177800" cy="1663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6" w14:textId="77777777" w:rsidR="00EF3DFB" w:rsidRDefault="00D27C17">
                          <w:pPr>
                            <w:pStyle w:val="BodyText"/>
                            <w:spacing w:before="11"/>
                            <w:ind w:left="40"/>
                          </w:pPr>
                          <w:r>
                            <w:fldChar w:fldCharType="begin"/>
                          </w:r>
                          <w:r>
                            <w:instrText xml:space="preserve"> PAGE </w:instrText>
                          </w:r>
                          <w:r>
                            <w:fldChar w:fldCharType="separate"/>
                          </w:r>
                          <w: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E" id="_x0000_t202" coordsize="21600,21600" o:spt="202" path="m,l,21600r21600,l21600,xe">
              <v:stroke joinstyle="miter"/>
              <v:path gradientshapeok="t" o:connecttype="rect"/>
            </v:shapetype>
            <v:shape id="Text Box 5" o:spid="_x0000_s1050" type="#_x0000_t202" style="position:absolute;margin-left:299pt;margin-top:766.45pt;width:14pt;height:13.1pt;z-index:-41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AVN9vJ6gEAALwDAAAOAAAAAAAAAAAAAAAAAC4CAABkcnMvZTJvRG9j&#10;LnhtbFBLAQItABQABgAIAAAAIQAHJzdq4AAAAA0BAAAPAAAAAAAAAAAAAAAAAEQEAABkcnMvZG93&#10;bnJldi54bWxQSwUGAAAAAAQABADzAAAAUQUAAAAA&#10;" filled="f" stroked="f">
              <v:textbox inset="0,0,0,0">
                <w:txbxContent>
                  <w:p w14:paraId="7326D946" w14:textId="77777777" w:rsidR="00EF3DFB" w:rsidRDefault="00D27C17">
                    <w:pPr>
                      <w:pStyle w:val="BodyText"/>
                      <w:spacing w:before="11"/>
                      <w:ind w:left="40"/>
                    </w:pPr>
                    <w:r>
                      <w:fldChar w:fldCharType="begin"/>
                    </w:r>
                    <w:r>
                      <w:instrText xml:space="preserve"> PAGE </w:instrText>
                    </w:r>
                    <w:r>
                      <w:fldChar w:fldCharType="separate"/>
                    </w:r>
                    <w:r>
                      <w:t>86</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0" w14:textId="12966A5A" w:rsidR="00EF3DFB" w:rsidRDefault="00D27C17">
    <w:pPr>
      <w:pStyle w:val="BodyText"/>
      <w:spacing w:line="14" w:lineRule="auto"/>
    </w:pPr>
    <w:r>
      <w:rPr>
        <w:noProof/>
      </w:rPr>
      <mc:AlternateContent>
        <mc:Choice Requires="wps">
          <w:drawing>
            <wp:anchor distT="0" distB="0" distL="114300" distR="114300" simplePos="0" relativeHeight="502904840" behindDoc="1" locked="0" layoutInCell="1" allowOverlap="1" wp14:anchorId="7326D80F" wp14:editId="66B6EC5C">
              <wp:simplePos x="0" y="0"/>
              <wp:positionH relativeFrom="page">
                <wp:posOffset>3797300</wp:posOffset>
              </wp:positionH>
              <wp:positionV relativeFrom="page">
                <wp:posOffset>9733915</wp:posOffset>
              </wp:positionV>
              <wp:extent cx="177800" cy="1663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7" w14:textId="77777777" w:rsidR="00EF3DFB" w:rsidRDefault="00D27C17">
                          <w:pPr>
                            <w:pStyle w:val="BodyText"/>
                            <w:spacing w:before="11"/>
                            <w:ind w:left="40"/>
                          </w:pPr>
                          <w:r>
                            <w:fldChar w:fldCharType="begin"/>
                          </w:r>
                          <w:r>
                            <w:instrText xml:space="preserve"> PAGE </w:instrText>
                          </w:r>
                          <w:r>
                            <w:fldChar w:fldCharType="separate"/>
                          </w:r>
                          <w: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F" id="_x0000_t202" coordsize="21600,21600" o:spt="202" path="m,l,21600r21600,l21600,xe">
              <v:stroke joinstyle="miter"/>
              <v:path gradientshapeok="t" o:connecttype="rect"/>
            </v:shapetype>
            <v:shape id="Text Box 4" o:spid="_x0000_s1051" type="#_x0000_t202" style="position:absolute;margin-left:299pt;margin-top:766.45pt;width:14pt;height:13.1pt;z-index:-41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BuUFTB6gEAAL0DAAAOAAAAAAAAAAAAAAAAAC4CAABkcnMvZTJvRG9j&#10;LnhtbFBLAQItABQABgAIAAAAIQAHJzdq4AAAAA0BAAAPAAAAAAAAAAAAAAAAAEQEAABkcnMvZG93&#10;bnJldi54bWxQSwUGAAAAAAQABADzAAAAUQUAAAAA&#10;" filled="f" stroked="f">
              <v:textbox inset="0,0,0,0">
                <w:txbxContent>
                  <w:p w14:paraId="7326D947" w14:textId="77777777" w:rsidR="00EF3DFB" w:rsidRDefault="00D27C17">
                    <w:pPr>
                      <w:pStyle w:val="BodyText"/>
                      <w:spacing w:before="11"/>
                      <w:ind w:left="40"/>
                    </w:pPr>
                    <w:r>
                      <w:fldChar w:fldCharType="begin"/>
                    </w:r>
                    <w:r>
                      <w:instrText xml:space="preserve"> PAGE </w:instrText>
                    </w:r>
                    <w:r>
                      <w:fldChar w:fldCharType="separate"/>
                    </w:r>
                    <w:r>
                      <w:t>90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1" w14:textId="51E64EA7" w:rsidR="00EF3DFB" w:rsidRDefault="00D27C17">
    <w:pPr>
      <w:pStyle w:val="BodyText"/>
      <w:spacing w:line="14" w:lineRule="auto"/>
    </w:pPr>
    <w:r>
      <w:rPr>
        <w:noProof/>
      </w:rPr>
      <mc:AlternateContent>
        <mc:Choice Requires="wps">
          <w:drawing>
            <wp:anchor distT="0" distB="0" distL="114300" distR="114300" simplePos="0" relativeHeight="502904864" behindDoc="1" locked="0" layoutInCell="1" allowOverlap="1" wp14:anchorId="7326D810" wp14:editId="48BB3B7F">
              <wp:simplePos x="0" y="0"/>
              <wp:positionH relativeFrom="page">
                <wp:posOffset>3765550</wp:posOffset>
              </wp:positionH>
              <wp:positionV relativeFrom="page">
                <wp:posOffset>9733915</wp:posOffset>
              </wp:positionV>
              <wp:extent cx="241300" cy="166370"/>
              <wp:effectExtent l="3175"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8" w14:textId="77777777" w:rsidR="00EF3DFB" w:rsidRDefault="00D27C17">
                          <w:pPr>
                            <w:pStyle w:val="BodyText"/>
                            <w:spacing w:before="11"/>
                            <w:ind w:left="4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10" id="_x0000_t202" coordsize="21600,21600" o:spt="202" path="m,l,21600r21600,l21600,xe">
              <v:stroke joinstyle="miter"/>
              <v:path gradientshapeok="t" o:connecttype="rect"/>
            </v:shapetype>
            <v:shape id="Text Box 3" o:spid="_x0000_s1052" type="#_x0000_t202" style="position:absolute;margin-left:296.5pt;margin-top:766.45pt;width:19pt;height:13.1pt;z-index:-4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" filled="f" stroked="f">
              <v:textbox inset="0,0,0,0">
                <w:txbxContent>
                  <w:p w14:paraId="7326D948" w14:textId="77777777" w:rsidR="00EF3DFB" w:rsidRDefault="00D27C17">
                    <w:pPr>
                      <w:pStyle w:val="BodyText"/>
                      <w:spacing w:before="11"/>
                      <w:ind w:left="4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2" w14:textId="2663BD96" w:rsidR="00EF3DFB" w:rsidRDefault="00D27C17">
    <w:pPr>
      <w:pStyle w:val="BodyText"/>
      <w:spacing w:line="14" w:lineRule="auto"/>
    </w:pPr>
    <w:r>
      <w:rPr>
        <w:noProof/>
      </w:rPr>
      <mc:AlternateContent>
        <mc:Choice Requires="wps">
          <w:drawing>
            <wp:anchor distT="0" distB="0" distL="114300" distR="114300" simplePos="0" relativeHeight="502904888" behindDoc="1" locked="0" layoutInCell="1" allowOverlap="1" wp14:anchorId="7326D811" wp14:editId="6418CC55">
              <wp:simplePos x="0" y="0"/>
              <wp:positionH relativeFrom="page">
                <wp:posOffset>3765550</wp:posOffset>
              </wp:positionH>
              <wp:positionV relativeFrom="page">
                <wp:posOffset>9733915</wp:posOffset>
              </wp:positionV>
              <wp:extent cx="241300" cy="166370"/>
              <wp:effectExtent l="3175"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9" w14:textId="77777777" w:rsidR="00EF3DFB" w:rsidRDefault="00D27C17">
                          <w:pPr>
                            <w:pStyle w:val="BodyText"/>
                            <w:spacing w:before="11"/>
                            <w:ind w:left="40"/>
                          </w:pPr>
                          <w:r>
                            <w:fldChar w:fldCharType="begin"/>
                          </w:r>
                          <w:r>
                            <w:instrText xml:space="preserve"> PAGE </w:instrText>
                          </w:r>
                          <w:r>
                            <w:fldChar w:fldCharType="separate"/>
                          </w:r>
                          <w: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11" id="_x0000_t202" coordsize="21600,21600" o:spt="202" path="m,l,21600r21600,l21600,xe">
              <v:stroke joinstyle="miter"/>
              <v:path gradientshapeok="t" o:connecttype="rect"/>
            </v:shapetype>
            <v:shape id="Text Box 2" o:spid="_x0000_s1053" type="#_x0000_t202" style="position:absolute;margin-left:296.5pt;margin-top:766.45pt;width:19pt;height:13.1pt;z-index:-41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" filled="f" stroked="f">
              <v:textbox inset="0,0,0,0">
                <w:txbxContent>
                  <w:p w14:paraId="7326D949" w14:textId="77777777" w:rsidR="00EF3DFB" w:rsidRDefault="00D27C17">
                    <w:pPr>
                      <w:pStyle w:val="BodyText"/>
                      <w:spacing w:before="11"/>
                      <w:ind w:left="40"/>
                    </w:pPr>
                    <w:r>
                      <w:fldChar w:fldCharType="begin"/>
                    </w:r>
                    <w:r>
                      <w:instrText xml:space="preserve"> PAGE </w:instrText>
                    </w:r>
                    <w:r>
                      <w:fldChar w:fldCharType="separate"/>
                    </w:r>
                    <w:r>
                      <w:t>110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3" w14:textId="77777777" w:rsidR="00EF3DFB" w:rsidRDefault="00EF3DFB">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4" w14:textId="185801D6" w:rsidR="00EF3DFB" w:rsidRDefault="00D27C17">
    <w:pPr>
      <w:pStyle w:val="BodyText"/>
      <w:spacing w:line="14" w:lineRule="auto"/>
    </w:pPr>
    <w:r>
      <w:rPr>
        <w:noProof/>
      </w:rPr>
      <mc:AlternateContent>
        <mc:Choice Requires="wps">
          <w:drawing>
            <wp:anchor distT="0" distB="0" distL="114300" distR="114300" simplePos="0" relativeHeight="502904912" behindDoc="1" locked="0" layoutInCell="1" allowOverlap="1" wp14:anchorId="7326D812" wp14:editId="5B3B988B">
              <wp:simplePos x="0" y="0"/>
              <wp:positionH relativeFrom="page">
                <wp:posOffset>3825875</wp:posOffset>
              </wp:positionH>
              <wp:positionV relativeFrom="page">
                <wp:posOffset>9563735</wp:posOffset>
              </wp:positionV>
              <wp:extent cx="120650" cy="18034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A" w14:textId="77777777" w:rsidR="00EF3DFB" w:rsidRDefault="00D27C17">
                          <w:pPr>
                            <w:spacing w:before="10"/>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12" id="_x0000_t202" coordsize="21600,21600" o:spt="202" path="m,l,21600r21600,l21600,xe">
              <v:stroke joinstyle="miter"/>
              <v:path gradientshapeok="t" o:connecttype="rect"/>
            </v:shapetype>
            <v:shape id="Text Box 1" o:spid="_x0000_s1054" type="#_x0000_t202" style="position:absolute;margin-left:301.25pt;margin-top:753.05pt;width:9.5pt;height:14.2pt;z-index:-41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" filled="f" stroked="f">
              <v:textbox inset="0,0,0,0">
                <w:txbxContent>
                  <w:p w14:paraId="7326D94A" w14:textId="77777777" w:rsidR="00EF3DFB" w:rsidRDefault="00D27C17">
                    <w:pPr>
                      <w:spacing w:before="10"/>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5" w14:textId="77777777" w:rsidR="00EF3DFB" w:rsidRDefault="00EF3DFB">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6" w14:textId="77777777" w:rsidR="00EF3DFB" w:rsidRDefault="00EF3DFB">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7" w14:textId="77777777" w:rsidR="00EF3DFB" w:rsidRDefault="00EF3DFB">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8" w14:textId="77777777" w:rsidR="00EF3DFB" w:rsidRDefault="00EF3DF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7" w14:textId="4683C745" w:rsidR="00EF3DFB" w:rsidRDefault="00D27C17">
    <w:pPr>
      <w:pStyle w:val="BodyText"/>
      <w:spacing w:line="14" w:lineRule="auto"/>
    </w:pPr>
    <w:r>
      <w:rPr>
        <w:noProof/>
      </w:rPr>
      <mc:AlternateContent>
        <mc:Choice Requires="wps">
          <w:drawing>
            <wp:anchor distT="0" distB="0" distL="114300" distR="114300" simplePos="0" relativeHeight="502904624" behindDoc="1" locked="0" layoutInCell="1" allowOverlap="1" wp14:anchorId="7326D806" wp14:editId="0A785C90">
              <wp:simplePos x="0" y="0"/>
              <wp:positionH relativeFrom="page">
                <wp:posOffset>3797300</wp:posOffset>
              </wp:positionH>
              <wp:positionV relativeFrom="page">
                <wp:posOffset>9733915</wp:posOffset>
              </wp:positionV>
              <wp:extent cx="177800" cy="16637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3E" w14:textId="77777777" w:rsidR="00EF3DFB" w:rsidRDefault="00D27C17">
                          <w:pPr>
                            <w:pStyle w:val="BodyText"/>
                            <w:spacing w:before="11"/>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6" id="_x0000_t202" coordsize="21600,21600" o:spt="202" path="m,l,21600r21600,l21600,xe">
              <v:stroke joinstyle="miter"/>
              <v:path gradientshapeok="t" o:connecttype="rect"/>
            </v:shapetype>
            <v:shape id="Text Box 13" o:spid="_x0000_s1042" type="#_x0000_t202" style="position:absolute;margin-left:299pt;margin-top:766.45pt;width:14pt;height:13.1pt;z-index:-41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AZ2MpM6gEAAL4DAAAOAAAAAAAAAAAAAAAAAC4CAABkcnMvZTJvRG9j&#10;LnhtbFBLAQItABQABgAIAAAAIQAHJzdq4AAAAA0BAAAPAAAAAAAAAAAAAAAAAEQEAABkcnMvZG93&#10;bnJldi54bWxQSwUGAAAAAAQABADzAAAAUQUAAAAA&#10;" filled="f" stroked="f">
              <v:textbox inset="0,0,0,0">
                <w:txbxContent>
                  <w:p w14:paraId="7326D93E" w14:textId="77777777" w:rsidR="00EF3DFB" w:rsidRDefault="00D27C17">
                    <w:pPr>
                      <w:pStyle w:val="BodyText"/>
                      <w:spacing w:before="11"/>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9" w14:textId="77777777" w:rsidR="00EF3DFB" w:rsidRDefault="00EF3DFB">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A" w14:textId="77777777" w:rsidR="00EF3DFB" w:rsidRDefault="00EF3DFB">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B" w14:textId="77777777" w:rsidR="00EF3DFB" w:rsidRDefault="00EF3DFB">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C" w14:textId="77777777" w:rsidR="00EF3DFB" w:rsidRDefault="00EF3DFB">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D" w14:textId="77777777" w:rsidR="00EF3DFB" w:rsidRDefault="00EF3DFB">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E" w14:textId="77777777" w:rsidR="00EF3DFB" w:rsidRDefault="00EF3DFB">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FF" w14:textId="77777777" w:rsidR="00EF3DFB" w:rsidRDefault="00EF3DFB">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800" w14:textId="77777777" w:rsidR="00EF3DFB" w:rsidRDefault="00EF3DFB">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801" w14:textId="77777777" w:rsidR="00EF3DFB" w:rsidRDefault="00EF3DFB">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802" w14:textId="77777777" w:rsidR="00EF3DFB" w:rsidRDefault="00EF3DF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8" w14:textId="5A3EA52D" w:rsidR="00EF3DFB" w:rsidRDefault="00D27C17">
    <w:pPr>
      <w:pStyle w:val="BodyText"/>
      <w:spacing w:line="14" w:lineRule="auto"/>
    </w:pPr>
    <w:r>
      <w:rPr>
        <w:noProof/>
      </w:rPr>
      <mc:AlternateContent>
        <mc:Choice Requires="wps">
          <w:drawing>
            <wp:anchor distT="0" distB="0" distL="114300" distR="114300" simplePos="0" relativeHeight="502904648" behindDoc="1" locked="0" layoutInCell="1" allowOverlap="1" wp14:anchorId="7326D807" wp14:editId="77D24F71">
              <wp:simplePos x="0" y="0"/>
              <wp:positionH relativeFrom="page">
                <wp:posOffset>3797300</wp:posOffset>
              </wp:positionH>
              <wp:positionV relativeFrom="page">
                <wp:posOffset>9733915</wp:posOffset>
              </wp:positionV>
              <wp:extent cx="177800" cy="16637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3F" w14:textId="77777777" w:rsidR="00EF3DFB" w:rsidRDefault="00D27C17">
                          <w:pPr>
                            <w:pStyle w:val="BodyText"/>
                            <w:spacing w:before="11"/>
                            <w:ind w:left="40"/>
                          </w:pPr>
                          <w:r>
                            <w:fldChar w:fldCharType="begin"/>
                          </w:r>
                          <w:r>
                            <w:instrText xml:space="preserve"> PAG</w:instrText>
                          </w:r>
                          <w:r>
                            <w:instrText xml:space="preserve">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7" id="_x0000_t202" coordsize="21600,21600" o:spt="202" path="m,l,21600r21600,l21600,xe">
              <v:stroke joinstyle="miter"/>
              <v:path gradientshapeok="t" o:connecttype="rect"/>
            </v:shapetype>
            <v:shape id="Text Box 12" o:spid="_x0000_s1043" type="#_x0000_t202" style="position:absolute;margin-left:299pt;margin-top:766.45pt;width:14pt;height:13.1pt;z-index:-41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CYiFU06gEAAL4DAAAOAAAAAAAAAAAAAAAAAC4CAABkcnMvZTJvRG9j&#10;LnhtbFBLAQItABQABgAIAAAAIQAHJzdq4AAAAA0BAAAPAAAAAAAAAAAAAAAAAEQEAABkcnMvZG93&#10;bnJldi54bWxQSwUGAAAAAAQABADzAAAAUQUAAAAA&#10;" filled="f" stroked="f">
              <v:textbox inset="0,0,0,0">
                <w:txbxContent>
                  <w:p w14:paraId="7326D93F" w14:textId="77777777" w:rsidR="00EF3DFB" w:rsidRDefault="00D27C17">
                    <w:pPr>
                      <w:pStyle w:val="BodyText"/>
                      <w:spacing w:before="11"/>
                      <w:ind w:left="40"/>
                    </w:pPr>
                    <w:r>
                      <w:fldChar w:fldCharType="begin"/>
                    </w:r>
                    <w:r>
                      <w:instrText xml:space="preserve"> PAG</w:instrText>
                    </w:r>
                    <w:r>
                      <w:instrText xml:space="preserve">E </w:instrText>
                    </w:r>
                    <w:r>
                      <w:fldChar w:fldCharType="separate"/>
                    </w:r>
                    <w:r>
                      <w:t>20</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803" w14:textId="77777777" w:rsidR="00EF3DFB" w:rsidRDefault="00EF3DFB">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804" w14:textId="77777777" w:rsidR="00EF3DFB" w:rsidRDefault="00EF3DF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9" w14:textId="4F090714" w:rsidR="00EF3DFB" w:rsidRDefault="00D27C17">
    <w:pPr>
      <w:pStyle w:val="BodyText"/>
      <w:spacing w:line="14" w:lineRule="auto"/>
    </w:pPr>
    <w:r>
      <w:rPr>
        <w:noProof/>
      </w:rPr>
      <mc:AlternateContent>
        <mc:Choice Requires="wps">
          <w:drawing>
            <wp:anchor distT="0" distB="0" distL="114300" distR="114300" simplePos="0" relativeHeight="502904672" behindDoc="1" locked="0" layoutInCell="1" allowOverlap="1" wp14:anchorId="7326D808" wp14:editId="41B4C57C">
              <wp:simplePos x="0" y="0"/>
              <wp:positionH relativeFrom="page">
                <wp:posOffset>3797300</wp:posOffset>
              </wp:positionH>
              <wp:positionV relativeFrom="page">
                <wp:posOffset>9733915</wp:posOffset>
              </wp:positionV>
              <wp:extent cx="177800" cy="16637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0" w14:textId="77777777" w:rsidR="00EF3DFB" w:rsidRDefault="00D27C17">
                          <w:pPr>
                            <w:pStyle w:val="BodyText"/>
                            <w:spacing w:before="11"/>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8" id="_x0000_t202" coordsize="21600,21600" o:spt="202" path="m,l,21600r21600,l21600,xe">
              <v:stroke joinstyle="miter"/>
              <v:path gradientshapeok="t" o:connecttype="rect"/>
            </v:shapetype>
            <v:shape id="Text Box 11" o:spid="_x0000_s1044" type="#_x0000_t202" style="position:absolute;margin-left:299pt;margin-top:766.45pt;width:14pt;height:13.1pt;z-index:-4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" filled="f" stroked="f">
              <v:textbox inset="0,0,0,0">
                <w:txbxContent>
                  <w:p w14:paraId="7326D940" w14:textId="77777777" w:rsidR="00EF3DFB" w:rsidRDefault="00D27C17">
                    <w:pPr>
                      <w:pStyle w:val="BodyText"/>
                      <w:spacing w:before="11"/>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A" w14:textId="2F75A789" w:rsidR="00EF3DFB" w:rsidRDefault="00D27C17">
    <w:pPr>
      <w:pStyle w:val="BodyText"/>
      <w:spacing w:line="14" w:lineRule="auto"/>
    </w:pPr>
    <w:r>
      <w:rPr>
        <w:noProof/>
      </w:rPr>
      <mc:AlternateContent>
        <mc:Choice Requires="wps">
          <w:drawing>
            <wp:anchor distT="0" distB="0" distL="114300" distR="114300" simplePos="0" relativeHeight="502904696" behindDoc="1" locked="0" layoutInCell="1" allowOverlap="1" wp14:anchorId="7326D809" wp14:editId="495DD308">
              <wp:simplePos x="0" y="0"/>
              <wp:positionH relativeFrom="page">
                <wp:posOffset>3797300</wp:posOffset>
              </wp:positionH>
              <wp:positionV relativeFrom="page">
                <wp:posOffset>9733915</wp:posOffset>
              </wp:positionV>
              <wp:extent cx="177800" cy="16637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1" w14:textId="77777777" w:rsidR="00EF3DFB" w:rsidRDefault="00D27C17">
                          <w:pPr>
                            <w:pStyle w:val="BodyText"/>
                            <w:spacing w:before="11"/>
                            <w:ind w:left="4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9" id="_x0000_t202" coordsize="21600,21600" o:spt="202" path="m,l,21600r21600,l21600,xe">
              <v:stroke joinstyle="miter"/>
              <v:path gradientshapeok="t" o:connecttype="rect"/>
            </v:shapetype>
            <v:shape id="Text Box 10" o:spid="_x0000_s1045" type="#_x0000_t202" style="position:absolute;margin-left:299pt;margin-top:766.45pt;width:14pt;height:13.1pt;z-index:-41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" filled="f" stroked="f">
              <v:textbox inset="0,0,0,0">
                <w:txbxContent>
                  <w:p w14:paraId="7326D941" w14:textId="77777777" w:rsidR="00EF3DFB" w:rsidRDefault="00D27C17">
                    <w:pPr>
                      <w:pStyle w:val="BodyText"/>
                      <w:spacing w:before="11"/>
                      <w:ind w:left="4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B" w14:textId="14CD3CE0" w:rsidR="00EF3DFB" w:rsidRDefault="00D27C17">
    <w:pPr>
      <w:pStyle w:val="BodyText"/>
      <w:spacing w:line="14" w:lineRule="auto"/>
    </w:pPr>
    <w:r>
      <w:rPr>
        <w:noProof/>
      </w:rPr>
      <mc:AlternateContent>
        <mc:Choice Requires="wps">
          <w:drawing>
            <wp:anchor distT="0" distB="0" distL="114300" distR="114300" simplePos="0" relativeHeight="502904720" behindDoc="1" locked="0" layoutInCell="1" allowOverlap="1" wp14:anchorId="7326D80A" wp14:editId="52C96FA7">
              <wp:simplePos x="0" y="0"/>
              <wp:positionH relativeFrom="page">
                <wp:posOffset>3797300</wp:posOffset>
              </wp:positionH>
              <wp:positionV relativeFrom="page">
                <wp:posOffset>9733915</wp:posOffset>
              </wp:positionV>
              <wp:extent cx="177800" cy="16637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2" w14:textId="77777777" w:rsidR="00EF3DFB" w:rsidRDefault="00D27C17">
                          <w:pPr>
                            <w:pStyle w:val="BodyText"/>
                            <w:spacing w:before="11"/>
                            <w:ind w:left="40"/>
                          </w:pPr>
                          <w:r>
                            <w:fldChar w:fldCharType="begin"/>
                          </w:r>
                          <w: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A" id="_x0000_t202" coordsize="21600,21600" o:spt="202" path="m,l,21600r21600,l21600,xe">
              <v:stroke joinstyle="miter"/>
              <v:path gradientshapeok="t" o:connecttype="rect"/>
            </v:shapetype>
            <v:shape id="Text Box 9" o:spid="_x0000_s1046" type="#_x0000_t202" style="position:absolute;margin-left:299pt;margin-top:766.45pt;width:14pt;height:13.1pt;z-index:-41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D/Vn/S6gEAAL0DAAAOAAAAAAAAAAAAAAAAAC4CAABkcnMvZTJvRG9j&#10;LnhtbFBLAQItABQABgAIAAAAIQAHJzdq4AAAAA0BAAAPAAAAAAAAAAAAAAAAAEQEAABkcnMvZG93&#10;bnJldi54bWxQSwUGAAAAAAQABADzAAAAUQUAAAAA&#10;" filled="f" stroked="f">
              <v:textbox inset="0,0,0,0">
                <w:txbxContent>
                  <w:p w14:paraId="7326D942" w14:textId="77777777" w:rsidR="00EF3DFB" w:rsidRDefault="00D27C17">
                    <w:pPr>
                      <w:pStyle w:val="BodyText"/>
                      <w:spacing w:before="11"/>
                      <w:ind w:left="40"/>
                    </w:pPr>
                    <w:r>
                      <w:fldChar w:fldCharType="begin"/>
                    </w:r>
                    <w:r>
                      <w:instrText xml:space="preserve"> PAGE </w:instrText>
                    </w:r>
                    <w:r>
                      <w:fldChar w:fldCharType="separate"/>
                    </w:r>
                    <w:r>
                      <w:t>50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C" w14:textId="725184DC" w:rsidR="00EF3DFB" w:rsidRDefault="00D27C17">
    <w:pPr>
      <w:pStyle w:val="BodyText"/>
      <w:spacing w:line="14" w:lineRule="auto"/>
    </w:pPr>
    <w:r>
      <w:rPr>
        <w:noProof/>
      </w:rPr>
      <mc:AlternateContent>
        <mc:Choice Requires="wps">
          <w:drawing>
            <wp:anchor distT="0" distB="0" distL="114300" distR="114300" simplePos="0" relativeHeight="502904744" behindDoc="1" locked="0" layoutInCell="1" allowOverlap="1" wp14:anchorId="7326D80B" wp14:editId="34C7DC0C">
              <wp:simplePos x="0" y="0"/>
              <wp:positionH relativeFrom="page">
                <wp:posOffset>3797300</wp:posOffset>
              </wp:positionH>
              <wp:positionV relativeFrom="page">
                <wp:posOffset>9733915</wp:posOffset>
              </wp:positionV>
              <wp:extent cx="177800" cy="16637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3" w14:textId="77777777" w:rsidR="00EF3DFB" w:rsidRDefault="00D27C17">
                          <w:pPr>
                            <w:pStyle w:val="BodyText"/>
                            <w:spacing w:before="11"/>
                            <w:ind w:left="40"/>
                          </w:pPr>
                          <w:r>
                            <w:fldChar w:fldCharType="begin"/>
                          </w:r>
                          <w: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B" id="_x0000_t202" coordsize="21600,21600" o:spt="202" path="m,l,21600r21600,l21600,xe">
              <v:stroke joinstyle="miter"/>
              <v:path gradientshapeok="t" o:connecttype="rect"/>
            </v:shapetype>
            <v:shape id="Text Box 8" o:spid="_x0000_s1047" type="#_x0000_t202" style="position:absolute;margin-left:299pt;margin-top:766.45pt;width:14pt;height:13.1pt;z-index:-411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" filled="f" stroked="f">
              <v:textbox inset="0,0,0,0">
                <w:txbxContent>
                  <w:p w14:paraId="7326D943" w14:textId="77777777" w:rsidR="00EF3DFB" w:rsidRDefault="00D27C17">
                    <w:pPr>
                      <w:pStyle w:val="BodyText"/>
                      <w:spacing w:before="11"/>
                      <w:ind w:left="40"/>
                    </w:pPr>
                    <w:r>
                      <w:fldChar w:fldCharType="begin"/>
                    </w:r>
                    <w:r>
                      <w:instrText xml:space="preserve"> PAGE </w:instrText>
                    </w:r>
                    <w:r>
                      <w:fldChar w:fldCharType="separate"/>
                    </w:r>
                    <w: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D" w14:textId="419EA7B9" w:rsidR="00EF3DFB" w:rsidRDefault="00D27C17">
    <w:pPr>
      <w:pStyle w:val="BodyText"/>
      <w:spacing w:line="14" w:lineRule="auto"/>
    </w:pPr>
    <w:r>
      <w:rPr>
        <w:noProof/>
      </w:rPr>
      <mc:AlternateContent>
        <mc:Choice Requires="wps">
          <w:drawing>
            <wp:anchor distT="0" distB="0" distL="114300" distR="114300" simplePos="0" relativeHeight="502904768" behindDoc="1" locked="0" layoutInCell="1" allowOverlap="1" wp14:anchorId="7326D80C" wp14:editId="712F60BA">
              <wp:simplePos x="0" y="0"/>
              <wp:positionH relativeFrom="page">
                <wp:posOffset>3797300</wp:posOffset>
              </wp:positionH>
              <wp:positionV relativeFrom="page">
                <wp:posOffset>9733915</wp:posOffset>
              </wp:positionV>
              <wp:extent cx="177800" cy="16637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4" w14:textId="77777777" w:rsidR="00EF3DFB" w:rsidRDefault="00D27C17">
                          <w:pPr>
                            <w:pStyle w:val="BodyText"/>
                            <w:spacing w:before="11"/>
                            <w:ind w:left="40"/>
                          </w:pPr>
                          <w:r>
                            <w:fldChar w:fldCharType="begin"/>
                          </w:r>
                          <w: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C" id="_x0000_t202" coordsize="21600,21600" o:spt="202" path="m,l,21600r21600,l21600,xe">
              <v:stroke joinstyle="miter"/>
              <v:path gradientshapeok="t" o:connecttype="rect"/>
            </v:shapetype>
            <v:shape id="Text Box 7" o:spid="_x0000_s1048" type="#_x0000_t202" style="position:absolute;margin-left:299pt;margin-top:766.45pt;width:14pt;height:13.1pt;z-index:-4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" filled="f" stroked="f">
              <v:textbox inset="0,0,0,0">
                <w:txbxContent>
                  <w:p w14:paraId="7326D944" w14:textId="77777777" w:rsidR="00EF3DFB" w:rsidRDefault="00D27C17">
                    <w:pPr>
                      <w:pStyle w:val="BodyText"/>
                      <w:spacing w:before="11"/>
                      <w:ind w:left="40"/>
                    </w:pPr>
                    <w:r>
                      <w:fldChar w:fldCharType="begin"/>
                    </w:r>
                    <w:r>
                      <w:instrText xml:space="preserve"> PAGE </w:instrText>
                    </w:r>
                    <w:r>
                      <w:fldChar w:fldCharType="separate"/>
                    </w:r>
                    <w:r>
                      <w:t>70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7EE" w14:textId="647619F6" w:rsidR="00EF3DFB" w:rsidRDefault="00D27C17">
    <w:pPr>
      <w:pStyle w:val="BodyText"/>
      <w:spacing w:line="14" w:lineRule="auto"/>
    </w:pPr>
    <w:r>
      <w:rPr>
        <w:noProof/>
      </w:rPr>
      <mc:AlternateContent>
        <mc:Choice Requires="wps">
          <w:drawing>
            <wp:anchor distT="0" distB="0" distL="114300" distR="114300" simplePos="0" relativeHeight="502904792" behindDoc="1" locked="0" layoutInCell="1" allowOverlap="1" wp14:anchorId="7326D80D" wp14:editId="40E67728">
              <wp:simplePos x="0" y="0"/>
              <wp:positionH relativeFrom="page">
                <wp:posOffset>3797300</wp:posOffset>
              </wp:positionH>
              <wp:positionV relativeFrom="page">
                <wp:posOffset>9733915</wp:posOffset>
              </wp:positionV>
              <wp:extent cx="177800" cy="16637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D945" w14:textId="77777777" w:rsidR="00EF3DFB" w:rsidRDefault="00D27C17">
                          <w:pPr>
                            <w:pStyle w:val="BodyText"/>
                            <w:spacing w:before="11"/>
                            <w:ind w:left="40"/>
                          </w:pPr>
                          <w:r>
                            <w:fldChar w:fldCharType="begin"/>
                          </w:r>
                          <w:r>
                            <w:instrText xml:space="preserve"> PAGE </w:instrText>
                          </w:r>
                          <w:r>
                            <w:fldChar w:fldCharType="separate"/>
                          </w:r>
                          <w: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D80D" id="_x0000_t202" coordsize="21600,21600" o:spt="202" path="m,l,21600r21600,l21600,xe">
              <v:stroke joinstyle="miter"/>
              <v:path gradientshapeok="t" o:connecttype="rect"/>
            </v:shapetype>
            <v:shape id="Text Box 6" o:spid="_x0000_s1049" type="#_x0000_t202" style="position:absolute;margin-left:299pt;margin-top:766.45pt;width:14pt;height:13.1pt;z-index:-41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" filled="f" stroked="f">
              <v:textbox inset="0,0,0,0">
                <w:txbxContent>
                  <w:p w14:paraId="7326D945" w14:textId="77777777" w:rsidR="00EF3DFB" w:rsidRDefault="00D27C17">
                    <w:pPr>
                      <w:pStyle w:val="BodyText"/>
                      <w:spacing w:before="11"/>
                      <w:ind w:left="40"/>
                    </w:pPr>
                    <w:r>
                      <w:fldChar w:fldCharType="begin"/>
                    </w:r>
                    <w:r>
                      <w:instrText xml:space="preserve"> PAGE </w:instrText>
                    </w:r>
                    <w:r>
                      <w:fldChar w:fldCharType="separate"/>
                    </w:r>
                    <w:r>
                      <w:t>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D805" w14:textId="77777777" w:rsidR="00000000" w:rsidRDefault="00D27C17">
      <w:r>
        <w:separator/>
      </w:r>
    </w:p>
  </w:footnote>
  <w:footnote w:type="continuationSeparator" w:id="0">
    <w:p w14:paraId="7326D807" w14:textId="77777777" w:rsidR="00000000" w:rsidRDefault="00D2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ACB"/>
    <w:multiLevelType w:val="hybridMultilevel"/>
    <w:tmpl w:val="6152E2A8"/>
    <w:lvl w:ilvl="0" w:tplc="E384E612">
      <w:start w:val="1"/>
      <w:numFmt w:val="decimal"/>
      <w:lvlText w:val="%1."/>
      <w:lvlJc w:val="left"/>
      <w:pPr>
        <w:ind w:left="617" w:hanging="465"/>
        <w:jc w:val="left"/>
      </w:pPr>
      <w:rPr>
        <w:rFonts w:ascii="Times New Roman" w:eastAsia="Times New Roman" w:hAnsi="Times New Roman" w:cs="Times New Roman" w:hint="default"/>
        <w:spacing w:val="-1"/>
        <w:w w:val="100"/>
        <w:position w:val="10"/>
        <w:sz w:val="22"/>
        <w:szCs w:val="22"/>
      </w:rPr>
    </w:lvl>
    <w:lvl w:ilvl="1" w:tplc="F560214C">
      <w:numFmt w:val="bullet"/>
      <w:lvlText w:val="•"/>
      <w:lvlJc w:val="left"/>
      <w:pPr>
        <w:ind w:left="1656" w:hanging="465"/>
      </w:pPr>
      <w:rPr>
        <w:rFonts w:hint="default"/>
      </w:rPr>
    </w:lvl>
    <w:lvl w:ilvl="2" w:tplc="A7D080C6">
      <w:numFmt w:val="bullet"/>
      <w:lvlText w:val="•"/>
      <w:lvlJc w:val="left"/>
      <w:pPr>
        <w:ind w:left="2692" w:hanging="465"/>
      </w:pPr>
      <w:rPr>
        <w:rFonts w:hint="default"/>
      </w:rPr>
    </w:lvl>
    <w:lvl w:ilvl="3" w:tplc="8C0075EE">
      <w:numFmt w:val="bullet"/>
      <w:lvlText w:val="•"/>
      <w:lvlJc w:val="left"/>
      <w:pPr>
        <w:ind w:left="3728" w:hanging="465"/>
      </w:pPr>
      <w:rPr>
        <w:rFonts w:hint="default"/>
      </w:rPr>
    </w:lvl>
    <w:lvl w:ilvl="4" w:tplc="A07C6260">
      <w:numFmt w:val="bullet"/>
      <w:lvlText w:val="•"/>
      <w:lvlJc w:val="left"/>
      <w:pPr>
        <w:ind w:left="4764" w:hanging="465"/>
      </w:pPr>
      <w:rPr>
        <w:rFonts w:hint="default"/>
      </w:rPr>
    </w:lvl>
    <w:lvl w:ilvl="5" w:tplc="80CCADAE">
      <w:numFmt w:val="bullet"/>
      <w:lvlText w:val="•"/>
      <w:lvlJc w:val="left"/>
      <w:pPr>
        <w:ind w:left="5800" w:hanging="465"/>
      </w:pPr>
      <w:rPr>
        <w:rFonts w:hint="default"/>
      </w:rPr>
    </w:lvl>
    <w:lvl w:ilvl="6" w:tplc="57500CF2">
      <w:numFmt w:val="bullet"/>
      <w:lvlText w:val="•"/>
      <w:lvlJc w:val="left"/>
      <w:pPr>
        <w:ind w:left="6836" w:hanging="465"/>
      </w:pPr>
      <w:rPr>
        <w:rFonts w:hint="default"/>
      </w:rPr>
    </w:lvl>
    <w:lvl w:ilvl="7" w:tplc="13422856">
      <w:numFmt w:val="bullet"/>
      <w:lvlText w:val="•"/>
      <w:lvlJc w:val="left"/>
      <w:pPr>
        <w:ind w:left="7872" w:hanging="465"/>
      </w:pPr>
      <w:rPr>
        <w:rFonts w:hint="default"/>
      </w:rPr>
    </w:lvl>
    <w:lvl w:ilvl="8" w:tplc="F9BEA09C">
      <w:numFmt w:val="bullet"/>
      <w:lvlText w:val="•"/>
      <w:lvlJc w:val="left"/>
      <w:pPr>
        <w:ind w:left="8908" w:hanging="465"/>
      </w:pPr>
      <w:rPr>
        <w:rFonts w:hint="default"/>
      </w:rPr>
    </w:lvl>
  </w:abstractNum>
  <w:abstractNum w:abstractNumId="1" w15:restartNumberingAfterBreak="0">
    <w:nsid w:val="0B7A6A7F"/>
    <w:multiLevelType w:val="hybridMultilevel"/>
    <w:tmpl w:val="C54689CC"/>
    <w:lvl w:ilvl="0" w:tplc="C0C86D96">
      <w:start w:val="1"/>
      <w:numFmt w:val="decimal"/>
      <w:lvlText w:val="(%1)"/>
      <w:lvlJc w:val="left"/>
      <w:pPr>
        <w:ind w:left="550" w:hanging="360"/>
        <w:jc w:val="left"/>
      </w:pPr>
      <w:rPr>
        <w:rFonts w:ascii="Times New Roman" w:eastAsia="Times New Roman" w:hAnsi="Times New Roman" w:cs="Times New Roman" w:hint="default"/>
        <w:spacing w:val="-24"/>
        <w:w w:val="100"/>
        <w:sz w:val="20"/>
        <w:szCs w:val="20"/>
      </w:rPr>
    </w:lvl>
    <w:lvl w:ilvl="1" w:tplc="6D3E49CC">
      <w:numFmt w:val="bullet"/>
      <w:lvlText w:val="•"/>
      <w:lvlJc w:val="left"/>
      <w:pPr>
        <w:ind w:left="910" w:hanging="360"/>
      </w:pPr>
      <w:rPr>
        <w:rFonts w:ascii="Times New Roman" w:eastAsia="Times New Roman" w:hAnsi="Times New Roman" w:cs="Times New Roman" w:hint="default"/>
        <w:spacing w:val="-1"/>
        <w:w w:val="100"/>
        <w:sz w:val="20"/>
        <w:szCs w:val="20"/>
      </w:rPr>
    </w:lvl>
    <w:lvl w:ilvl="2" w:tplc="785E0CE6">
      <w:numFmt w:val="bullet"/>
      <w:lvlText w:val="•"/>
      <w:lvlJc w:val="left"/>
      <w:pPr>
        <w:ind w:left="2037" w:hanging="360"/>
      </w:pPr>
      <w:rPr>
        <w:rFonts w:hint="default"/>
      </w:rPr>
    </w:lvl>
    <w:lvl w:ilvl="3" w:tplc="470C1A6C">
      <w:numFmt w:val="bullet"/>
      <w:lvlText w:val="•"/>
      <w:lvlJc w:val="left"/>
      <w:pPr>
        <w:ind w:left="3155" w:hanging="360"/>
      </w:pPr>
      <w:rPr>
        <w:rFonts w:hint="default"/>
      </w:rPr>
    </w:lvl>
    <w:lvl w:ilvl="4" w:tplc="EB4EA600">
      <w:numFmt w:val="bullet"/>
      <w:lvlText w:val="•"/>
      <w:lvlJc w:val="left"/>
      <w:pPr>
        <w:ind w:left="4273" w:hanging="360"/>
      </w:pPr>
      <w:rPr>
        <w:rFonts w:hint="default"/>
      </w:rPr>
    </w:lvl>
    <w:lvl w:ilvl="5" w:tplc="C13495CC">
      <w:numFmt w:val="bullet"/>
      <w:lvlText w:val="•"/>
      <w:lvlJc w:val="left"/>
      <w:pPr>
        <w:ind w:left="5391" w:hanging="360"/>
      </w:pPr>
      <w:rPr>
        <w:rFonts w:hint="default"/>
      </w:rPr>
    </w:lvl>
    <w:lvl w:ilvl="6" w:tplc="5540080E">
      <w:numFmt w:val="bullet"/>
      <w:lvlText w:val="•"/>
      <w:lvlJc w:val="left"/>
      <w:pPr>
        <w:ind w:left="6508" w:hanging="360"/>
      </w:pPr>
      <w:rPr>
        <w:rFonts w:hint="default"/>
      </w:rPr>
    </w:lvl>
    <w:lvl w:ilvl="7" w:tplc="3B767B5C">
      <w:numFmt w:val="bullet"/>
      <w:lvlText w:val="•"/>
      <w:lvlJc w:val="left"/>
      <w:pPr>
        <w:ind w:left="7626" w:hanging="360"/>
      </w:pPr>
      <w:rPr>
        <w:rFonts w:hint="default"/>
      </w:rPr>
    </w:lvl>
    <w:lvl w:ilvl="8" w:tplc="DD1AE89E">
      <w:numFmt w:val="bullet"/>
      <w:lvlText w:val="•"/>
      <w:lvlJc w:val="left"/>
      <w:pPr>
        <w:ind w:left="8744" w:hanging="360"/>
      </w:pPr>
      <w:rPr>
        <w:rFonts w:hint="default"/>
      </w:rPr>
    </w:lvl>
  </w:abstractNum>
  <w:abstractNum w:abstractNumId="2" w15:restartNumberingAfterBreak="0">
    <w:nsid w:val="121031EE"/>
    <w:multiLevelType w:val="hybridMultilevel"/>
    <w:tmpl w:val="79505AFE"/>
    <w:lvl w:ilvl="0" w:tplc="1B5AC4F4">
      <w:start w:val="1"/>
      <w:numFmt w:val="lowerLetter"/>
      <w:lvlText w:val="(%1)"/>
      <w:lvlJc w:val="left"/>
      <w:pPr>
        <w:ind w:left="1022" w:hanging="870"/>
        <w:jc w:val="left"/>
      </w:pPr>
      <w:rPr>
        <w:rFonts w:ascii="Times New Roman" w:eastAsia="Times New Roman" w:hAnsi="Times New Roman" w:cs="Times New Roman" w:hint="default"/>
        <w:spacing w:val="-1"/>
        <w:w w:val="100"/>
        <w:position w:val="11"/>
        <w:sz w:val="22"/>
        <w:szCs w:val="22"/>
      </w:rPr>
    </w:lvl>
    <w:lvl w:ilvl="1" w:tplc="60169FA4">
      <w:numFmt w:val="bullet"/>
      <w:lvlText w:val="•"/>
      <w:lvlJc w:val="left"/>
      <w:pPr>
        <w:ind w:left="2016" w:hanging="870"/>
      </w:pPr>
      <w:rPr>
        <w:rFonts w:hint="default"/>
      </w:rPr>
    </w:lvl>
    <w:lvl w:ilvl="2" w:tplc="CF301554">
      <w:numFmt w:val="bullet"/>
      <w:lvlText w:val="•"/>
      <w:lvlJc w:val="left"/>
      <w:pPr>
        <w:ind w:left="3012" w:hanging="870"/>
      </w:pPr>
      <w:rPr>
        <w:rFonts w:hint="default"/>
      </w:rPr>
    </w:lvl>
    <w:lvl w:ilvl="3" w:tplc="90546874">
      <w:numFmt w:val="bullet"/>
      <w:lvlText w:val="•"/>
      <w:lvlJc w:val="left"/>
      <w:pPr>
        <w:ind w:left="4008" w:hanging="870"/>
      </w:pPr>
      <w:rPr>
        <w:rFonts w:hint="default"/>
      </w:rPr>
    </w:lvl>
    <w:lvl w:ilvl="4" w:tplc="B1882B4A">
      <w:numFmt w:val="bullet"/>
      <w:lvlText w:val="•"/>
      <w:lvlJc w:val="left"/>
      <w:pPr>
        <w:ind w:left="5004" w:hanging="870"/>
      </w:pPr>
      <w:rPr>
        <w:rFonts w:hint="default"/>
      </w:rPr>
    </w:lvl>
    <w:lvl w:ilvl="5" w:tplc="155CB6BA">
      <w:numFmt w:val="bullet"/>
      <w:lvlText w:val="•"/>
      <w:lvlJc w:val="left"/>
      <w:pPr>
        <w:ind w:left="6000" w:hanging="870"/>
      </w:pPr>
      <w:rPr>
        <w:rFonts w:hint="default"/>
      </w:rPr>
    </w:lvl>
    <w:lvl w:ilvl="6" w:tplc="A62219D4">
      <w:numFmt w:val="bullet"/>
      <w:lvlText w:val="•"/>
      <w:lvlJc w:val="left"/>
      <w:pPr>
        <w:ind w:left="6996" w:hanging="870"/>
      </w:pPr>
      <w:rPr>
        <w:rFonts w:hint="default"/>
      </w:rPr>
    </w:lvl>
    <w:lvl w:ilvl="7" w:tplc="2226932C">
      <w:numFmt w:val="bullet"/>
      <w:lvlText w:val="•"/>
      <w:lvlJc w:val="left"/>
      <w:pPr>
        <w:ind w:left="7992" w:hanging="870"/>
      </w:pPr>
      <w:rPr>
        <w:rFonts w:hint="default"/>
      </w:rPr>
    </w:lvl>
    <w:lvl w:ilvl="8" w:tplc="7D02174C">
      <w:numFmt w:val="bullet"/>
      <w:lvlText w:val="•"/>
      <w:lvlJc w:val="left"/>
      <w:pPr>
        <w:ind w:left="8988" w:hanging="870"/>
      </w:pPr>
      <w:rPr>
        <w:rFonts w:hint="default"/>
      </w:rPr>
    </w:lvl>
  </w:abstractNum>
  <w:abstractNum w:abstractNumId="3" w15:restartNumberingAfterBreak="0">
    <w:nsid w:val="12381213"/>
    <w:multiLevelType w:val="hybridMultilevel"/>
    <w:tmpl w:val="180E3C5A"/>
    <w:lvl w:ilvl="0" w:tplc="B11A9EDC">
      <w:start w:val="1"/>
      <w:numFmt w:val="lowerLetter"/>
      <w:lvlText w:val="(%1)"/>
      <w:lvlJc w:val="left"/>
      <w:pPr>
        <w:ind w:left="1022" w:hanging="870"/>
        <w:jc w:val="left"/>
      </w:pPr>
      <w:rPr>
        <w:rFonts w:ascii="Times New Roman" w:eastAsia="Times New Roman" w:hAnsi="Times New Roman" w:cs="Times New Roman" w:hint="default"/>
        <w:spacing w:val="-20"/>
        <w:w w:val="100"/>
        <w:sz w:val="22"/>
        <w:szCs w:val="22"/>
      </w:rPr>
    </w:lvl>
    <w:lvl w:ilvl="1" w:tplc="03D093CA">
      <w:numFmt w:val="bullet"/>
      <w:lvlText w:val="•"/>
      <w:lvlJc w:val="left"/>
      <w:pPr>
        <w:ind w:left="2016" w:hanging="870"/>
      </w:pPr>
      <w:rPr>
        <w:rFonts w:hint="default"/>
      </w:rPr>
    </w:lvl>
    <w:lvl w:ilvl="2" w:tplc="41469964">
      <w:numFmt w:val="bullet"/>
      <w:lvlText w:val="•"/>
      <w:lvlJc w:val="left"/>
      <w:pPr>
        <w:ind w:left="3012" w:hanging="870"/>
      </w:pPr>
      <w:rPr>
        <w:rFonts w:hint="default"/>
      </w:rPr>
    </w:lvl>
    <w:lvl w:ilvl="3" w:tplc="05C46C4E">
      <w:numFmt w:val="bullet"/>
      <w:lvlText w:val="•"/>
      <w:lvlJc w:val="left"/>
      <w:pPr>
        <w:ind w:left="4008" w:hanging="870"/>
      </w:pPr>
      <w:rPr>
        <w:rFonts w:hint="default"/>
      </w:rPr>
    </w:lvl>
    <w:lvl w:ilvl="4" w:tplc="666CAE54">
      <w:numFmt w:val="bullet"/>
      <w:lvlText w:val="•"/>
      <w:lvlJc w:val="left"/>
      <w:pPr>
        <w:ind w:left="5004" w:hanging="870"/>
      </w:pPr>
      <w:rPr>
        <w:rFonts w:hint="default"/>
      </w:rPr>
    </w:lvl>
    <w:lvl w:ilvl="5" w:tplc="806085C6">
      <w:numFmt w:val="bullet"/>
      <w:lvlText w:val="•"/>
      <w:lvlJc w:val="left"/>
      <w:pPr>
        <w:ind w:left="6000" w:hanging="870"/>
      </w:pPr>
      <w:rPr>
        <w:rFonts w:hint="default"/>
      </w:rPr>
    </w:lvl>
    <w:lvl w:ilvl="6" w:tplc="5EAA12E2">
      <w:numFmt w:val="bullet"/>
      <w:lvlText w:val="•"/>
      <w:lvlJc w:val="left"/>
      <w:pPr>
        <w:ind w:left="6996" w:hanging="870"/>
      </w:pPr>
      <w:rPr>
        <w:rFonts w:hint="default"/>
      </w:rPr>
    </w:lvl>
    <w:lvl w:ilvl="7" w:tplc="EF3A139A">
      <w:numFmt w:val="bullet"/>
      <w:lvlText w:val="•"/>
      <w:lvlJc w:val="left"/>
      <w:pPr>
        <w:ind w:left="7992" w:hanging="870"/>
      </w:pPr>
      <w:rPr>
        <w:rFonts w:hint="default"/>
      </w:rPr>
    </w:lvl>
    <w:lvl w:ilvl="8" w:tplc="5B845EAE">
      <w:numFmt w:val="bullet"/>
      <w:lvlText w:val="•"/>
      <w:lvlJc w:val="left"/>
      <w:pPr>
        <w:ind w:left="8988" w:hanging="870"/>
      </w:pPr>
      <w:rPr>
        <w:rFonts w:hint="default"/>
      </w:rPr>
    </w:lvl>
  </w:abstractNum>
  <w:abstractNum w:abstractNumId="4" w15:restartNumberingAfterBreak="0">
    <w:nsid w:val="14332CD8"/>
    <w:multiLevelType w:val="hybridMultilevel"/>
    <w:tmpl w:val="23920BA2"/>
    <w:lvl w:ilvl="0" w:tplc="C3180BBA">
      <w:numFmt w:val="bullet"/>
      <w:lvlText w:val="•"/>
      <w:lvlJc w:val="left"/>
      <w:pPr>
        <w:ind w:left="910" w:hanging="360"/>
      </w:pPr>
      <w:rPr>
        <w:rFonts w:ascii="Times New Roman" w:eastAsia="Times New Roman" w:hAnsi="Times New Roman" w:cs="Times New Roman" w:hint="default"/>
        <w:spacing w:val="-1"/>
        <w:w w:val="100"/>
        <w:sz w:val="20"/>
        <w:szCs w:val="20"/>
      </w:rPr>
    </w:lvl>
    <w:lvl w:ilvl="1" w:tplc="20B8A8EA">
      <w:numFmt w:val="bullet"/>
      <w:lvlText w:val="•"/>
      <w:lvlJc w:val="left"/>
      <w:pPr>
        <w:ind w:left="1926" w:hanging="360"/>
      </w:pPr>
      <w:rPr>
        <w:rFonts w:hint="default"/>
      </w:rPr>
    </w:lvl>
    <w:lvl w:ilvl="2" w:tplc="AA52A0BC">
      <w:numFmt w:val="bullet"/>
      <w:lvlText w:val="•"/>
      <w:lvlJc w:val="left"/>
      <w:pPr>
        <w:ind w:left="2932" w:hanging="360"/>
      </w:pPr>
      <w:rPr>
        <w:rFonts w:hint="default"/>
      </w:rPr>
    </w:lvl>
    <w:lvl w:ilvl="3" w:tplc="BAB2F270">
      <w:numFmt w:val="bullet"/>
      <w:lvlText w:val="•"/>
      <w:lvlJc w:val="left"/>
      <w:pPr>
        <w:ind w:left="3938" w:hanging="360"/>
      </w:pPr>
      <w:rPr>
        <w:rFonts w:hint="default"/>
      </w:rPr>
    </w:lvl>
    <w:lvl w:ilvl="4" w:tplc="49B88364">
      <w:numFmt w:val="bullet"/>
      <w:lvlText w:val="•"/>
      <w:lvlJc w:val="left"/>
      <w:pPr>
        <w:ind w:left="4944" w:hanging="360"/>
      </w:pPr>
      <w:rPr>
        <w:rFonts w:hint="default"/>
      </w:rPr>
    </w:lvl>
    <w:lvl w:ilvl="5" w:tplc="01F8C190">
      <w:numFmt w:val="bullet"/>
      <w:lvlText w:val="•"/>
      <w:lvlJc w:val="left"/>
      <w:pPr>
        <w:ind w:left="5950" w:hanging="360"/>
      </w:pPr>
      <w:rPr>
        <w:rFonts w:hint="default"/>
      </w:rPr>
    </w:lvl>
    <w:lvl w:ilvl="6" w:tplc="4FDC0228">
      <w:numFmt w:val="bullet"/>
      <w:lvlText w:val="•"/>
      <w:lvlJc w:val="left"/>
      <w:pPr>
        <w:ind w:left="6956" w:hanging="360"/>
      </w:pPr>
      <w:rPr>
        <w:rFonts w:hint="default"/>
      </w:rPr>
    </w:lvl>
    <w:lvl w:ilvl="7" w:tplc="24C8951E">
      <w:numFmt w:val="bullet"/>
      <w:lvlText w:val="•"/>
      <w:lvlJc w:val="left"/>
      <w:pPr>
        <w:ind w:left="7962" w:hanging="360"/>
      </w:pPr>
      <w:rPr>
        <w:rFonts w:hint="default"/>
      </w:rPr>
    </w:lvl>
    <w:lvl w:ilvl="8" w:tplc="06D69B8C">
      <w:numFmt w:val="bullet"/>
      <w:lvlText w:val="•"/>
      <w:lvlJc w:val="left"/>
      <w:pPr>
        <w:ind w:left="8968" w:hanging="360"/>
      </w:pPr>
      <w:rPr>
        <w:rFonts w:hint="default"/>
      </w:rPr>
    </w:lvl>
  </w:abstractNum>
  <w:abstractNum w:abstractNumId="5" w15:restartNumberingAfterBreak="0">
    <w:nsid w:val="19E47E2F"/>
    <w:multiLevelType w:val="hybridMultilevel"/>
    <w:tmpl w:val="2BC2093A"/>
    <w:lvl w:ilvl="0" w:tplc="57AA8620">
      <w:start w:val="1"/>
      <w:numFmt w:val="lowerLetter"/>
      <w:lvlText w:val="(%1)"/>
      <w:lvlJc w:val="left"/>
      <w:pPr>
        <w:ind w:left="1022" w:hanging="870"/>
        <w:jc w:val="left"/>
      </w:pPr>
      <w:rPr>
        <w:rFonts w:ascii="Times New Roman" w:eastAsia="Times New Roman" w:hAnsi="Times New Roman" w:cs="Times New Roman" w:hint="default"/>
        <w:spacing w:val="-1"/>
        <w:w w:val="100"/>
        <w:position w:val="5"/>
        <w:sz w:val="22"/>
        <w:szCs w:val="22"/>
      </w:rPr>
    </w:lvl>
    <w:lvl w:ilvl="1" w:tplc="1296733E">
      <w:numFmt w:val="bullet"/>
      <w:lvlText w:val="•"/>
      <w:lvlJc w:val="left"/>
      <w:pPr>
        <w:ind w:left="2016" w:hanging="870"/>
      </w:pPr>
      <w:rPr>
        <w:rFonts w:hint="default"/>
      </w:rPr>
    </w:lvl>
    <w:lvl w:ilvl="2" w:tplc="91F03A1C">
      <w:numFmt w:val="bullet"/>
      <w:lvlText w:val="•"/>
      <w:lvlJc w:val="left"/>
      <w:pPr>
        <w:ind w:left="3012" w:hanging="870"/>
      </w:pPr>
      <w:rPr>
        <w:rFonts w:hint="default"/>
      </w:rPr>
    </w:lvl>
    <w:lvl w:ilvl="3" w:tplc="C074A13C">
      <w:numFmt w:val="bullet"/>
      <w:lvlText w:val="•"/>
      <w:lvlJc w:val="left"/>
      <w:pPr>
        <w:ind w:left="4008" w:hanging="870"/>
      </w:pPr>
      <w:rPr>
        <w:rFonts w:hint="default"/>
      </w:rPr>
    </w:lvl>
    <w:lvl w:ilvl="4" w:tplc="0F4067F2">
      <w:numFmt w:val="bullet"/>
      <w:lvlText w:val="•"/>
      <w:lvlJc w:val="left"/>
      <w:pPr>
        <w:ind w:left="5004" w:hanging="870"/>
      </w:pPr>
      <w:rPr>
        <w:rFonts w:hint="default"/>
      </w:rPr>
    </w:lvl>
    <w:lvl w:ilvl="5" w:tplc="0B82BC0A">
      <w:numFmt w:val="bullet"/>
      <w:lvlText w:val="•"/>
      <w:lvlJc w:val="left"/>
      <w:pPr>
        <w:ind w:left="6000" w:hanging="870"/>
      </w:pPr>
      <w:rPr>
        <w:rFonts w:hint="default"/>
      </w:rPr>
    </w:lvl>
    <w:lvl w:ilvl="6" w:tplc="3AECD0BE">
      <w:numFmt w:val="bullet"/>
      <w:lvlText w:val="•"/>
      <w:lvlJc w:val="left"/>
      <w:pPr>
        <w:ind w:left="6996" w:hanging="870"/>
      </w:pPr>
      <w:rPr>
        <w:rFonts w:hint="default"/>
      </w:rPr>
    </w:lvl>
    <w:lvl w:ilvl="7" w:tplc="B1300B46">
      <w:numFmt w:val="bullet"/>
      <w:lvlText w:val="•"/>
      <w:lvlJc w:val="left"/>
      <w:pPr>
        <w:ind w:left="7992" w:hanging="870"/>
      </w:pPr>
      <w:rPr>
        <w:rFonts w:hint="default"/>
      </w:rPr>
    </w:lvl>
    <w:lvl w:ilvl="8" w:tplc="FFA06356">
      <w:numFmt w:val="bullet"/>
      <w:lvlText w:val="•"/>
      <w:lvlJc w:val="left"/>
      <w:pPr>
        <w:ind w:left="8988" w:hanging="870"/>
      </w:pPr>
      <w:rPr>
        <w:rFonts w:hint="default"/>
      </w:rPr>
    </w:lvl>
  </w:abstractNum>
  <w:abstractNum w:abstractNumId="6" w15:restartNumberingAfterBreak="0">
    <w:nsid w:val="1BC350DB"/>
    <w:multiLevelType w:val="multilevel"/>
    <w:tmpl w:val="5D92260A"/>
    <w:lvl w:ilvl="0">
      <w:start w:val="21"/>
      <w:numFmt w:val="upperLetter"/>
      <w:lvlText w:val="%1"/>
      <w:lvlJc w:val="left"/>
      <w:pPr>
        <w:ind w:left="1467" w:hanging="648"/>
        <w:jc w:val="left"/>
      </w:pPr>
      <w:rPr>
        <w:rFonts w:hint="default"/>
      </w:rPr>
    </w:lvl>
    <w:lvl w:ilvl="1">
      <w:start w:val="19"/>
      <w:numFmt w:val="upperLetter"/>
      <w:lvlText w:val="%1.%2"/>
      <w:lvlJc w:val="left"/>
      <w:pPr>
        <w:ind w:left="1467" w:hanging="648"/>
        <w:jc w:val="left"/>
      </w:pPr>
      <w:rPr>
        <w:rFonts w:hint="default"/>
      </w:rPr>
    </w:lvl>
    <w:lvl w:ilvl="2">
      <w:start w:val="3"/>
      <w:numFmt w:val="upperLetter"/>
      <w:lvlText w:val="%1.%2.%3."/>
      <w:lvlJc w:val="left"/>
      <w:pPr>
        <w:ind w:left="1467" w:hanging="648"/>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820" w:hanging="351"/>
        <w:jc w:val="left"/>
      </w:pPr>
      <w:rPr>
        <w:rFonts w:ascii="Times New Roman" w:eastAsia="Times New Roman" w:hAnsi="Times New Roman" w:cs="Times New Roman" w:hint="default"/>
        <w:spacing w:val="-17"/>
        <w:w w:val="100"/>
        <w:sz w:val="22"/>
        <w:szCs w:val="22"/>
      </w:rPr>
    </w:lvl>
    <w:lvl w:ilvl="4">
      <w:numFmt w:val="bullet"/>
      <w:lvlText w:val="•"/>
      <w:lvlJc w:val="left"/>
      <w:pPr>
        <w:ind w:left="4633" w:hanging="351"/>
      </w:pPr>
      <w:rPr>
        <w:rFonts w:hint="default"/>
      </w:rPr>
    </w:lvl>
    <w:lvl w:ilvl="5">
      <w:numFmt w:val="bullet"/>
      <w:lvlText w:val="•"/>
      <w:lvlJc w:val="left"/>
      <w:pPr>
        <w:ind w:left="5691" w:hanging="351"/>
      </w:pPr>
      <w:rPr>
        <w:rFonts w:hint="default"/>
      </w:rPr>
    </w:lvl>
    <w:lvl w:ilvl="6">
      <w:numFmt w:val="bullet"/>
      <w:lvlText w:val="•"/>
      <w:lvlJc w:val="left"/>
      <w:pPr>
        <w:ind w:left="6748" w:hanging="351"/>
      </w:pPr>
      <w:rPr>
        <w:rFonts w:hint="default"/>
      </w:rPr>
    </w:lvl>
    <w:lvl w:ilvl="7">
      <w:numFmt w:val="bullet"/>
      <w:lvlText w:val="•"/>
      <w:lvlJc w:val="left"/>
      <w:pPr>
        <w:ind w:left="7806" w:hanging="351"/>
      </w:pPr>
      <w:rPr>
        <w:rFonts w:hint="default"/>
      </w:rPr>
    </w:lvl>
    <w:lvl w:ilvl="8">
      <w:numFmt w:val="bullet"/>
      <w:lvlText w:val="•"/>
      <w:lvlJc w:val="left"/>
      <w:pPr>
        <w:ind w:left="8864" w:hanging="351"/>
      </w:pPr>
      <w:rPr>
        <w:rFonts w:hint="default"/>
      </w:rPr>
    </w:lvl>
  </w:abstractNum>
  <w:abstractNum w:abstractNumId="7" w15:restartNumberingAfterBreak="0">
    <w:nsid w:val="1EDF12F6"/>
    <w:multiLevelType w:val="hybridMultilevel"/>
    <w:tmpl w:val="2E40BA92"/>
    <w:lvl w:ilvl="0" w:tplc="F56CF154">
      <w:start w:val="1"/>
      <w:numFmt w:val="lowerLetter"/>
      <w:lvlText w:val="(%1)"/>
      <w:lvlJc w:val="left"/>
      <w:pPr>
        <w:ind w:left="730" w:hanging="540"/>
        <w:jc w:val="left"/>
      </w:pPr>
      <w:rPr>
        <w:rFonts w:ascii="Times New Roman" w:eastAsia="Times New Roman" w:hAnsi="Times New Roman" w:cs="Times New Roman" w:hint="default"/>
        <w:spacing w:val="-1"/>
        <w:w w:val="100"/>
        <w:sz w:val="16"/>
        <w:szCs w:val="16"/>
      </w:rPr>
    </w:lvl>
    <w:lvl w:ilvl="1" w:tplc="DF50A352">
      <w:start w:val="1"/>
      <w:numFmt w:val="decimal"/>
      <w:lvlText w:val="(%2)"/>
      <w:lvlJc w:val="left"/>
      <w:pPr>
        <w:ind w:left="910" w:hanging="360"/>
        <w:jc w:val="left"/>
      </w:pPr>
      <w:rPr>
        <w:rFonts w:ascii="Times New Roman" w:eastAsia="Times New Roman" w:hAnsi="Times New Roman" w:cs="Times New Roman" w:hint="default"/>
        <w:spacing w:val="-10"/>
        <w:w w:val="100"/>
        <w:sz w:val="16"/>
        <w:szCs w:val="16"/>
      </w:rPr>
    </w:lvl>
    <w:lvl w:ilvl="2" w:tplc="EC901070">
      <w:numFmt w:val="bullet"/>
      <w:lvlText w:val="•"/>
      <w:lvlJc w:val="left"/>
      <w:pPr>
        <w:ind w:left="2037" w:hanging="360"/>
      </w:pPr>
      <w:rPr>
        <w:rFonts w:hint="default"/>
      </w:rPr>
    </w:lvl>
    <w:lvl w:ilvl="3" w:tplc="EF02E414">
      <w:numFmt w:val="bullet"/>
      <w:lvlText w:val="•"/>
      <w:lvlJc w:val="left"/>
      <w:pPr>
        <w:ind w:left="3155" w:hanging="360"/>
      </w:pPr>
      <w:rPr>
        <w:rFonts w:hint="default"/>
      </w:rPr>
    </w:lvl>
    <w:lvl w:ilvl="4" w:tplc="7564F75E">
      <w:numFmt w:val="bullet"/>
      <w:lvlText w:val="•"/>
      <w:lvlJc w:val="left"/>
      <w:pPr>
        <w:ind w:left="4273" w:hanging="360"/>
      </w:pPr>
      <w:rPr>
        <w:rFonts w:hint="default"/>
      </w:rPr>
    </w:lvl>
    <w:lvl w:ilvl="5" w:tplc="66F43128">
      <w:numFmt w:val="bullet"/>
      <w:lvlText w:val="•"/>
      <w:lvlJc w:val="left"/>
      <w:pPr>
        <w:ind w:left="5391" w:hanging="360"/>
      </w:pPr>
      <w:rPr>
        <w:rFonts w:hint="default"/>
      </w:rPr>
    </w:lvl>
    <w:lvl w:ilvl="6" w:tplc="38A0DADA">
      <w:numFmt w:val="bullet"/>
      <w:lvlText w:val="•"/>
      <w:lvlJc w:val="left"/>
      <w:pPr>
        <w:ind w:left="6508" w:hanging="360"/>
      </w:pPr>
      <w:rPr>
        <w:rFonts w:hint="default"/>
      </w:rPr>
    </w:lvl>
    <w:lvl w:ilvl="7" w:tplc="8DE4E4FE">
      <w:numFmt w:val="bullet"/>
      <w:lvlText w:val="•"/>
      <w:lvlJc w:val="left"/>
      <w:pPr>
        <w:ind w:left="7626" w:hanging="360"/>
      </w:pPr>
      <w:rPr>
        <w:rFonts w:hint="default"/>
      </w:rPr>
    </w:lvl>
    <w:lvl w:ilvl="8" w:tplc="8BF81478">
      <w:numFmt w:val="bullet"/>
      <w:lvlText w:val="•"/>
      <w:lvlJc w:val="left"/>
      <w:pPr>
        <w:ind w:left="8744" w:hanging="360"/>
      </w:pPr>
      <w:rPr>
        <w:rFonts w:hint="default"/>
      </w:rPr>
    </w:lvl>
  </w:abstractNum>
  <w:abstractNum w:abstractNumId="8" w15:restartNumberingAfterBreak="0">
    <w:nsid w:val="27912FBE"/>
    <w:multiLevelType w:val="hybridMultilevel"/>
    <w:tmpl w:val="8CC01162"/>
    <w:lvl w:ilvl="0" w:tplc="45F652E6">
      <w:start w:val="1"/>
      <w:numFmt w:val="decimal"/>
      <w:lvlText w:val="(%1)"/>
      <w:lvlJc w:val="left"/>
      <w:pPr>
        <w:ind w:left="550" w:hanging="270"/>
        <w:jc w:val="left"/>
      </w:pPr>
      <w:rPr>
        <w:rFonts w:ascii="Times New Roman" w:eastAsia="Times New Roman" w:hAnsi="Times New Roman" w:cs="Times New Roman" w:hint="default"/>
        <w:spacing w:val="-6"/>
        <w:w w:val="100"/>
        <w:sz w:val="16"/>
        <w:szCs w:val="16"/>
      </w:rPr>
    </w:lvl>
    <w:lvl w:ilvl="1" w:tplc="B608C01E">
      <w:start w:val="1"/>
      <w:numFmt w:val="decimal"/>
      <w:lvlText w:val="(%2)"/>
      <w:lvlJc w:val="left"/>
      <w:pPr>
        <w:ind w:left="910" w:hanging="270"/>
        <w:jc w:val="left"/>
      </w:pPr>
      <w:rPr>
        <w:rFonts w:ascii="Times New Roman" w:eastAsia="Times New Roman" w:hAnsi="Times New Roman" w:cs="Times New Roman" w:hint="default"/>
        <w:spacing w:val="-1"/>
        <w:w w:val="100"/>
        <w:sz w:val="16"/>
        <w:szCs w:val="16"/>
      </w:rPr>
    </w:lvl>
    <w:lvl w:ilvl="2" w:tplc="D3783F42">
      <w:numFmt w:val="bullet"/>
      <w:lvlText w:val="•"/>
      <w:lvlJc w:val="left"/>
      <w:pPr>
        <w:ind w:left="2037" w:hanging="270"/>
      </w:pPr>
      <w:rPr>
        <w:rFonts w:hint="default"/>
      </w:rPr>
    </w:lvl>
    <w:lvl w:ilvl="3" w:tplc="28D4A0D0">
      <w:numFmt w:val="bullet"/>
      <w:lvlText w:val="•"/>
      <w:lvlJc w:val="left"/>
      <w:pPr>
        <w:ind w:left="3155" w:hanging="270"/>
      </w:pPr>
      <w:rPr>
        <w:rFonts w:hint="default"/>
      </w:rPr>
    </w:lvl>
    <w:lvl w:ilvl="4" w:tplc="D7A8F4AA">
      <w:numFmt w:val="bullet"/>
      <w:lvlText w:val="•"/>
      <w:lvlJc w:val="left"/>
      <w:pPr>
        <w:ind w:left="4273" w:hanging="270"/>
      </w:pPr>
      <w:rPr>
        <w:rFonts w:hint="default"/>
      </w:rPr>
    </w:lvl>
    <w:lvl w:ilvl="5" w:tplc="C07AB108">
      <w:numFmt w:val="bullet"/>
      <w:lvlText w:val="•"/>
      <w:lvlJc w:val="left"/>
      <w:pPr>
        <w:ind w:left="5391" w:hanging="270"/>
      </w:pPr>
      <w:rPr>
        <w:rFonts w:hint="default"/>
      </w:rPr>
    </w:lvl>
    <w:lvl w:ilvl="6" w:tplc="2AC42E60">
      <w:numFmt w:val="bullet"/>
      <w:lvlText w:val="•"/>
      <w:lvlJc w:val="left"/>
      <w:pPr>
        <w:ind w:left="6508" w:hanging="270"/>
      </w:pPr>
      <w:rPr>
        <w:rFonts w:hint="default"/>
      </w:rPr>
    </w:lvl>
    <w:lvl w:ilvl="7" w:tplc="8ABE34E6">
      <w:numFmt w:val="bullet"/>
      <w:lvlText w:val="•"/>
      <w:lvlJc w:val="left"/>
      <w:pPr>
        <w:ind w:left="7626" w:hanging="270"/>
      </w:pPr>
      <w:rPr>
        <w:rFonts w:hint="default"/>
      </w:rPr>
    </w:lvl>
    <w:lvl w:ilvl="8" w:tplc="AEBE46BA">
      <w:numFmt w:val="bullet"/>
      <w:lvlText w:val="•"/>
      <w:lvlJc w:val="left"/>
      <w:pPr>
        <w:ind w:left="8744" w:hanging="270"/>
      </w:pPr>
      <w:rPr>
        <w:rFonts w:hint="default"/>
      </w:rPr>
    </w:lvl>
  </w:abstractNum>
  <w:abstractNum w:abstractNumId="9" w15:restartNumberingAfterBreak="0">
    <w:nsid w:val="29B4255B"/>
    <w:multiLevelType w:val="hybridMultilevel"/>
    <w:tmpl w:val="A6940F84"/>
    <w:lvl w:ilvl="0" w:tplc="8AF2F432">
      <w:start w:val="1"/>
      <w:numFmt w:val="lowerLetter"/>
      <w:lvlText w:val="(%1)"/>
      <w:lvlJc w:val="left"/>
      <w:pPr>
        <w:ind w:left="1022" w:hanging="870"/>
        <w:jc w:val="left"/>
      </w:pPr>
      <w:rPr>
        <w:rFonts w:ascii="Times New Roman" w:eastAsia="Times New Roman" w:hAnsi="Times New Roman" w:cs="Times New Roman" w:hint="default"/>
        <w:spacing w:val="-20"/>
        <w:w w:val="100"/>
        <w:position w:val="10"/>
        <w:sz w:val="22"/>
        <w:szCs w:val="22"/>
      </w:rPr>
    </w:lvl>
    <w:lvl w:ilvl="1" w:tplc="C6041A5E">
      <w:numFmt w:val="bullet"/>
      <w:lvlText w:val="•"/>
      <w:lvlJc w:val="left"/>
      <w:pPr>
        <w:ind w:left="2016" w:hanging="870"/>
      </w:pPr>
      <w:rPr>
        <w:rFonts w:hint="default"/>
      </w:rPr>
    </w:lvl>
    <w:lvl w:ilvl="2" w:tplc="D0E459F6">
      <w:numFmt w:val="bullet"/>
      <w:lvlText w:val="•"/>
      <w:lvlJc w:val="left"/>
      <w:pPr>
        <w:ind w:left="3012" w:hanging="870"/>
      </w:pPr>
      <w:rPr>
        <w:rFonts w:hint="default"/>
      </w:rPr>
    </w:lvl>
    <w:lvl w:ilvl="3" w:tplc="9A5AEE68">
      <w:numFmt w:val="bullet"/>
      <w:lvlText w:val="•"/>
      <w:lvlJc w:val="left"/>
      <w:pPr>
        <w:ind w:left="4008" w:hanging="870"/>
      </w:pPr>
      <w:rPr>
        <w:rFonts w:hint="default"/>
      </w:rPr>
    </w:lvl>
    <w:lvl w:ilvl="4" w:tplc="CFF0DA36">
      <w:numFmt w:val="bullet"/>
      <w:lvlText w:val="•"/>
      <w:lvlJc w:val="left"/>
      <w:pPr>
        <w:ind w:left="5004" w:hanging="870"/>
      </w:pPr>
      <w:rPr>
        <w:rFonts w:hint="default"/>
      </w:rPr>
    </w:lvl>
    <w:lvl w:ilvl="5" w:tplc="DD86100A">
      <w:numFmt w:val="bullet"/>
      <w:lvlText w:val="•"/>
      <w:lvlJc w:val="left"/>
      <w:pPr>
        <w:ind w:left="6000" w:hanging="870"/>
      </w:pPr>
      <w:rPr>
        <w:rFonts w:hint="default"/>
      </w:rPr>
    </w:lvl>
    <w:lvl w:ilvl="6" w:tplc="A5C05B1E">
      <w:numFmt w:val="bullet"/>
      <w:lvlText w:val="•"/>
      <w:lvlJc w:val="left"/>
      <w:pPr>
        <w:ind w:left="6996" w:hanging="870"/>
      </w:pPr>
      <w:rPr>
        <w:rFonts w:hint="default"/>
      </w:rPr>
    </w:lvl>
    <w:lvl w:ilvl="7" w:tplc="10FC07A4">
      <w:numFmt w:val="bullet"/>
      <w:lvlText w:val="•"/>
      <w:lvlJc w:val="left"/>
      <w:pPr>
        <w:ind w:left="7992" w:hanging="870"/>
      </w:pPr>
      <w:rPr>
        <w:rFonts w:hint="default"/>
      </w:rPr>
    </w:lvl>
    <w:lvl w:ilvl="8" w:tplc="A230B26A">
      <w:numFmt w:val="bullet"/>
      <w:lvlText w:val="•"/>
      <w:lvlJc w:val="left"/>
      <w:pPr>
        <w:ind w:left="8988" w:hanging="870"/>
      </w:pPr>
      <w:rPr>
        <w:rFonts w:hint="default"/>
      </w:rPr>
    </w:lvl>
  </w:abstractNum>
  <w:abstractNum w:abstractNumId="10" w15:restartNumberingAfterBreak="0">
    <w:nsid w:val="2C3C318A"/>
    <w:multiLevelType w:val="hybridMultilevel"/>
    <w:tmpl w:val="76227A88"/>
    <w:lvl w:ilvl="0" w:tplc="407AD624">
      <w:start w:val="2"/>
      <w:numFmt w:val="decimal"/>
      <w:lvlText w:val="(%1)"/>
      <w:lvlJc w:val="left"/>
      <w:pPr>
        <w:ind w:left="190" w:hanging="291"/>
        <w:jc w:val="left"/>
      </w:pPr>
      <w:rPr>
        <w:rFonts w:ascii="Times New Roman" w:eastAsia="Times New Roman" w:hAnsi="Times New Roman" w:cs="Times New Roman" w:hint="default"/>
        <w:w w:val="100"/>
        <w:sz w:val="20"/>
        <w:szCs w:val="20"/>
      </w:rPr>
    </w:lvl>
    <w:lvl w:ilvl="1" w:tplc="B344DE26">
      <w:numFmt w:val="bullet"/>
      <w:lvlText w:val="•"/>
      <w:lvlJc w:val="left"/>
      <w:pPr>
        <w:ind w:left="1278" w:hanging="291"/>
      </w:pPr>
      <w:rPr>
        <w:rFonts w:hint="default"/>
      </w:rPr>
    </w:lvl>
    <w:lvl w:ilvl="2" w:tplc="EE803114">
      <w:numFmt w:val="bullet"/>
      <w:lvlText w:val="•"/>
      <w:lvlJc w:val="left"/>
      <w:pPr>
        <w:ind w:left="2356" w:hanging="291"/>
      </w:pPr>
      <w:rPr>
        <w:rFonts w:hint="default"/>
      </w:rPr>
    </w:lvl>
    <w:lvl w:ilvl="3" w:tplc="2F66BCF4">
      <w:numFmt w:val="bullet"/>
      <w:lvlText w:val="•"/>
      <w:lvlJc w:val="left"/>
      <w:pPr>
        <w:ind w:left="3434" w:hanging="291"/>
      </w:pPr>
      <w:rPr>
        <w:rFonts w:hint="default"/>
      </w:rPr>
    </w:lvl>
    <w:lvl w:ilvl="4" w:tplc="86D065EC">
      <w:numFmt w:val="bullet"/>
      <w:lvlText w:val="•"/>
      <w:lvlJc w:val="left"/>
      <w:pPr>
        <w:ind w:left="4512" w:hanging="291"/>
      </w:pPr>
      <w:rPr>
        <w:rFonts w:hint="default"/>
      </w:rPr>
    </w:lvl>
    <w:lvl w:ilvl="5" w:tplc="82F803BE">
      <w:numFmt w:val="bullet"/>
      <w:lvlText w:val="•"/>
      <w:lvlJc w:val="left"/>
      <w:pPr>
        <w:ind w:left="5590" w:hanging="291"/>
      </w:pPr>
      <w:rPr>
        <w:rFonts w:hint="default"/>
      </w:rPr>
    </w:lvl>
    <w:lvl w:ilvl="6" w:tplc="E4A2B8E2">
      <w:numFmt w:val="bullet"/>
      <w:lvlText w:val="•"/>
      <w:lvlJc w:val="left"/>
      <w:pPr>
        <w:ind w:left="6668" w:hanging="291"/>
      </w:pPr>
      <w:rPr>
        <w:rFonts w:hint="default"/>
      </w:rPr>
    </w:lvl>
    <w:lvl w:ilvl="7" w:tplc="39EEB54E">
      <w:numFmt w:val="bullet"/>
      <w:lvlText w:val="•"/>
      <w:lvlJc w:val="left"/>
      <w:pPr>
        <w:ind w:left="7746" w:hanging="291"/>
      </w:pPr>
      <w:rPr>
        <w:rFonts w:hint="default"/>
      </w:rPr>
    </w:lvl>
    <w:lvl w:ilvl="8" w:tplc="F1F29460">
      <w:numFmt w:val="bullet"/>
      <w:lvlText w:val="•"/>
      <w:lvlJc w:val="left"/>
      <w:pPr>
        <w:ind w:left="8824" w:hanging="291"/>
      </w:pPr>
      <w:rPr>
        <w:rFonts w:hint="default"/>
      </w:rPr>
    </w:lvl>
  </w:abstractNum>
  <w:abstractNum w:abstractNumId="11" w15:restartNumberingAfterBreak="0">
    <w:nsid w:val="2C4168AA"/>
    <w:multiLevelType w:val="hybridMultilevel"/>
    <w:tmpl w:val="16BEBA50"/>
    <w:lvl w:ilvl="0" w:tplc="049C1A8A">
      <w:start w:val="1"/>
      <w:numFmt w:val="decimal"/>
      <w:lvlText w:val="(%1)"/>
      <w:lvlJc w:val="left"/>
      <w:pPr>
        <w:ind w:left="550" w:hanging="270"/>
        <w:jc w:val="left"/>
      </w:pPr>
      <w:rPr>
        <w:rFonts w:ascii="Times New Roman" w:eastAsia="Times New Roman" w:hAnsi="Times New Roman" w:cs="Times New Roman" w:hint="default"/>
        <w:spacing w:val="-2"/>
        <w:w w:val="100"/>
        <w:sz w:val="16"/>
        <w:szCs w:val="16"/>
      </w:rPr>
    </w:lvl>
    <w:lvl w:ilvl="1" w:tplc="825C77CA">
      <w:start w:val="1"/>
      <w:numFmt w:val="decimal"/>
      <w:lvlText w:val="(%2)"/>
      <w:lvlJc w:val="left"/>
      <w:pPr>
        <w:ind w:left="910" w:hanging="270"/>
        <w:jc w:val="left"/>
      </w:pPr>
      <w:rPr>
        <w:rFonts w:ascii="Times New Roman" w:eastAsia="Times New Roman" w:hAnsi="Times New Roman" w:cs="Times New Roman" w:hint="default"/>
        <w:spacing w:val="-2"/>
        <w:w w:val="100"/>
        <w:sz w:val="16"/>
        <w:szCs w:val="16"/>
      </w:rPr>
    </w:lvl>
    <w:lvl w:ilvl="2" w:tplc="F06E4CDC">
      <w:numFmt w:val="bullet"/>
      <w:lvlText w:val="•"/>
      <w:lvlJc w:val="left"/>
      <w:pPr>
        <w:ind w:left="2037" w:hanging="270"/>
      </w:pPr>
      <w:rPr>
        <w:rFonts w:hint="default"/>
      </w:rPr>
    </w:lvl>
    <w:lvl w:ilvl="3" w:tplc="03CC1F0E">
      <w:numFmt w:val="bullet"/>
      <w:lvlText w:val="•"/>
      <w:lvlJc w:val="left"/>
      <w:pPr>
        <w:ind w:left="3155" w:hanging="270"/>
      </w:pPr>
      <w:rPr>
        <w:rFonts w:hint="default"/>
      </w:rPr>
    </w:lvl>
    <w:lvl w:ilvl="4" w:tplc="B4084B08">
      <w:numFmt w:val="bullet"/>
      <w:lvlText w:val="•"/>
      <w:lvlJc w:val="left"/>
      <w:pPr>
        <w:ind w:left="4273" w:hanging="270"/>
      </w:pPr>
      <w:rPr>
        <w:rFonts w:hint="default"/>
      </w:rPr>
    </w:lvl>
    <w:lvl w:ilvl="5" w:tplc="D67E4BC2">
      <w:numFmt w:val="bullet"/>
      <w:lvlText w:val="•"/>
      <w:lvlJc w:val="left"/>
      <w:pPr>
        <w:ind w:left="5391" w:hanging="270"/>
      </w:pPr>
      <w:rPr>
        <w:rFonts w:hint="default"/>
      </w:rPr>
    </w:lvl>
    <w:lvl w:ilvl="6" w:tplc="CDAE21A8">
      <w:numFmt w:val="bullet"/>
      <w:lvlText w:val="•"/>
      <w:lvlJc w:val="left"/>
      <w:pPr>
        <w:ind w:left="6508" w:hanging="270"/>
      </w:pPr>
      <w:rPr>
        <w:rFonts w:hint="default"/>
      </w:rPr>
    </w:lvl>
    <w:lvl w:ilvl="7" w:tplc="7BE8E7FE">
      <w:numFmt w:val="bullet"/>
      <w:lvlText w:val="•"/>
      <w:lvlJc w:val="left"/>
      <w:pPr>
        <w:ind w:left="7626" w:hanging="270"/>
      </w:pPr>
      <w:rPr>
        <w:rFonts w:hint="default"/>
      </w:rPr>
    </w:lvl>
    <w:lvl w:ilvl="8" w:tplc="946A2062">
      <w:numFmt w:val="bullet"/>
      <w:lvlText w:val="•"/>
      <w:lvlJc w:val="left"/>
      <w:pPr>
        <w:ind w:left="8744" w:hanging="270"/>
      </w:pPr>
      <w:rPr>
        <w:rFonts w:hint="default"/>
      </w:rPr>
    </w:lvl>
  </w:abstractNum>
  <w:abstractNum w:abstractNumId="12" w15:restartNumberingAfterBreak="0">
    <w:nsid w:val="2C66789E"/>
    <w:multiLevelType w:val="multilevel"/>
    <w:tmpl w:val="CEE0EF5A"/>
    <w:lvl w:ilvl="0">
      <w:start w:val="31"/>
      <w:numFmt w:val="decimal"/>
      <w:lvlText w:val="%1"/>
      <w:lvlJc w:val="left"/>
      <w:pPr>
        <w:ind w:left="2207" w:hanging="351"/>
        <w:jc w:val="left"/>
      </w:pPr>
      <w:rPr>
        <w:rFonts w:hint="default"/>
      </w:rPr>
    </w:lvl>
    <w:lvl w:ilvl="1">
      <w:start w:val="1"/>
      <w:numFmt w:val="decimal"/>
      <w:lvlText w:val="%1.%2"/>
      <w:lvlJc w:val="left"/>
      <w:pPr>
        <w:ind w:left="2207" w:hanging="351"/>
        <w:jc w:val="left"/>
      </w:pPr>
      <w:rPr>
        <w:rFonts w:ascii="Times New Roman" w:eastAsia="Times New Roman" w:hAnsi="Times New Roman" w:cs="Times New Roman" w:hint="default"/>
        <w:spacing w:val="-1"/>
        <w:w w:val="100"/>
        <w:sz w:val="18"/>
        <w:szCs w:val="18"/>
      </w:rPr>
    </w:lvl>
    <w:lvl w:ilvl="2">
      <w:numFmt w:val="bullet"/>
      <w:lvlText w:val="•"/>
      <w:lvlJc w:val="left"/>
      <w:pPr>
        <w:ind w:left="3956" w:hanging="351"/>
      </w:pPr>
      <w:rPr>
        <w:rFonts w:hint="default"/>
      </w:rPr>
    </w:lvl>
    <w:lvl w:ilvl="3">
      <w:numFmt w:val="bullet"/>
      <w:lvlText w:val="•"/>
      <w:lvlJc w:val="left"/>
      <w:pPr>
        <w:ind w:left="4834" w:hanging="351"/>
      </w:pPr>
      <w:rPr>
        <w:rFonts w:hint="default"/>
      </w:rPr>
    </w:lvl>
    <w:lvl w:ilvl="4">
      <w:numFmt w:val="bullet"/>
      <w:lvlText w:val="•"/>
      <w:lvlJc w:val="left"/>
      <w:pPr>
        <w:ind w:left="5712" w:hanging="351"/>
      </w:pPr>
      <w:rPr>
        <w:rFonts w:hint="default"/>
      </w:rPr>
    </w:lvl>
    <w:lvl w:ilvl="5">
      <w:numFmt w:val="bullet"/>
      <w:lvlText w:val="•"/>
      <w:lvlJc w:val="left"/>
      <w:pPr>
        <w:ind w:left="6590" w:hanging="351"/>
      </w:pPr>
      <w:rPr>
        <w:rFonts w:hint="default"/>
      </w:rPr>
    </w:lvl>
    <w:lvl w:ilvl="6">
      <w:numFmt w:val="bullet"/>
      <w:lvlText w:val="•"/>
      <w:lvlJc w:val="left"/>
      <w:pPr>
        <w:ind w:left="7468" w:hanging="351"/>
      </w:pPr>
      <w:rPr>
        <w:rFonts w:hint="default"/>
      </w:rPr>
    </w:lvl>
    <w:lvl w:ilvl="7">
      <w:numFmt w:val="bullet"/>
      <w:lvlText w:val="•"/>
      <w:lvlJc w:val="left"/>
      <w:pPr>
        <w:ind w:left="8346" w:hanging="351"/>
      </w:pPr>
      <w:rPr>
        <w:rFonts w:hint="default"/>
      </w:rPr>
    </w:lvl>
    <w:lvl w:ilvl="8">
      <w:numFmt w:val="bullet"/>
      <w:lvlText w:val="•"/>
      <w:lvlJc w:val="left"/>
      <w:pPr>
        <w:ind w:left="9224" w:hanging="351"/>
      </w:pPr>
      <w:rPr>
        <w:rFonts w:hint="default"/>
      </w:rPr>
    </w:lvl>
  </w:abstractNum>
  <w:abstractNum w:abstractNumId="13" w15:restartNumberingAfterBreak="0">
    <w:nsid w:val="2F6E46AC"/>
    <w:multiLevelType w:val="hybridMultilevel"/>
    <w:tmpl w:val="ED86C164"/>
    <w:lvl w:ilvl="0" w:tplc="D0D89D78">
      <w:start w:val="1"/>
      <w:numFmt w:val="decimal"/>
      <w:lvlText w:val="%1."/>
      <w:lvlJc w:val="left"/>
      <w:pPr>
        <w:ind w:left="820" w:hanging="720"/>
        <w:jc w:val="left"/>
      </w:pPr>
      <w:rPr>
        <w:rFonts w:ascii="Times New Roman" w:eastAsia="Times New Roman" w:hAnsi="Times New Roman" w:cs="Times New Roman" w:hint="default"/>
        <w:spacing w:val="-7"/>
        <w:w w:val="100"/>
        <w:sz w:val="20"/>
        <w:szCs w:val="20"/>
      </w:rPr>
    </w:lvl>
    <w:lvl w:ilvl="1" w:tplc="89C4A1C4">
      <w:start w:val="1"/>
      <w:numFmt w:val="lowerLetter"/>
      <w:lvlText w:val="(%2)"/>
      <w:lvlJc w:val="left"/>
      <w:pPr>
        <w:ind w:left="820" w:hanging="720"/>
        <w:jc w:val="left"/>
      </w:pPr>
      <w:rPr>
        <w:rFonts w:ascii="Times New Roman" w:eastAsia="Times New Roman" w:hAnsi="Times New Roman" w:cs="Times New Roman" w:hint="default"/>
        <w:spacing w:val="-10"/>
        <w:w w:val="100"/>
        <w:sz w:val="20"/>
        <w:szCs w:val="20"/>
      </w:rPr>
    </w:lvl>
    <w:lvl w:ilvl="2" w:tplc="6EE0E202">
      <w:numFmt w:val="bullet"/>
      <w:lvlText w:val="•"/>
      <w:lvlJc w:val="left"/>
      <w:pPr>
        <w:ind w:left="2852" w:hanging="720"/>
      </w:pPr>
      <w:rPr>
        <w:rFonts w:hint="default"/>
      </w:rPr>
    </w:lvl>
    <w:lvl w:ilvl="3" w:tplc="FA9CBF00">
      <w:numFmt w:val="bullet"/>
      <w:lvlText w:val="•"/>
      <w:lvlJc w:val="left"/>
      <w:pPr>
        <w:ind w:left="3868" w:hanging="720"/>
      </w:pPr>
      <w:rPr>
        <w:rFonts w:hint="default"/>
      </w:rPr>
    </w:lvl>
    <w:lvl w:ilvl="4" w:tplc="FECA35BA">
      <w:numFmt w:val="bullet"/>
      <w:lvlText w:val="•"/>
      <w:lvlJc w:val="left"/>
      <w:pPr>
        <w:ind w:left="4884" w:hanging="720"/>
      </w:pPr>
      <w:rPr>
        <w:rFonts w:hint="default"/>
      </w:rPr>
    </w:lvl>
    <w:lvl w:ilvl="5" w:tplc="9F0047E4">
      <w:numFmt w:val="bullet"/>
      <w:lvlText w:val="•"/>
      <w:lvlJc w:val="left"/>
      <w:pPr>
        <w:ind w:left="5900" w:hanging="720"/>
      </w:pPr>
      <w:rPr>
        <w:rFonts w:hint="default"/>
      </w:rPr>
    </w:lvl>
    <w:lvl w:ilvl="6" w:tplc="581A4026">
      <w:numFmt w:val="bullet"/>
      <w:lvlText w:val="•"/>
      <w:lvlJc w:val="left"/>
      <w:pPr>
        <w:ind w:left="6916" w:hanging="720"/>
      </w:pPr>
      <w:rPr>
        <w:rFonts w:hint="default"/>
      </w:rPr>
    </w:lvl>
    <w:lvl w:ilvl="7" w:tplc="548C16E0">
      <w:numFmt w:val="bullet"/>
      <w:lvlText w:val="•"/>
      <w:lvlJc w:val="left"/>
      <w:pPr>
        <w:ind w:left="7932" w:hanging="720"/>
      </w:pPr>
      <w:rPr>
        <w:rFonts w:hint="default"/>
      </w:rPr>
    </w:lvl>
    <w:lvl w:ilvl="8" w:tplc="F16C8040">
      <w:numFmt w:val="bullet"/>
      <w:lvlText w:val="•"/>
      <w:lvlJc w:val="left"/>
      <w:pPr>
        <w:ind w:left="8948" w:hanging="720"/>
      </w:pPr>
      <w:rPr>
        <w:rFonts w:hint="default"/>
      </w:rPr>
    </w:lvl>
  </w:abstractNum>
  <w:abstractNum w:abstractNumId="14" w15:restartNumberingAfterBreak="0">
    <w:nsid w:val="365D4383"/>
    <w:multiLevelType w:val="hybridMultilevel"/>
    <w:tmpl w:val="8AF082FE"/>
    <w:lvl w:ilvl="0" w:tplc="C5AE3D68">
      <w:start w:val="1"/>
      <w:numFmt w:val="lowerRoman"/>
      <w:lvlText w:val="(%1)"/>
      <w:lvlJc w:val="left"/>
      <w:pPr>
        <w:ind w:left="190" w:hanging="246"/>
        <w:jc w:val="left"/>
      </w:pPr>
      <w:rPr>
        <w:rFonts w:ascii="Times New Roman" w:eastAsia="Times New Roman" w:hAnsi="Times New Roman" w:cs="Times New Roman" w:hint="default"/>
        <w:spacing w:val="-1"/>
        <w:w w:val="100"/>
        <w:sz w:val="20"/>
        <w:szCs w:val="20"/>
      </w:rPr>
    </w:lvl>
    <w:lvl w:ilvl="1" w:tplc="47AC08DC">
      <w:numFmt w:val="bullet"/>
      <w:lvlText w:val="•"/>
      <w:lvlJc w:val="left"/>
      <w:pPr>
        <w:ind w:left="910" w:hanging="360"/>
      </w:pPr>
      <w:rPr>
        <w:rFonts w:ascii="Times New Roman" w:eastAsia="Times New Roman" w:hAnsi="Times New Roman" w:cs="Times New Roman" w:hint="default"/>
        <w:spacing w:val="-1"/>
        <w:w w:val="100"/>
        <w:sz w:val="20"/>
        <w:szCs w:val="20"/>
      </w:rPr>
    </w:lvl>
    <w:lvl w:ilvl="2" w:tplc="3E14D9BC">
      <w:numFmt w:val="bullet"/>
      <w:lvlText w:val="•"/>
      <w:lvlJc w:val="left"/>
      <w:pPr>
        <w:ind w:left="2037" w:hanging="360"/>
      </w:pPr>
      <w:rPr>
        <w:rFonts w:hint="default"/>
      </w:rPr>
    </w:lvl>
    <w:lvl w:ilvl="3" w:tplc="976C70F8">
      <w:numFmt w:val="bullet"/>
      <w:lvlText w:val="•"/>
      <w:lvlJc w:val="left"/>
      <w:pPr>
        <w:ind w:left="3155" w:hanging="360"/>
      </w:pPr>
      <w:rPr>
        <w:rFonts w:hint="default"/>
      </w:rPr>
    </w:lvl>
    <w:lvl w:ilvl="4" w:tplc="3B34C26A">
      <w:numFmt w:val="bullet"/>
      <w:lvlText w:val="•"/>
      <w:lvlJc w:val="left"/>
      <w:pPr>
        <w:ind w:left="4273" w:hanging="360"/>
      </w:pPr>
      <w:rPr>
        <w:rFonts w:hint="default"/>
      </w:rPr>
    </w:lvl>
    <w:lvl w:ilvl="5" w:tplc="07F2161A">
      <w:numFmt w:val="bullet"/>
      <w:lvlText w:val="•"/>
      <w:lvlJc w:val="left"/>
      <w:pPr>
        <w:ind w:left="5391" w:hanging="360"/>
      </w:pPr>
      <w:rPr>
        <w:rFonts w:hint="default"/>
      </w:rPr>
    </w:lvl>
    <w:lvl w:ilvl="6" w:tplc="49DC019A">
      <w:numFmt w:val="bullet"/>
      <w:lvlText w:val="•"/>
      <w:lvlJc w:val="left"/>
      <w:pPr>
        <w:ind w:left="6508" w:hanging="360"/>
      </w:pPr>
      <w:rPr>
        <w:rFonts w:hint="default"/>
      </w:rPr>
    </w:lvl>
    <w:lvl w:ilvl="7" w:tplc="B3B6E46A">
      <w:numFmt w:val="bullet"/>
      <w:lvlText w:val="•"/>
      <w:lvlJc w:val="left"/>
      <w:pPr>
        <w:ind w:left="7626" w:hanging="360"/>
      </w:pPr>
      <w:rPr>
        <w:rFonts w:hint="default"/>
      </w:rPr>
    </w:lvl>
    <w:lvl w:ilvl="8" w:tplc="49A844B4">
      <w:numFmt w:val="bullet"/>
      <w:lvlText w:val="•"/>
      <w:lvlJc w:val="left"/>
      <w:pPr>
        <w:ind w:left="8744" w:hanging="360"/>
      </w:pPr>
      <w:rPr>
        <w:rFonts w:hint="default"/>
      </w:rPr>
    </w:lvl>
  </w:abstractNum>
  <w:abstractNum w:abstractNumId="15" w15:restartNumberingAfterBreak="0">
    <w:nsid w:val="3C670842"/>
    <w:multiLevelType w:val="hybridMultilevel"/>
    <w:tmpl w:val="D98211DC"/>
    <w:lvl w:ilvl="0" w:tplc="979EF602">
      <w:start w:val="1"/>
      <w:numFmt w:val="decimal"/>
      <w:lvlText w:val="(%1)"/>
      <w:lvlJc w:val="left"/>
      <w:pPr>
        <w:ind w:left="911" w:hanging="722"/>
        <w:jc w:val="left"/>
      </w:pPr>
      <w:rPr>
        <w:rFonts w:ascii="Times New Roman" w:eastAsia="Times New Roman" w:hAnsi="Times New Roman" w:cs="Times New Roman" w:hint="default"/>
        <w:spacing w:val="-1"/>
        <w:w w:val="100"/>
        <w:sz w:val="16"/>
        <w:szCs w:val="16"/>
      </w:rPr>
    </w:lvl>
    <w:lvl w:ilvl="1" w:tplc="6A7CA8C6">
      <w:numFmt w:val="bullet"/>
      <w:lvlText w:val="•"/>
      <w:lvlJc w:val="left"/>
      <w:pPr>
        <w:ind w:left="910" w:hanging="360"/>
      </w:pPr>
      <w:rPr>
        <w:rFonts w:ascii="Times New Roman" w:eastAsia="Times New Roman" w:hAnsi="Times New Roman" w:cs="Times New Roman" w:hint="default"/>
        <w:spacing w:val="-1"/>
        <w:w w:val="100"/>
        <w:sz w:val="20"/>
        <w:szCs w:val="20"/>
      </w:rPr>
    </w:lvl>
    <w:lvl w:ilvl="2" w:tplc="5E36C270">
      <w:numFmt w:val="bullet"/>
      <w:lvlText w:val="•"/>
      <w:lvlJc w:val="left"/>
      <w:pPr>
        <w:ind w:left="2932" w:hanging="360"/>
      </w:pPr>
      <w:rPr>
        <w:rFonts w:hint="default"/>
      </w:rPr>
    </w:lvl>
    <w:lvl w:ilvl="3" w:tplc="FA7ADBC6">
      <w:numFmt w:val="bullet"/>
      <w:lvlText w:val="•"/>
      <w:lvlJc w:val="left"/>
      <w:pPr>
        <w:ind w:left="3938" w:hanging="360"/>
      </w:pPr>
      <w:rPr>
        <w:rFonts w:hint="default"/>
      </w:rPr>
    </w:lvl>
    <w:lvl w:ilvl="4" w:tplc="FD78AA90">
      <w:numFmt w:val="bullet"/>
      <w:lvlText w:val="•"/>
      <w:lvlJc w:val="left"/>
      <w:pPr>
        <w:ind w:left="4944" w:hanging="360"/>
      </w:pPr>
      <w:rPr>
        <w:rFonts w:hint="default"/>
      </w:rPr>
    </w:lvl>
    <w:lvl w:ilvl="5" w:tplc="F6A80F56">
      <w:numFmt w:val="bullet"/>
      <w:lvlText w:val="•"/>
      <w:lvlJc w:val="left"/>
      <w:pPr>
        <w:ind w:left="5950" w:hanging="360"/>
      </w:pPr>
      <w:rPr>
        <w:rFonts w:hint="default"/>
      </w:rPr>
    </w:lvl>
    <w:lvl w:ilvl="6" w:tplc="B604675E">
      <w:numFmt w:val="bullet"/>
      <w:lvlText w:val="•"/>
      <w:lvlJc w:val="left"/>
      <w:pPr>
        <w:ind w:left="6956" w:hanging="360"/>
      </w:pPr>
      <w:rPr>
        <w:rFonts w:hint="default"/>
      </w:rPr>
    </w:lvl>
    <w:lvl w:ilvl="7" w:tplc="D6F8A8B0">
      <w:numFmt w:val="bullet"/>
      <w:lvlText w:val="•"/>
      <w:lvlJc w:val="left"/>
      <w:pPr>
        <w:ind w:left="7962" w:hanging="360"/>
      </w:pPr>
      <w:rPr>
        <w:rFonts w:hint="default"/>
      </w:rPr>
    </w:lvl>
    <w:lvl w:ilvl="8" w:tplc="D43A3BB6">
      <w:numFmt w:val="bullet"/>
      <w:lvlText w:val="•"/>
      <w:lvlJc w:val="left"/>
      <w:pPr>
        <w:ind w:left="8968" w:hanging="360"/>
      </w:pPr>
      <w:rPr>
        <w:rFonts w:hint="default"/>
      </w:rPr>
    </w:lvl>
  </w:abstractNum>
  <w:abstractNum w:abstractNumId="16" w15:restartNumberingAfterBreak="0">
    <w:nsid w:val="41A6379B"/>
    <w:multiLevelType w:val="multilevel"/>
    <w:tmpl w:val="17683C78"/>
    <w:lvl w:ilvl="0">
      <w:start w:val="32"/>
      <w:numFmt w:val="decimal"/>
      <w:lvlText w:val="%1"/>
      <w:lvlJc w:val="left"/>
      <w:pPr>
        <w:ind w:left="2207" w:hanging="351"/>
        <w:jc w:val="left"/>
      </w:pPr>
      <w:rPr>
        <w:rFonts w:hint="default"/>
      </w:rPr>
    </w:lvl>
    <w:lvl w:ilvl="1">
      <w:start w:val="1"/>
      <w:numFmt w:val="decimal"/>
      <w:lvlText w:val="%1.%2"/>
      <w:lvlJc w:val="left"/>
      <w:pPr>
        <w:ind w:left="2207" w:hanging="351"/>
        <w:jc w:val="left"/>
      </w:pPr>
      <w:rPr>
        <w:rFonts w:ascii="Times New Roman" w:eastAsia="Times New Roman" w:hAnsi="Times New Roman" w:cs="Times New Roman" w:hint="default"/>
        <w:spacing w:val="-1"/>
        <w:w w:val="100"/>
        <w:sz w:val="18"/>
        <w:szCs w:val="18"/>
      </w:rPr>
    </w:lvl>
    <w:lvl w:ilvl="2">
      <w:numFmt w:val="bullet"/>
      <w:lvlText w:val="•"/>
      <w:lvlJc w:val="left"/>
      <w:pPr>
        <w:ind w:left="3956" w:hanging="351"/>
      </w:pPr>
      <w:rPr>
        <w:rFonts w:hint="default"/>
      </w:rPr>
    </w:lvl>
    <w:lvl w:ilvl="3">
      <w:numFmt w:val="bullet"/>
      <w:lvlText w:val="•"/>
      <w:lvlJc w:val="left"/>
      <w:pPr>
        <w:ind w:left="4834" w:hanging="351"/>
      </w:pPr>
      <w:rPr>
        <w:rFonts w:hint="default"/>
      </w:rPr>
    </w:lvl>
    <w:lvl w:ilvl="4">
      <w:numFmt w:val="bullet"/>
      <w:lvlText w:val="•"/>
      <w:lvlJc w:val="left"/>
      <w:pPr>
        <w:ind w:left="5712" w:hanging="351"/>
      </w:pPr>
      <w:rPr>
        <w:rFonts w:hint="default"/>
      </w:rPr>
    </w:lvl>
    <w:lvl w:ilvl="5">
      <w:numFmt w:val="bullet"/>
      <w:lvlText w:val="•"/>
      <w:lvlJc w:val="left"/>
      <w:pPr>
        <w:ind w:left="6590" w:hanging="351"/>
      </w:pPr>
      <w:rPr>
        <w:rFonts w:hint="default"/>
      </w:rPr>
    </w:lvl>
    <w:lvl w:ilvl="6">
      <w:numFmt w:val="bullet"/>
      <w:lvlText w:val="•"/>
      <w:lvlJc w:val="left"/>
      <w:pPr>
        <w:ind w:left="7468" w:hanging="351"/>
      </w:pPr>
      <w:rPr>
        <w:rFonts w:hint="default"/>
      </w:rPr>
    </w:lvl>
    <w:lvl w:ilvl="7">
      <w:numFmt w:val="bullet"/>
      <w:lvlText w:val="•"/>
      <w:lvlJc w:val="left"/>
      <w:pPr>
        <w:ind w:left="8346" w:hanging="351"/>
      </w:pPr>
      <w:rPr>
        <w:rFonts w:hint="default"/>
      </w:rPr>
    </w:lvl>
    <w:lvl w:ilvl="8">
      <w:numFmt w:val="bullet"/>
      <w:lvlText w:val="•"/>
      <w:lvlJc w:val="left"/>
      <w:pPr>
        <w:ind w:left="9224" w:hanging="351"/>
      </w:pPr>
      <w:rPr>
        <w:rFonts w:hint="default"/>
      </w:rPr>
    </w:lvl>
  </w:abstractNum>
  <w:abstractNum w:abstractNumId="17" w15:restartNumberingAfterBreak="0">
    <w:nsid w:val="443442E9"/>
    <w:multiLevelType w:val="hybridMultilevel"/>
    <w:tmpl w:val="28A0C74A"/>
    <w:lvl w:ilvl="0" w:tplc="D8DCEDB4">
      <w:numFmt w:val="bullet"/>
      <w:lvlText w:val="•"/>
      <w:lvlJc w:val="left"/>
      <w:pPr>
        <w:ind w:left="910" w:hanging="360"/>
      </w:pPr>
      <w:rPr>
        <w:rFonts w:ascii="Arial" w:eastAsia="Arial" w:hAnsi="Arial" w:cs="Arial" w:hint="default"/>
        <w:spacing w:val="-1"/>
        <w:w w:val="100"/>
        <w:sz w:val="24"/>
        <w:szCs w:val="24"/>
      </w:rPr>
    </w:lvl>
    <w:lvl w:ilvl="1" w:tplc="B882EFD4">
      <w:numFmt w:val="bullet"/>
      <w:lvlText w:val="•"/>
      <w:lvlJc w:val="left"/>
      <w:pPr>
        <w:ind w:left="1926" w:hanging="360"/>
      </w:pPr>
      <w:rPr>
        <w:rFonts w:hint="default"/>
      </w:rPr>
    </w:lvl>
    <w:lvl w:ilvl="2" w:tplc="53543192">
      <w:numFmt w:val="bullet"/>
      <w:lvlText w:val="•"/>
      <w:lvlJc w:val="left"/>
      <w:pPr>
        <w:ind w:left="2932" w:hanging="360"/>
      </w:pPr>
      <w:rPr>
        <w:rFonts w:hint="default"/>
      </w:rPr>
    </w:lvl>
    <w:lvl w:ilvl="3" w:tplc="3C363F38">
      <w:numFmt w:val="bullet"/>
      <w:lvlText w:val="•"/>
      <w:lvlJc w:val="left"/>
      <w:pPr>
        <w:ind w:left="3938" w:hanging="360"/>
      </w:pPr>
      <w:rPr>
        <w:rFonts w:hint="default"/>
      </w:rPr>
    </w:lvl>
    <w:lvl w:ilvl="4" w:tplc="908CD99C">
      <w:numFmt w:val="bullet"/>
      <w:lvlText w:val="•"/>
      <w:lvlJc w:val="left"/>
      <w:pPr>
        <w:ind w:left="4944" w:hanging="360"/>
      </w:pPr>
      <w:rPr>
        <w:rFonts w:hint="default"/>
      </w:rPr>
    </w:lvl>
    <w:lvl w:ilvl="5" w:tplc="B380E8AC">
      <w:numFmt w:val="bullet"/>
      <w:lvlText w:val="•"/>
      <w:lvlJc w:val="left"/>
      <w:pPr>
        <w:ind w:left="5950" w:hanging="360"/>
      </w:pPr>
      <w:rPr>
        <w:rFonts w:hint="default"/>
      </w:rPr>
    </w:lvl>
    <w:lvl w:ilvl="6" w:tplc="BC663B0C">
      <w:numFmt w:val="bullet"/>
      <w:lvlText w:val="•"/>
      <w:lvlJc w:val="left"/>
      <w:pPr>
        <w:ind w:left="6956" w:hanging="360"/>
      </w:pPr>
      <w:rPr>
        <w:rFonts w:hint="default"/>
      </w:rPr>
    </w:lvl>
    <w:lvl w:ilvl="7" w:tplc="B338E8AE">
      <w:numFmt w:val="bullet"/>
      <w:lvlText w:val="•"/>
      <w:lvlJc w:val="left"/>
      <w:pPr>
        <w:ind w:left="7962" w:hanging="360"/>
      </w:pPr>
      <w:rPr>
        <w:rFonts w:hint="default"/>
      </w:rPr>
    </w:lvl>
    <w:lvl w:ilvl="8" w:tplc="FF38C4DA">
      <w:numFmt w:val="bullet"/>
      <w:lvlText w:val="•"/>
      <w:lvlJc w:val="left"/>
      <w:pPr>
        <w:ind w:left="8968" w:hanging="360"/>
      </w:pPr>
      <w:rPr>
        <w:rFonts w:hint="default"/>
      </w:rPr>
    </w:lvl>
  </w:abstractNum>
  <w:abstractNum w:abstractNumId="18" w15:restartNumberingAfterBreak="0">
    <w:nsid w:val="49273219"/>
    <w:multiLevelType w:val="hybridMultilevel"/>
    <w:tmpl w:val="2D08E588"/>
    <w:lvl w:ilvl="0" w:tplc="47726F3E">
      <w:start w:val="1"/>
      <w:numFmt w:val="decimal"/>
      <w:lvlText w:val="(%1)"/>
      <w:lvlJc w:val="left"/>
      <w:pPr>
        <w:ind w:left="550" w:hanging="360"/>
        <w:jc w:val="left"/>
      </w:pPr>
      <w:rPr>
        <w:rFonts w:ascii="Times New Roman" w:eastAsia="Times New Roman" w:hAnsi="Times New Roman" w:cs="Times New Roman" w:hint="default"/>
        <w:spacing w:val="-1"/>
        <w:w w:val="100"/>
        <w:sz w:val="16"/>
        <w:szCs w:val="16"/>
      </w:rPr>
    </w:lvl>
    <w:lvl w:ilvl="1" w:tplc="0EBED0F2">
      <w:numFmt w:val="bullet"/>
      <w:lvlText w:val="•"/>
      <w:lvlJc w:val="left"/>
      <w:pPr>
        <w:ind w:left="910" w:hanging="360"/>
      </w:pPr>
      <w:rPr>
        <w:rFonts w:ascii="Times New Roman" w:eastAsia="Times New Roman" w:hAnsi="Times New Roman" w:cs="Times New Roman" w:hint="default"/>
        <w:spacing w:val="-1"/>
        <w:w w:val="100"/>
        <w:sz w:val="20"/>
        <w:szCs w:val="20"/>
      </w:rPr>
    </w:lvl>
    <w:lvl w:ilvl="2" w:tplc="72C2DEBC">
      <w:numFmt w:val="bullet"/>
      <w:lvlText w:val="•"/>
      <w:lvlJc w:val="left"/>
      <w:pPr>
        <w:ind w:left="2037" w:hanging="360"/>
      </w:pPr>
      <w:rPr>
        <w:rFonts w:hint="default"/>
      </w:rPr>
    </w:lvl>
    <w:lvl w:ilvl="3" w:tplc="813EAF9E">
      <w:numFmt w:val="bullet"/>
      <w:lvlText w:val="•"/>
      <w:lvlJc w:val="left"/>
      <w:pPr>
        <w:ind w:left="3155" w:hanging="360"/>
      </w:pPr>
      <w:rPr>
        <w:rFonts w:hint="default"/>
      </w:rPr>
    </w:lvl>
    <w:lvl w:ilvl="4" w:tplc="D26E59F4">
      <w:numFmt w:val="bullet"/>
      <w:lvlText w:val="•"/>
      <w:lvlJc w:val="left"/>
      <w:pPr>
        <w:ind w:left="4273" w:hanging="360"/>
      </w:pPr>
      <w:rPr>
        <w:rFonts w:hint="default"/>
      </w:rPr>
    </w:lvl>
    <w:lvl w:ilvl="5" w:tplc="8272D55A">
      <w:numFmt w:val="bullet"/>
      <w:lvlText w:val="•"/>
      <w:lvlJc w:val="left"/>
      <w:pPr>
        <w:ind w:left="5391" w:hanging="360"/>
      </w:pPr>
      <w:rPr>
        <w:rFonts w:hint="default"/>
      </w:rPr>
    </w:lvl>
    <w:lvl w:ilvl="6" w:tplc="74428A8A">
      <w:numFmt w:val="bullet"/>
      <w:lvlText w:val="•"/>
      <w:lvlJc w:val="left"/>
      <w:pPr>
        <w:ind w:left="6508" w:hanging="360"/>
      </w:pPr>
      <w:rPr>
        <w:rFonts w:hint="default"/>
      </w:rPr>
    </w:lvl>
    <w:lvl w:ilvl="7" w:tplc="5EBCB308">
      <w:numFmt w:val="bullet"/>
      <w:lvlText w:val="•"/>
      <w:lvlJc w:val="left"/>
      <w:pPr>
        <w:ind w:left="7626" w:hanging="360"/>
      </w:pPr>
      <w:rPr>
        <w:rFonts w:hint="default"/>
      </w:rPr>
    </w:lvl>
    <w:lvl w:ilvl="8" w:tplc="DF8801E4">
      <w:numFmt w:val="bullet"/>
      <w:lvlText w:val="•"/>
      <w:lvlJc w:val="left"/>
      <w:pPr>
        <w:ind w:left="8744" w:hanging="360"/>
      </w:pPr>
      <w:rPr>
        <w:rFonts w:hint="default"/>
      </w:rPr>
    </w:lvl>
  </w:abstractNum>
  <w:abstractNum w:abstractNumId="19" w15:restartNumberingAfterBreak="0">
    <w:nsid w:val="4AFD130A"/>
    <w:multiLevelType w:val="multilevel"/>
    <w:tmpl w:val="261C7200"/>
    <w:lvl w:ilvl="0">
      <w:start w:val="21"/>
      <w:numFmt w:val="upperLetter"/>
      <w:lvlText w:val="%1"/>
      <w:lvlJc w:val="left"/>
      <w:pPr>
        <w:ind w:left="1467" w:hanging="648"/>
        <w:jc w:val="left"/>
      </w:pPr>
      <w:rPr>
        <w:rFonts w:hint="default"/>
      </w:rPr>
    </w:lvl>
    <w:lvl w:ilvl="1">
      <w:start w:val="19"/>
      <w:numFmt w:val="upperLetter"/>
      <w:lvlText w:val="%1.%2"/>
      <w:lvlJc w:val="left"/>
      <w:pPr>
        <w:ind w:left="1467" w:hanging="648"/>
        <w:jc w:val="left"/>
      </w:pPr>
      <w:rPr>
        <w:rFonts w:hint="default"/>
      </w:rPr>
    </w:lvl>
    <w:lvl w:ilvl="2">
      <w:start w:val="3"/>
      <w:numFmt w:val="upperLetter"/>
      <w:lvlText w:val="%1.%2.%3."/>
      <w:lvlJc w:val="left"/>
      <w:pPr>
        <w:ind w:left="1467" w:hanging="648"/>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820" w:hanging="351"/>
        <w:jc w:val="left"/>
      </w:pPr>
      <w:rPr>
        <w:rFonts w:ascii="Times New Roman" w:eastAsia="Times New Roman" w:hAnsi="Times New Roman" w:cs="Times New Roman" w:hint="default"/>
        <w:spacing w:val="-17"/>
        <w:w w:val="100"/>
        <w:sz w:val="22"/>
        <w:szCs w:val="22"/>
      </w:rPr>
    </w:lvl>
    <w:lvl w:ilvl="4">
      <w:numFmt w:val="bullet"/>
      <w:lvlText w:val="•"/>
      <w:lvlJc w:val="left"/>
      <w:pPr>
        <w:ind w:left="4633" w:hanging="351"/>
      </w:pPr>
      <w:rPr>
        <w:rFonts w:hint="default"/>
      </w:rPr>
    </w:lvl>
    <w:lvl w:ilvl="5">
      <w:numFmt w:val="bullet"/>
      <w:lvlText w:val="•"/>
      <w:lvlJc w:val="left"/>
      <w:pPr>
        <w:ind w:left="5691" w:hanging="351"/>
      </w:pPr>
      <w:rPr>
        <w:rFonts w:hint="default"/>
      </w:rPr>
    </w:lvl>
    <w:lvl w:ilvl="6">
      <w:numFmt w:val="bullet"/>
      <w:lvlText w:val="•"/>
      <w:lvlJc w:val="left"/>
      <w:pPr>
        <w:ind w:left="6748" w:hanging="351"/>
      </w:pPr>
      <w:rPr>
        <w:rFonts w:hint="default"/>
      </w:rPr>
    </w:lvl>
    <w:lvl w:ilvl="7">
      <w:numFmt w:val="bullet"/>
      <w:lvlText w:val="•"/>
      <w:lvlJc w:val="left"/>
      <w:pPr>
        <w:ind w:left="7806" w:hanging="351"/>
      </w:pPr>
      <w:rPr>
        <w:rFonts w:hint="default"/>
      </w:rPr>
    </w:lvl>
    <w:lvl w:ilvl="8">
      <w:numFmt w:val="bullet"/>
      <w:lvlText w:val="•"/>
      <w:lvlJc w:val="left"/>
      <w:pPr>
        <w:ind w:left="8864" w:hanging="351"/>
      </w:pPr>
      <w:rPr>
        <w:rFonts w:hint="default"/>
      </w:rPr>
    </w:lvl>
  </w:abstractNum>
  <w:abstractNum w:abstractNumId="20" w15:restartNumberingAfterBreak="0">
    <w:nsid w:val="4E31058E"/>
    <w:multiLevelType w:val="hybridMultilevel"/>
    <w:tmpl w:val="A3FEE922"/>
    <w:lvl w:ilvl="0" w:tplc="40686086">
      <w:start w:val="1"/>
      <w:numFmt w:val="decimal"/>
      <w:lvlText w:val="(%1)"/>
      <w:lvlJc w:val="left"/>
      <w:pPr>
        <w:ind w:left="910" w:hanging="360"/>
        <w:jc w:val="left"/>
      </w:pPr>
      <w:rPr>
        <w:rFonts w:ascii="Times New Roman" w:eastAsia="Times New Roman" w:hAnsi="Times New Roman" w:cs="Times New Roman" w:hint="default"/>
        <w:spacing w:val="-1"/>
        <w:w w:val="100"/>
        <w:sz w:val="16"/>
        <w:szCs w:val="16"/>
      </w:rPr>
    </w:lvl>
    <w:lvl w:ilvl="1" w:tplc="5D0CF58E">
      <w:start w:val="1"/>
      <w:numFmt w:val="decimal"/>
      <w:lvlText w:val="(%2)"/>
      <w:lvlJc w:val="left"/>
      <w:pPr>
        <w:ind w:left="910" w:hanging="270"/>
        <w:jc w:val="left"/>
      </w:pPr>
      <w:rPr>
        <w:rFonts w:ascii="Times New Roman" w:eastAsia="Times New Roman" w:hAnsi="Times New Roman" w:cs="Times New Roman" w:hint="default"/>
        <w:spacing w:val="-1"/>
        <w:w w:val="100"/>
        <w:sz w:val="16"/>
        <w:szCs w:val="16"/>
      </w:rPr>
    </w:lvl>
    <w:lvl w:ilvl="2" w:tplc="03F2A08A">
      <w:numFmt w:val="bullet"/>
      <w:lvlText w:val="•"/>
      <w:lvlJc w:val="left"/>
      <w:pPr>
        <w:ind w:left="2932" w:hanging="270"/>
      </w:pPr>
      <w:rPr>
        <w:rFonts w:hint="default"/>
      </w:rPr>
    </w:lvl>
    <w:lvl w:ilvl="3" w:tplc="4468AF2E">
      <w:numFmt w:val="bullet"/>
      <w:lvlText w:val="•"/>
      <w:lvlJc w:val="left"/>
      <w:pPr>
        <w:ind w:left="3938" w:hanging="270"/>
      </w:pPr>
      <w:rPr>
        <w:rFonts w:hint="default"/>
      </w:rPr>
    </w:lvl>
    <w:lvl w:ilvl="4" w:tplc="F5C88B4A">
      <w:numFmt w:val="bullet"/>
      <w:lvlText w:val="•"/>
      <w:lvlJc w:val="left"/>
      <w:pPr>
        <w:ind w:left="4944" w:hanging="270"/>
      </w:pPr>
      <w:rPr>
        <w:rFonts w:hint="default"/>
      </w:rPr>
    </w:lvl>
    <w:lvl w:ilvl="5" w:tplc="26E229BC">
      <w:numFmt w:val="bullet"/>
      <w:lvlText w:val="•"/>
      <w:lvlJc w:val="left"/>
      <w:pPr>
        <w:ind w:left="5950" w:hanging="270"/>
      </w:pPr>
      <w:rPr>
        <w:rFonts w:hint="default"/>
      </w:rPr>
    </w:lvl>
    <w:lvl w:ilvl="6" w:tplc="97CE4D38">
      <w:numFmt w:val="bullet"/>
      <w:lvlText w:val="•"/>
      <w:lvlJc w:val="left"/>
      <w:pPr>
        <w:ind w:left="6956" w:hanging="270"/>
      </w:pPr>
      <w:rPr>
        <w:rFonts w:hint="default"/>
      </w:rPr>
    </w:lvl>
    <w:lvl w:ilvl="7" w:tplc="AC0A8252">
      <w:numFmt w:val="bullet"/>
      <w:lvlText w:val="•"/>
      <w:lvlJc w:val="left"/>
      <w:pPr>
        <w:ind w:left="7962" w:hanging="270"/>
      </w:pPr>
      <w:rPr>
        <w:rFonts w:hint="default"/>
      </w:rPr>
    </w:lvl>
    <w:lvl w:ilvl="8" w:tplc="FC609FC2">
      <w:numFmt w:val="bullet"/>
      <w:lvlText w:val="•"/>
      <w:lvlJc w:val="left"/>
      <w:pPr>
        <w:ind w:left="8968" w:hanging="270"/>
      </w:pPr>
      <w:rPr>
        <w:rFonts w:hint="default"/>
      </w:rPr>
    </w:lvl>
  </w:abstractNum>
  <w:abstractNum w:abstractNumId="21" w15:restartNumberingAfterBreak="0">
    <w:nsid w:val="52096B35"/>
    <w:multiLevelType w:val="hybridMultilevel"/>
    <w:tmpl w:val="4B90351E"/>
    <w:lvl w:ilvl="0" w:tplc="4ACCF5F6">
      <w:start w:val="1"/>
      <w:numFmt w:val="decimal"/>
      <w:lvlText w:val="(%1)"/>
      <w:lvlJc w:val="left"/>
      <w:pPr>
        <w:ind w:left="550" w:hanging="270"/>
        <w:jc w:val="left"/>
      </w:pPr>
      <w:rPr>
        <w:rFonts w:ascii="Times New Roman" w:eastAsia="Times New Roman" w:hAnsi="Times New Roman" w:cs="Times New Roman" w:hint="default"/>
        <w:spacing w:val="-3"/>
        <w:w w:val="100"/>
        <w:sz w:val="16"/>
        <w:szCs w:val="16"/>
      </w:rPr>
    </w:lvl>
    <w:lvl w:ilvl="1" w:tplc="675EF094">
      <w:numFmt w:val="bullet"/>
      <w:lvlText w:val="•"/>
      <w:lvlJc w:val="left"/>
      <w:pPr>
        <w:ind w:left="1602" w:hanging="270"/>
      </w:pPr>
      <w:rPr>
        <w:rFonts w:hint="default"/>
      </w:rPr>
    </w:lvl>
    <w:lvl w:ilvl="2" w:tplc="135C048A">
      <w:numFmt w:val="bullet"/>
      <w:lvlText w:val="•"/>
      <w:lvlJc w:val="left"/>
      <w:pPr>
        <w:ind w:left="2644" w:hanging="270"/>
      </w:pPr>
      <w:rPr>
        <w:rFonts w:hint="default"/>
      </w:rPr>
    </w:lvl>
    <w:lvl w:ilvl="3" w:tplc="5BBCABB4">
      <w:numFmt w:val="bullet"/>
      <w:lvlText w:val="•"/>
      <w:lvlJc w:val="left"/>
      <w:pPr>
        <w:ind w:left="3686" w:hanging="270"/>
      </w:pPr>
      <w:rPr>
        <w:rFonts w:hint="default"/>
      </w:rPr>
    </w:lvl>
    <w:lvl w:ilvl="4" w:tplc="A90A5916">
      <w:numFmt w:val="bullet"/>
      <w:lvlText w:val="•"/>
      <w:lvlJc w:val="left"/>
      <w:pPr>
        <w:ind w:left="4728" w:hanging="270"/>
      </w:pPr>
      <w:rPr>
        <w:rFonts w:hint="default"/>
      </w:rPr>
    </w:lvl>
    <w:lvl w:ilvl="5" w:tplc="F7A65E52">
      <w:numFmt w:val="bullet"/>
      <w:lvlText w:val="•"/>
      <w:lvlJc w:val="left"/>
      <w:pPr>
        <w:ind w:left="5770" w:hanging="270"/>
      </w:pPr>
      <w:rPr>
        <w:rFonts w:hint="default"/>
      </w:rPr>
    </w:lvl>
    <w:lvl w:ilvl="6" w:tplc="C9FAF6D8">
      <w:numFmt w:val="bullet"/>
      <w:lvlText w:val="•"/>
      <w:lvlJc w:val="left"/>
      <w:pPr>
        <w:ind w:left="6812" w:hanging="270"/>
      </w:pPr>
      <w:rPr>
        <w:rFonts w:hint="default"/>
      </w:rPr>
    </w:lvl>
    <w:lvl w:ilvl="7" w:tplc="7438EBC0">
      <w:numFmt w:val="bullet"/>
      <w:lvlText w:val="•"/>
      <w:lvlJc w:val="left"/>
      <w:pPr>
        <w:ind w:left="7854" w:hanging="270"/>
      </w:pPr>
      <w:rPr>
        <w:rFonts w:hint="default"/>
      </w:rPr>
    </w:lvl>
    <w:lvl w:ilvl="8" w:tplc="CA361448">
      <w:numFmt w:val="bullet"/>
      <w:lvlText w:val="•"/>
      <w:lvlJc w:val="left"/>
      <w:pPr>
        <w:ind w:left="8896" w:hanging="270"/>
      </w:pPr>
      <w:rPr>
        <w:rFonts w:hint="default"/>
      </w:rPr>
    </w:lvl>
  </w:abstractNum>
  <w:abstractNum w:abstractNumId="22" w15:restartNumberingAfterBreak="0">
    <w:nsid w:val="60D92510"/>
    <w:multiLevelType w:val="multilevel"/>
    <w:tmpl w:val="0566915A"/>
    <w:lvl w:ilvl="0">
      <w:start w:val="3"/>
      <w:numFmt w:val="decimal"/>
      <w:lvlText w:val="%1"/>
      <w:lvlJc w:val="left"/>
      <w:pPr>
        <w:ind w:left="2207" w:hanging="1965"/>
        <w:jc w:val="left"/>
      </w:pPr>
      <w:rPr>
        <w:rFonts w:hint="default"/>
      </w:rPr>
    </w:lvl>
    <w:lvl w:ilvl="1">
      <w:start w:val="1"/>
      <w:numFmt w:val="decimal"/>
      <w:lvlText w:val="%1.%2"/>
      <w:lvlJc w:val="left"/>
      <w:pPr>
        <w:ind w:left="2207" w:hanging="1965"/>
        <w:jc w:val="left"/>
      </w:pPr>
      <w:rPr>
        <w:rFonts w:ascii="Times New Roman" w:eastAsia="Times New Roman" w:hAnsi="Times New Roman" w:cs="Times New Roman" w:hint="default"/>
        <w:spacing w:val="-1"/>
        <w:w w:val="100"/>
        <w:sz w:val="20"/>
        <w:szCs w:val="20"/>
      </w:rPr>
    </w:lvl>
    <w:lvl w:ilvl="2">
      <w:numFmt w:val="bullet"/>
      <w:lvlText w:val="•"/>
      <w:lvlJc w:val="left"/>
      <w:pPr>
        <w:ind w:left="3956" w:hanging="1965"/>
      </w:pPr>
      <w:rPr>
        <w:rFonts w:hint="default"/>
      </w:rPr>
    </w:lvl>
    <w:lvl w:ilvl="3">
      <w:numFmt w:val="bullet"/>
      <w:lvlText w:val="•"/>
      <w:lvlJc w:val="left"/>
      <w:pPr>
        <w:ind w:left="4834" w:hanging="1965"/>
      </w:pPr>
      <w:rPr>
        <w:rFonts w:hint="default"/>
      </w:rPr>
    </w:lvl>
    <w:lvl w:ilvl="4">
      <w:numFmt w:val="bullet"/>
      <w:lvlText w:val="•"/>
      <w:lvlJc w:val="left"/>
      <w:pPr>
        <w:ind w:left="5712" w:hanging="1965"/>
      </w:pPr>
      <w:rPr>
        <w:rFonts w:hint="default"/>
      </w:rPr>
    </w:lvl>
    <w:lvl w:ilvl="5">
      <w:numFmt w:val="bullet"/>
      <w:lvlText w:val="•"/>
      <w:lvlJc w:val="left"/>
      <w:pPr>
        <w:ind w:left="6590" w:hanging="1965"/>
      </w:pPr>
      <w:rPr>
        <w:rFonts w:hint="default"/>
      </w:rPr>
    </w:lvl>
    <w:lvl w:ilvl="6">
      <w:numFmt w:val="bullet"/>
      <w:lvlText w:val="•"/>
      <w:lvlJc w:val="left"/>
      <w:pPr>
        <w:ind w:left="7468" w:hanging="1965"/>
      </w:pPr>
      <w:rPr>
        <w:rFonts w:hint="default"/>
      </w:rPr>
    </w:lvl>
    <w:lvl w:ilvl="7">
      <w:numFmt w:val="bullet"/>
      <w:lvlText w:val="•"/>
      <w:lvlJc w:val="left"/>
      <w:pPr>
        <w:ind w:left="8346" w:hanging="1965"/>
      </w:pPr>
      <w:rPr>
        <w:rFonts w:hint="default"/>
      </w:rPr>
    </w:lvl>
    <w:lvl w:ilvl="8">
      <w:numFmt w:val="bullet"/>
      <w:lvlText w:val="•"/>
      <w:lvlJc w:val="left"/>
      <w:pPr>
        <w:ind w:left="9224" w:hanging="1965"/>
      </w:pPr>
      <w:rPr>
        <w:rFonts w:hint="default"/>
      </w:rPr>
    </w:lvl>
  </w:abstractNum>
  <w:abstractNum w:abstractNumId="23" w15:restartNumberingAfterBreak="0">
    <w:nsid w:val="62DD0BCE"/>
    <w:multiLevelType w:val="multilevel"/>
    <w:tmpl w:val="C0E82D40"/>
    <w:lvl w:ilvl="0">
      <w:start w:val="21"/>
      <w:numFmt w:val="upperLetter"/>
      <w:lvlText w:val="%1"/>
      <w:lvlJc w:val="left"/>
      <w:pPr>
        <w:ind w:left="190" w:hanging="419"/>
        <w:jc w:val="left"/>
      </w:pPr>
      <w:rPr>
        <w:rFonts w:hint="default"/>
      </w:rPr>
    </w:lvl>
    <w:lvl w:ilvl="1">
      <w:start w:val="19"/>
      <w:numFmt w:val="upperLetter"/>
      <w:lvlText w:val="%1.%2."/>
      <w:lvlJc w:val="left"/>
      <w:pPr>
        <w:ind w:left="190" w:hanging="419"/>
        <w:jc w:val="left"/>
      </w:pPr>
      <w:rPr>
        <w:rFonts w:ascii="Times New Roman" w:eastAsia="Times New Roman" w:hAnsi="Times New Roman" w:cs="Times New Roman" w:hint="default"/>
        <w:spacing w:val="-1"/>
        <w:w w:val="100"/>
        <w:sz w:val="20"/>
        <w:szCs w:val="20"/>
      </w:rPr>
    </w:lvl>
    <w:lvl w:ilvl="2">
      <w:numFmt w:val="bullet"/>
      <w:lvlText w:val="•"/>
      <w:lvlJc w:val="left"/>
      <w:pPr>
        <w:ind w:left="910" w:hanging="360"/>
      </w:pPr>
      <w:rPr>
        <w:rFonts w:ascii="Times New Roman" w:eastAsia="Times New Roman" w:hAnsi="Times New Roman" w:cs="Times New Roman" w:hint="default"/>
        <w:spacing w:val="-11"/>
        <w:w w:val="100"/>
        <w:sz w:val="20"/>
        <w:szCs w:val="20"/>
      </w:rPr>
    </w:lvl>
    <w:lvl w:ilvl="3">
      <w:numFmt w:val="bullet"/>
      <w:lvlText w:val="•"/>
      <w:lvlJc w:val="left"/>
      <w:pPr>
        <w:ind w:left="3155" w:hanging="360"/>
      </w:pPr>
      <w:rPr>
        <w:rFonts w:hint="default"/>
      </w:rPr>
    </w:lvl>
    <w:lvl w:ilvl="4">
      <w:numFmt w:val="bullet"/>
      <w:lvlText w:val="•"/>
      <w:lvlJc w:val="left"/>
      <w:pPr>
        <w:ind w:left="4273" w:hanging="360"/>
      </w:pPr>
      <w:rPr>
        <w:rFonts w:hint="default"/>
      </w:rPr>
    </w:lvl>
    <w:lvl w:ilvl="5">
      <w:numFmt w:val="bullet"/>
      <w:lvlText w:val="•"/>
      <w:lvlJc w:val="left"/>
      <w:pPr>
        <w:ind w:left="5391" w:hanging="360"/>
      </w:pPr>
      <w:rPr>
        <w:rFonts w:hint="default"/>
      </w:rPr>
    </w:lvl>
    <w:lvl w:ilvl="6">
      <w:numFmt w:val="bullet"/>
      <w:lvlText w:val="•"/>
      <w:lvlJc w:val="left"/>
      <w:pPr>
        <w:ind w:left="6508" w:hanging="360"/>
      </w:pPr>
      <w:rPr>
        <w:rFonts w:hint="default"/>
      </w:rPr>
    </w:lvl>
    <w:lvl w:ilvl="7">
      <w:numFmt w:val="bullet"/>
      <w:lvlText w:val="•"/>
      <w:lvlJc w:val="left"/>
      <w:pPr>
        <w:ind w:left="7626" w:hanging="360"/>
      </w:pPr>
      <w:rPr>
        <w:rFonts w:hint="default"/>
      </w:rPr>
    </w:lvl>
    <w:lvl w:ilvl="8">
      <w:numFmt w:val="bullet"/>
      <w:lvlText w:val="•"/>
      <w:lvlJc w:val="left"/>
      <w:pPr>
        <w:ind w:left="8744" w:hanging="360"/>
      </w:pPr>
      <w:rPr>
        <w:rFonts w:hint="default"/>
      </w:rPr>
    </w:lvl>
  </w:abstractNum>
  <w:abstractNum w:abstractNumId="24" w15:restartNumberingAfterBreak="0">
    <w:nsid w:val="63D07F1D"/>
    <w:multiLevelType w:val="hybridMultilevel"/>
    <w:tmpl w:val="8F369A50"/>
    <w:lvl w:ilvl="0" w:tplc="6E960640">
      <w:numFmt w:val="bullet"/>
      <w:lvlText w:val="•"/>
      <w:lvlJc w:val="left"/>
      <w:pPr>
        <w:ind w:left="910" w:hanging="360"/>
      </w:pPr>
      <w:rPr>
        <w:rFonts w:ascii="Times New Roman" w:eastAsia="Times New Roman" w:hAnsi="Times New Roman" w:cs="Times New Roman" w:hint="default"/>
        <w:spacing w:val="-18"/>
        <w:w w:val="100"/>
        <w:sz w:val="20"/>
        <w:szCs w:val="20"/>
      </w:rPr>
    </w:lvl>
    <w:lvl w:ilvl="1" w:tplc="0950C1F8">
      <w:numFmt w:val="bullet"/>
      <w:lvlText w:val="•"/>
      <w:lvlJc w:val="left"/>
      <w:pPr>
        <w:ind w:left="1926" w:hanging="360"/>
      </w:pPr>
      <w:rPr>
        <w:rFonts w:hint="default"/>
      </w:rPr>
    </w:lvl>
    <w:lvl w:ilvl="2" w:tplc="C7E8957C">
      <w:numFmt w:val="bullet"/>
      <w:lvlText w:val="•"/>
      <w:lvlJc w:val="left"/>
      <w:pPr>
        <w:ind w:left="2932" w:hanging="360"/>
      </w:pPr>
      <w:rPr>
        <w:rFonts w:hint="default"/>
      </w:rPr>
    </w:lvl>
    <w:lvl w:ilvl="3" w:tplc="5FD877DC">
      <w:numFmt w:val="bullet"/>
      <w:lvlText w:val="•"/>
      <w:lvlJc w:val="left"/>
      <w:pPr>
        <w:ind w:left="3938" w:hanging="360"/>
      </w:pPr>
      <w:rPr>
        <w:rFonts w:hint="default"/>
      </w:rPr>
    </w:lvl>
    <w:lvl w:ilvl="4" w:tplc="C3B46AA8">
      <w:numFmt w:val="bullet"/>
      <w:lvlText w:val="•"/>
      <w:lvlJc w:val="left"/>
      <w:pPr>
        <w:ind w:left="4944" w:hanging="360"/>
      </w:pPr>
      <w:rPr>
        <w:rFonts w:hint="default"/>
      </w:rPr>
    </w:lvl>
    <w:lvl w:ilvl="5" w:tplc="0A1C1752">
      <w:numFmt w:val="bullet"/>
      <w:lvlText w:val="•"/>
      <w:lvlJc w:val="left"/>
      <w:pPr>
        <w:ind w:left="5950" w:hanging="360"/>
      </w:pPr>
      <w:rPr>
        <w:rFonts w:hint="default"/>
      </w:rPr>
    </w:lvl>
    <w:lvl w:ilvl="6" w:tplc="0F544AD2">
      <w:numFmt w:val="bullet"/>
      <w:lvlText w:val="•"/>
      <w:lvlJc w:val="left"/>
      <w:pPr>
        <w:ind w:left="6956" w:hanging="360"/>
      </w:pPr>
      <w:rPr>
        <w:rFonts w:hint="default"/>
      </w:rPr>
    </w:lvl>
    <w:lvl w:ilvl="7" w:tplc="C868CC22">
      <w:numFmt w:val="bullet"/>
      <w:lvlText w:val="•"/>
      <w:lvlJc w:val="left"/>
      <w:pPr>
        <w:ind w:left="7962" w:hanging="360"/>
      </w:pPr>
      <w:rPr>
        <w:rFonts w:hint="default"/>
      </w:rPr>
    </w:lvl>
    <w:lvl w:ilvl="8" w:tplc="C9AA14FA">
      <w:numFmt w:val="bullet"/>
      <w:lvlText w:val="•"/>
      <w:lvlJc w:val="left"/>
      <w:pPr>
        <w:ind w:left="8968" w:hanging="360"/>
      </w:pPr>
      <w:rPr>
        <w:rFonts w:hint="default"/>
      </w:rPr>
    </w:lvl>
  </w:abstractNum>
  <w:abstractNum w:abstractNumId="25" w15:restartNumberingAfterBreak="0">
    <w:nsid w:val="68386825"/>
    <w:multiLevelType w:val="hybridMultilevel"/>
    <w:tmpl w:val="41E8E202"/>
    <w:lvl w:ilvl="0" w:tplc="EB942374">
      <w:start w:val="1"/>
      <w:numFmt w:val="decimal"/>
      <w:lvlText w:val="%1."/>
      <w:lvlJc w:val="left"/>
      <w:pPr>
        <w:ind w:left="617" w:hanging="465"/>
        <w:jc w:val="left"/>
      </w:pPr>
      <w:rPr>
        <w:rFonts w:ascii="Times New Roman" w:eastAsia="Times New Roman" w:hAnsi="Times New Roman" w:cs="Times New Roman" w:hint="default"/>
        <w:spacing w:val="-1"/>
        <w:w w:val="100"/>
        <w:position w:val="-3"/>
        <w:sz w:val="22"/>
        <w:szCs w:val="22"/>
      </w:rPr>
    </w:lvl>
    <w:lvl w:ilvl="1" w:tplc="81B0AC70">
      <w:numFmt w:val="bullet"/>
      <w:lvlText w:val="•"/>
      <w:lvlJc w:val="left"/>
      <w:pPr>
        <w:ind w:left="1656" w:hanging="465"/>
      </w:pPr>
      <w:rPr>
        <w:rFonts w:hint="default"/>
      </w:rPr>
    </w:lvl>
    <w:lvl w:ilvl="2" w:tplc="B9AED940">
      <w:numFmt w:val="bullet"/>
      <w:lvlText w:val="•"/>
      <w:lvlJc w:val="left"/>
      <w:pPr>
        <w:ind w:left="2692" w:hanging="465"/>
      </w:pPr>
      <w:rPr>
        <w:rFonts w:hint="default"/>
      </w:rPr>
    </w:lvl>
    <w:lvl w:ilvl="3" w:tplc="0674E4F6">
      <w:numFmt w:val="bullet"/>
      <w:lvlText w:val="•"/>
      <w:lvlJc w:val="left"/>
      <w:pPr>
        <w:ind w:left="3728" w:hanging="465"/>
      </w:pPr>
      <w:rPr>
        <w:rFonts w:hint="default"/>
      </w:rPr>
    </w:lvl>
    <w:lvl w:ilvl="4" w:tplc="5A16678E">
      <w:numFmt w:val="bullet"/>
      <w:lvlText w:val="•"/>
      <w:lvlJc w:val="left"/>
      <w:pPr>
        <w:ind w:left="4764" w:hanging="465"/>
      </w:pPr>
      <w:rPr>
        <w:rFonts w:hint="default"/>
      </w:rPr>
    </w:lvl>
    <w:lvl w:ilvl="5" w:tplc="4FB8AEE0">
      <w:numFmt w:val="bullet"/>
      <w:lvlText w:val="•"/>
      <w:lvlJc w:val="left"/>
      <w:pPr>
        <w:ind w:left="5800" w:hanging="465"/>
      </w:pPr>
      <w:rPr>
        <w:rFonts w:hint="default"/>
      </w:rPr>
    </w:lvl>
    <w:lvl w:ilvl="6" w:tplc="56EAD886">
      <w:numFmt w:val="bullet"/>
      <w:lvlText w:val="•"/>
      <w:lvlJc w:val="left"/>
      <w:pPr>
        <w:ind w:left="6836" w:hanging="465"/>
      </w:pPr>
      <w:rPr>
        <w:rFonts w:hint="default"/>
      </w:rPr>
    </w:lvl>
    <w:lvl w:ilvl="7" w:tplc="2F7C150A">
      <w:numFmt w:val="bullet"/>
      <w:lvlText w:val="•"/>
      <w:lvlJc w:val="left"/>
      <w:pPr>
        <w:ind w:left="7872" w:hanging="465"/>
      </w:pPr>
      <w:rPr>
        <w:rFonts w:hint="default"/>
      </w:rPr>
    </w:lvl>
    <w:lvl w:ilvl="8" w:tplc="7D746C8A">
      <w:numFmt w:val="bullet"/>
      <w:lvlText w:val="•"/>
      <w:lvlJc w:val="left"/>
      <w:pPr>
        <w:ind w:left="8908" w:hanging="465"/>
      </w:pPr>
      <w:rPr>
        <w:rFonts w:hint="default"/>
      </w:rPr>
    </w:lvl>
  </w:abstractNum>
  <w:abstractNum w:abstractNumId="26" w15:restartNumberingAfterBreak="0">
    <w:nsid w:val="6B950F5D"/>
    <w:multiLevelType w:val="hybridMultilevel"/>
    <w:tmpl w:val="45B834BA"/>
    <w:lvl w:ilvl="0" w:tplc="138898A0">
      <w:start w:val="1"/>
      <w:numFmt w:val="decimal"/>
      <w:lvlText w:val="(%1)"/>
      <w:lvlJc w:val="left"/>
      <w:pPr>
        <w:ind w:left="910" w:hanging="270"/>
        <w:jc w:val="left"/>
      </w:pPr>
      <w:rPr>
        <w:rFonts w:ascii="Times New Roman" w:eastAsia="Times New Roman" w:hAnsi="Times New Roman" w:cs="Times New Roman" w:hint="default"/>
        <w:spacing w:val="-1"/>
        <w:w w:val="100"/>
        <w:sz w:val="16"/>
        <w:szCs w:val="16"/>
      </w:rPr>
    </w:lvl>
    <w:lvl w:ilvl="1" w:tplc="D9D2DDEA">
      <w:numFmt w:val="bullet"/>
      <w:lvlText w:val="•"/>
      <w:lvlJc w:val="left"/>
      <w:pPr>
        <w:ind w:left="1926" w:hanging="270"/>
      </w:pPr>
      <w:rPr>
        <w:rFonts w:hint="default"/>
      </w:rPr>
    </w:lvl>
    <w:lvl w:ilvl="2" w:tplc="1E62D97A">
      <w:numFmt w:val="bullet"/>
      <w:lvlText w:val="•"/>
      <w:lvlJc w:val="left"/>
      <w:pPr>
        <w:ind w:left="2932" w:hanging="270"/>
      </w:pPr>
      <w:rPr>
        <w:rFonts w:hint="default"/>
      </w:rPr>
    </w:lvl>
    <w:lvl w:ilvl="3" w:tplc="AFACE492">
      <w:numFmt w:val="bullet"/>
      <w:lvlText w:val="•"/>
      <w:lvlJc w:val="left"/>
      <w:pPr>
        <w:ind w:left="3938" w:hanging="270"/>
      </w:pPr>
      <w:rPr>
        <w:rFonts w:hint="default"/>
      </w:rPr>
    </w:lvl>
    <w:lvl w:ilvl="4" w:tplc="4CDE6654">
      <w:numFmt w:val="bullet"/>
      <w:lvlText w:val="•"/>
      <w:lvlJc w:val="left"/>
      <w:pPr>
        <w:ind w:left="4944" w:hanging="270"/>
      </w:pPr>
      <w:rPr>
        <w:rFonts w:hint="default"/>
      </w:rPr>
    </w:lvl>
    <w:lvl w:ilvl="5" w:tplc="2540608A">
      <w:numFmt w:val="bullet"/>
      <w:lvlText w:val="•"/>
      <w:lvlJc w:val="left"/>
      <w:pPr>
        <w:ind w:left="5950" w:hanging="270"/>
      </w:pPr>
      <w:rPr>
        <w:rFonts w:hint="default"/>
      </w:rPr>
    </w:lvl>
    <w:lvl w:ilvl="6" w:tplc="ED509796">
      <w:numFmt w:val="bullet"/>
      <w:lvlText w:val="•"/>
      <w:lvlJc w:val="left"/>
      <w:pPr>
        <w:ind w:left="6956" w:hanging="270"/>
      </w:pPr>
      <w:rPr>
        <w:rFonts w:hint="default"/>
      </w:rPr>
    </w:lvl>
    <w:lvl w:ilvl="7" w:tplc="FF421D28">
      <w:numFmt w:val="bullet"/>
      <w:lvlText w:val="•"/>
      <w:lvlJc w:val="left"/>
      <w:pPr>
        <w:ind w:left="7962" w:hanging="270"/>
      </w:pPr>
      <w:rPr>
        <w:rFonts w:hint="default"/>
      </w:rPr>
    </w:lvl>
    <w:lvl w:ilvl="8" w:tplc="EAF43654">
      <w:numFmt w:val="bullet"/>
      <w:lvlText w:val="•"/>
      <w:lvlJc w:val="left"/>
      <w:pPr>
        <w:ind w:left="8968" w:hanging="270"/>
      </w:pPr>
      <w:rPr>
        <w:rFonts w:hint="default"/>
      </w:rPr>
    </w:lvl>
  </w:abstractNum>
  <w:abstractNum w:abstractNumId="27" w15:restartNumberingAfterBreak="0">
    <w:nsid w:val="6E6446DE"/>
    <w:multiLevelType w:val="hybridMultilevel"/>
    <w:tmpl w:val="D1009120"/>
    <w:lvl w:ilvl="0" w:tplc="01E27EA4">
      <w:start w:val="1"/>
      <w:numFmt w:val="lowerRoman"/>
      <w:lvlText w:val="(%1)"/>
      <w:lvlJc w:val="left"/>
      <w:pPr>
        <w:ind w:left="190" w:hanging="261"/>
        <w:jc w:val="left"/>
      </w:pPr>
      <w:rPr>
        <w:rFonts w:ascii="Times New Roman" w:eastAsia="Times New Roman" w:hAnsi="Times New Roman" w:cs="Times New Roman" w:hint="default"/>
        <w:spacing w:val="-1"/>
        <w:w w:val="100"/>
        <w:sz w:val="20"/>
        <w:szCs w:val="20"/>
      </w:rPr>
    </w:lvl>
    <w:lvl w:ilvl="1" w:tplc="BB205458">
      <w:start w:val="1"/>
      <w:numFmt w:val="decimal"/>
      <w:lvlText w:val="(%2)"/>
      <w:lvlJc w:val="left"/>
      <w:pPr>
        <w:ind w:left="550" w:hanging="270"/>
        <w:jc w:val="left"/>
      </w:pPr>
      <w:rPr>
        <w:rFonts w:ascii="Times New Roman" w:eastAsia="Times New Roman" w:hAnsi="Times New Roman" w:cs="Times New Roman" w:hint="default"/>
        <w:spacing w:val="-3"/>
        <w:w w:val="100"/>
        <w:sz w:val="16"/>
        <w:szCs w:val="16"/>
      </w:rPr>
    </w:lvl>
    <w:lvl w:ilvl="2" w:tplc="1C74DC42">
      <w:start w:val="1"/>
      <w:numFmt w:val="decimal"/>
      <w:lvlText w:val="(%3)"/>
      <w:lvlJc w:val="left"/>
      <w:pPr>
        <w:ind w:left="910" w:hanging="270"/>
        <w:jc w:val="left"/>
      </w:pPr>
      <w:rPr>
        <w:rFonts w:ascii="Times New Roman" w:eastAsia="Times New Roman" w:hAnsi="Times New Roman" w:cs="Times New Roman" w:hint="default"/>
        <w:spacing w:val="-20"/>
        <w:w w:val="100"/>
        <w:sz w:val="16"/>
        <w:szCs w:val="16"/>
      </w:rPr>
    </w:lvl>
    <w:lvl w:ilvl="3" w:tplc="8C9EEF92">
      <w:numFmt w:val="bullet"/>
      <w:lvlText w:val="•"/>
      <w:lvlJc w:val="left"/>
      <w:pPr>
        <w:ind w:left="2177" w:hanging="270"/>
      </w:pPr>
      <w:rPr>
        <w:rFonts w:hint="default"/>
      </w:rPr>
    </w:lvl>
    <w:lvl w:ilvl="4" w:tplc="605E4B40">
      <w:numFmt w:val="bullet"/>
      <w:lvlText w:val="•"/>
      <w:lvlJc w:val="left"/>
      <w:pPr>
        <w:ind w:left="3435" w:hanging="270"/>
      </w:pPr>
      <w:rPr>
        <w:rFonts w:hint="default"/>
      </w:rPr>
    </w:lvl>
    <w:lvl w:ilvl="5" w:tplc="36D87830">
      <w:numFmt w:val="bullet"/>
      <w:lvlText w:val="•"/>
      <w:lvlJc w:val="left"/>
      <w:pPr>
        <w:ind w:left="4692" w:hanging="270"/>
      </w:pPr>
      <w:rPr>
        <w:rFonts w:hint="default"/>
      </w:rPr>
    </w:lvl>
    <w:lvl w:ilvl="6" w:tplc="4AF85AE0">
      <w:numFmt w:val="bullet"/>
      <w:lvlText w:val="•"/>
      <w:lvlJc w:val="left"/>
      <w:pPr>
        <w:ind w:left="5950" w:hanging="270"/>
      </w:pPr>
      <w:rPr>
        <w:rFonts w:hint="default"/>
      </w:rPr>
    </w:lvl>
    <w:lvl w:ilvl="7" w:tplc="C23032B2">
      <w:numFmt w:val="bullet"/>
      <w:lvlText w:val="•"/>
      <w:lvlJc w:val="left"/>
      <w:pPr>
        <w:ind w:left="7207" w:hanging="270"/>
      </w:pPr>
      <w:rPr>
        <w:rFonts w:hint="default"/>
      </w:rPr>
    </w:lvl>
    <w:lvl w:ilvl="8" w:tplc="5F223A98">
      <w:numFmt w:val="bullet"/>
      <w:lvlText w:val="•"/>
      <w:lvlJc w:val="left"/>
      <w:pPr>
        <w:ind w:left="8465" w:hanging="270"/>
      </w:pPr>
      <w:rPr>
        <w:rFonts w:hint="default"/>
      </w:rPr>
    </w:lvl>
  </w:abstractNum>
  <w:abstractNum w:abstractNumId="28" w15:restartNumberingAfterBreak="0">
    <w:nsid w:val="726B4B3E"/>
    <w:multiLevelType w:val="hybridMultilevel"/>
    <w:tmpl w:val="99EEAED8"/>
    <w:lvl w:ilvl="0" w:tplc="19CAD9FA">
      <w:start w:val="1"/>
      <w:numFmt w:val="decimal"/>
      <w:lvlText w:val="(%1)"/>
      <w:lvlJc w:val="left"/>
      <w:pPr>
        <w:ind w:left="910" w:hanging="270"/>
        <w:jc w:val="left"/>
      </w:pPr>
      <w:rPr>
        <w:rFonts w:ascii="Times New Roman" w:eastAsia="Times New Roman" w:hAnsi="Times New Roman" w:cs="Times New Roman" w:hint="default"/>
        <w:spacing w:val="-1"/>
        <w:w w:val="100"/>
        <w:sz w:val="16"/>
        <w:szCs w:val="16"/>
      </w:rPr>
    </w:lvl>
    <w:lvl w:ilvl="1" w:tplc="FDF8A9CE">
      <w:numFmt w:val="bullet"/>
      <w:lvlText w:val="•"/>
      <w:lvlJc w:val="left"/>
      <w:pPr>
        <w:ind w:left="1926" w:hanging="270"/>
      </w:pPr>
      <w:rPr>
        <w:rFonts w:hint="default"/>
      </w:rPr>
    </w:lvl>
    <w:lvl w:ilvl="2" w:tplc="CD420C58">
      <w:numFmt w:val="bullet"/>
      <w:lvlText w:val="•"/>
      <w:lvlJc w:val="left"/>
      <w:pPr>
        <w:ind w:left="2932" w:hanging="270"/>
      </w:pPr>
      <w:rPr>
        <w:rFonts w:hint="default"/>
      </w:rPr>
    </w:lvl>
    <w:lvl w:ilvl="3" w:tplc="CD2EE752">
      <w:numFmt w:val="bullet"/>
      <w:lvlText w:val="•"/>
      <w:lvlJc w:val="left"/>
      <w:pPr>
        <w:ind w:left="3938" w:hanging="270"/>
      </w:pPr>
      <w:rPr>
        <w:rFonts w:hint="default"/>
      </w:rPr>
    </w:lvl>
    <w:lvl w:ilvl="4" w:tplc="C0BA1A2C">
      <w:numFmt w:val="bullet"/>
      <w:lvlText w:val="•"/>
      <w:lvlJc w:val="left"/>
      <w:pPr>
        <w:ind w:left="4944" w:hanging="270"/>
      </w:pPr>
      <w:rPr>
        <w:rFonts w:hint="default"/>
      </w:rPr>
    </w:lvl>
    <w:lvl w:ilvl="5" w:tplc="918657F8">
      <w:numFmt w:val="bullet"/>
      <w:lvlText w:val="•"/>
      <w:lvlJc w:val="left"/>
      <w:pPr>
        <w:ind w:left="5950" w:hanging="270"/>
      </w:pPr>
      <w:rPr>
        <w:rFonts w:hint="default"/>
      </w:rPr>
    </w:lvl>
    <w:lvl w:ilvl="6" w:tplc="5ED6A102">
      <w:numFmt w:val="bullet"/>
      <w:lvlText w:val="•"/>
      <w:lvlJc w:val="left"/>
      <w:pPr>
        <w:ind w:left="6956" w:hanging="270"/>
      </w:pPr>
      <w:rPr>
        <w:rFonts w:hint="default"/>
      </w:rPr>
    </w:lvl>
    <w:lvl w:ilvl="7" w:tplc="725482DA">
      <w:numFmt w:val="bullet"/>
      <w:lvlText w:val="•"/>
      <w:lvlJc w:val="left"/>
      <w:pPr>
        <w:ind w:left="7962" w:hanging="270"/>
      </w:pPr>
      <w:rPr>
        <w:rFonts w:hint="default"/>
      </w:rPr>
    </w:lvl>
    <w:lvl w:ilvl="8" w:tplc="5B649A50">
      <w:numFmt w:val="bullet"/>
      <w:lvlText w:val="•"/>
      <w:lvlJc w:val="left"/>
      <w:pPr>
        <w:ind w:left="8968" w:hanging="270"/>
      </w:pPr>
      <w:rPr>
        <w:rFonts w:hint="default"/>
      </w:rPr>
    </w:lvl>
  </w:abstractNum>
  <w:abstractNum w:abstractNumId="29" w15:restartNumberingAfterBreak="0">
    <w:nsid w:val="7AC23CAE"/>
    <w:multiLevelType w:val="multilevel"/>
    <w:tmpl w:val="7C6A83F0"/>
    <w:lvl w:ilvl="0">
      <w:start w:val="10"/>
      <w:numFmt w:val="decimal"/>
      <w:lvlText w:val="%1"/>
      <w:lvlJc w:val="left"/>
      <w:pPr>
        <w:ind w:left="2207" w:hanging="351"/>
        <w:jc w:val="left"/>
      </w:pPr>
      <w:rPr>
        <w:rFonts w:hint="default"/>
      </w:rPr>
    </w:lvl>
    <w:lvl w:ilvl="1">
      <w:start w:val="1"/>
      <w:numFmt w:val="decimal"/>
      <w:lvlText w:val="%1.%2"/>
      <w:lvlJc w:val="left"/>
      <w:pPr>
        <w:ind w:left="2207" w:hanging="351"/>
        <w:jc w:val="left"/>
      </w:pPr>
      <w:rPr>
        <w:rFonts w:ascii="Times New Roman" w:eastAsia="Times New Roman" w:hAnsi="Times New Roman" w:cs="Times New Roman" w:hint="default"/>
        <w:spacing w:val="-1"/>
        <w:w w:val="100"/>
        <w:sz w:val="18"/>
        <w:szCs w:val="18"/>
      </w:rPr>
    </w:lvl>
    <w:lvl w:ilvl="2">
      <w:numFmt w:val="bullet"/>
      <w:lvlText w:val="•"/>
      <w:lvlJc w:val="left"/>
      <w:pPr>
        <w:ind w:left="3956" w:hanging="351"/>
      </w:pPr>
      <w:rPr>
        <w:rFonts w:hint="default"/>
      </w:rPr>
    </w:lvl>
    <w:lvl w:ilvl="3">
      <w:numFmt w:val="bullet"/>
      <w:lvlText w:val="•"/>
      <w:lvlJc w:val="left"/>
      <w:pPr>
        <w:ind w:left="4834" w:hanging="351"/>
      </w:pPr>
      <w:rPr>
        <w:rFonts w:hint="default"/>
      </w:rPr>
    </w:lvl>
    <w:lvl w:ilvl="4">
      <w:numFmt w:val="bullet"/>
      <w:lvlText w:val="•"/>
      <w:lvlJc w:val="left"/>
      <w:pPr>
        <w:ind w:left="5712" w:hanging="351"/>
      </w:pPr>
      <w:rPr>
        <w:rFonts w:hint="default"/>
      </w:rPr>
    </w:lvl>
    <w:lvl w:ilvl="5">
      <w:numFmt w:val="bullet"/>
      <w:lvlText w:val="•"/>
      <w:lvlJc w:val="left"/>
      <w:pPr>
        <w:ind w:left="6590" w:hanging="351"/>
      </w:pPr>
      <w:rPr>
        <w:rFonts w:hint="default"/>
      </w:rPr>
    </w:lvl>
    <w:lvl w:ilvl="6">
      <w:numFmt w:val="bullet"/>
      <w:lvlText w:val="•"/>
      <w:lvlJc w:val="left"/>
      <w:pPr>
        <w:ind w:left="7468" w:hanging="351"/>
      </w:pPr>
      <w:rPr>
        <w:rFonts w:hint="default"/>
      </w:rPr>
    </w:lvl>
    <w:lvl w:ilvl="7">
      <w:numFmt w:val="bullet"/>
      <w:lvlText w:val="•"/>
      <w:lvlJc w:val="left"/>
      <w:pPr>
        <w:ind w:left="8346" w:hanging="351"/>
      </w:pPr>
      <w:rPr>
        <w:rFonts w:hint="default"/>
      </w:rPr>
    </w:lvl>
    <w:lvl w:ilvl="8">
      <w:numFmt w:val="bullet"/>
      <w:lvlText w:val="•"/>
      <w:lvlJc w:val="left"/>
      <w:pPr>
        <w:ind w:left="9224" w:hanging="351"/>
      </w:pPr>
      <w:rPr>
        <w:rFonts w:hint="default"/>
      </w:rPr>
    </w:lvl>
  </w:abstractNum>
  <w:abstractNum w:abstractNumId="30" w15:restartNumberingAfterBreak="0">
    <w:nsid w:val="7E972B49"/>
    <w:multiLevelType w:val="multilevel"/>
    <w:tmpl w:val="09A4150A"/>
    <w:lvl w:ilvl="0">
      <w:start w:val="4"/>
      <w:numFmt w:val="decimal"/>
      <w:lvlText w:val="%1"/>
      <w:lvlJc w:val="left"/>
      <w:pPr>
        <w:ind w:left="2207" w:hanging="251"/>
        <w:jc w:val="left"/>
      </w:pPr>
      <w:rPr>
        <w:rFonts w:hint="default"/>
      </w:rPr>
    </w:lvl>
    <w:lvl w:ilvl="1">
      <w:start w:val="1"/>
      <w:numFmt w:val="decimal"/>
      <w:lvlText w:val="%1.%2"/>
      <w:lvlJc w:val="left"/>
      <w:pPr>
        <w:ind w:left="2207" w:hanging="251"/>
        <w:jc w:val="left"/>
      </w:pPr>
      <w:rPr>
        <w:rFonts w:ascii="Times New Roman" w:eastAsia="Times New Roman" w:hAnsi="Times New Roman" w:cs="Times New Roman" w:hint="default"/>
        <w:spacing w:val="-1"/>
        <w:w w:val="100"/>
        <w:sz w:val="18"/>
        <w:szCs w:val="18"/>
      </w:rPr>
    </w:lvl>
    <w:lvl w:ilvl="2">
      <w:numFmt w:val="bullet"/>
      <w:lvlText w:val="•"/>
      <w:lvlJc w:val="left"/>
      <w:pPr>
        <w:ind w:left="3956" w:hanging="251"/>
      </w:pPr>
      <w:rPr>
        <w:rFonts w:hint="default"/>
      </w:rPr>
    </w:lvl>
    <w:lvl w:ilvl="3">
      <w:numFmt w:val="bullet"/>
      <w:lvlText w:val="•"/>
      <w:lvlJc w:val="left"/>
      <w:pPr>
        <w:ind w:left="4834" w:hanging="251"/>
      </w:pPr>
      <w:rPr>
        <w:rFonts w:hint="default"/>
      </w:rPr>
    </w:lvl>
    <w:lvl w:ilvl="4">
      <w:numFmt w:val="bullet"/>
      <w:lvlText w:val="•"/>
      <w:lvlJc w:val="left"/>
      <w:pPr>
        <w:ind w:left="5712" w:hanging="251"/>
      </w:pPr>
      <w:rPr>
        <w:rFonts w:hint="default"/>
      </w:rPr>
    </w:lvl>
    <w:lvl w:ilvl="5">
      <w:numFmt w:val="bullet"/>
      <w:lvlText w:val="•"/>
      <w:lvlJc w:val="left"/>
      <w:pPr>
        <w:ind w:left="6590" w:hanging="251"/>
      </w:pPr>
      <w:rPr>
        <w:rFonts w:hint="default"/>
      </w:rPr>
    </w:lvl>
    <w:lvl w:ilvl="6">
      <w:numFmt w:val="bullet"/>
      <w:lvlText w:val="•"/>
      <w:lvlJc w:val="left"/>
      <w:pPr>
        <w:ind w:left="7468" w:hanging="251"/>
      </w:pPr>
      <w:rPr>
        <w:rFonts w:hint="default"/>
      </w:rPr>
    </w:lvl>
    <w:lvl w:ilvl="7">
      <w:numFmt w:val="bullet"/>
      <w:lvlText w:val="•"/>
      <w:lvlJc w:val="left"/>
      <w:pPr>
        <w:ind w:left="8346" w:hanging="251"/>
      </w:pPr>
      <w:rPr>
        <w:rFonts w:hint="default"/>
      </w:rPr>
    </w:lvl>
    <w:lvl w:ilvl="8">
      <w:numFmt w:val="bullet"/>
      <w:lvlText w:val="•"/>
      <w:lvlJc w:val="left"/>
      <w:pPr>
        <w:ind w:left="9224" w:hanging="251"/>
      </w:pPr>
      <w:rPr>
        <w:rFonts w:hint="default"/>
      </w:rPr>
    </w:lvl>
  </w:abstractNum>
  <w:num w:numId="1">
    <w:abstractNumId w:val="13"/>
  </w:num>
  <w:num w:numId="2">
    <w:abstractNumId w:val="19"/>
  </w:num>
  <w:num w:numId="3">
    <w:abstractNumId w:val="6"/>
  </w:num>
  <w:num w:numId="4">
    <w:abstractNumId w:val="5"/>
  </w:num>
  <w:num w:numId="5">
    <w:abstractNumId w:val="9"/>
  </w:num>
  <w:num w:numId="6">
    <w:abstractNumId w:val="0"/>
  </w:num>
  <w:num w:numId="7">
    <w:abstractNumId w:val="2"/>
  </w:num>
  <w:num w:numId="8">
    <w:abstractNumId w:val="3"/>
  </w:num>
  <w:num w:numId="9">
    <w:abstractNumId w:val="25"/>
  </w:num>
  <w:num w:numId="10">
    <w:abstractNumId w:val="16"/>
  </w:num>
  <w:num w:numId="11">
    <w:abstractNumId w:val="12"/>
  </w:num>
  <w:num w:numId="12">
    <w:abstractNumId w:val="29"/>
  </w:num>
  <w:num w:numId="13">
    <w:abstractNumId w:val="30"/>
  </w:num>
  <w:num w:numId="14">
    <w:abstractNumId w:val="22"/>
  </w:num>
  <w:num w:numId="15">
    <w:abstractNumId w:val="10"/>
  </w:num>
  <w:num w:numId="16">
    <w:abstractNumId w:val="23"/>
  </w:num>
  <w:num w:numId="17">
    <w:abstractNumId w:val="28"/>
  </w:num>
  <w:num w:numId="18">
    <w:abstractNumId w:val="18"/>
  </w:num>
  <w:num w:numId="19">
    <w:abstractNumId w:val="26"/>
  </w:num>
  <w:num w:numId="20">
    <w:abstractNumId w:val="20"/>
  </w:num>
  <w:num w:numId="21">
    <w:abstractNumId w:val="8"/>
  </w:num>
  <w:num w:numId="22">
    <w:abstractNumId w:val="27"/>
  </w:num>
  <w:num w:numId="23">
    <w:abstractNumId w:val="11"/>
  </w:num>
  <w:num w:numId="24">
    <w:abstractNumId w:val="21"/>
  </w:num>
  <w:num w:numId="25">
    <w:abstractNumId w:val="17"/>
  </w:num>
  <w:num w:numId="26">
    <w:abstractNumId w:val="14"/>
  </w:num>
  <w:num w:numId="27">
    <w:abstractNumId w:val="7"/>
  </w:num>
  <w:num w:numId="28">
    <w:abstractNumId w:val="24"/>
  </w:num>
  <w:num w:numId="29">
    <w:abstractNumId w:val="1"/>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FB"/>
    <w:rsid w:val="00D27C17"/>
    <w:rsid w:val="00E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7326B806"/>
  <w15:docId w15:val="{609764AB-FA84-4A87-9BCF-FF9D2A34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paragraph" w:styleId="Heading2">
    <w:name w:val="heading 2"/>
    <w:basedOn w:val="Normal"/>
    <w:uiPriority w:val="9"/>
    <w:unhideWhenUsed/>
    <w:qFormat/>
    <w:pPr>
      <w:ind w:left="190"/>
      <w:jc w:val="both"/>
      <w:outlineLvl w:val="1"/>
    </w:pPr>
    <w:rPr>
      <w:b/>
      <w:bCs/>
      <w:sz w:val="20"/>
      <w:szCs w:val="20"/>
    </w:rPr>
  </w:style>
  <w:style w:type="paragraph" w:styleId="Heading3">
    <w:name w:val="heading 3"/>
    <w:basedOn w:val="Normal"/>
    <w:uiPriority w:val="9"/>
    <w:unhideWhenUsed/>
    <w:qFormat/>
    <w:pPr>
      <w:ind w:left="190"/>
      <w:jc w:val="both"/>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814453/000081445320000215/exhibitnewellsavings40.htm" TargetMode="External"/><Relationship Id="rId299" Type="http://schemas.openxmlformats.org/officeDocument/2006/relationships/hyperlink" Target="http://www.sec.gov/Archives/edgar/data/814453/000162828019009873/newell-06302019xq2ex103.htm" TargetMode="External"/><Relationship Id="rId303" Type="http://schemas.openxmlformats.org/officeDocument/2006/relationships/hyperlink" Target="https://www.sec.gov/Archives/edgar/data/814453/000081445320000114/a107eighthomnibusamend.htm" TargetMode="External"/><Relationship Id="rId21" Type="http://schemas.openxmlformats.org/officeDocument/2006/relationships/footer" Target="footer10.xml"/><Relationship Id="rId42" Type="http://schemas.openxmlformats.org/officeDocument/2006/relationships/hyperlink" Target="http://www.sec.gov/Archives/edgar/data/814453/000119312514417882/d822655dex41.htm" TargetMode="External"/><Relationship Id="rId63" Type="http://schemas.openxmlformats.org/officeDocument/2006/relationships/hyperlink" Target="http://www.sec.gov/Archives/edgar/data/814453/000119312516523262/d166570dex44.htm" TargetMode="External"/><Relationship Id="rId84" Type="http://schemas.openxmlformats.org/officeDocument/2006/relationships/hyperlink" Target="http://www.sec.gov/Archives/edgar/data/814453/000119312519061714/d660135dex104.htm" TargetMode="External"/><Relationship Id="rId138" Type="http://schemas.openxmlformats.org/officeDocument/2006/relationships/hyperlink" Target="http://www.sec.gov/Archives/edgar/data/814453/000081445319000111/secondamendmentto2013i.htm" TargetMode="External"/><Relationship Id="rId159" Type="http://schemas.openxmlformats.org/officeDocument/2006/relationships/hyperlink" Target="http://www.sec.gov/Archives/edgar/data/814453/000118143111042087/rrd318175_35470.htm" TargetMode="External"/><Relationship Id="rId324" Type="http://schemas.openxmlformats.org/officeDocument/2006/relationships/footer" Target="footer26.xml"/><Relationship Id="rId170" Type="http://schemas.openxmlformats.org/officeDocument/2006/relationships/hyperlink" Target="https://www.sec.gov/Archives/edgar/data/814453/000081445320000114/ex104-2020formstockopt.htm" TargetMode="External"/><Relationship Id="rId191" Type="http://schemas.openxmlformats.org/officeDocument/2006/relationships/hyperlink" Target="https://www.sec.gov/Archives/edgar/data/814453/000081445320000114/ex102-2020formrsuaward.htm" TargetMode="External"/><Relationship Id="rId205" Type="http://schemas.openxmlformats.org/officeDocument/2006/relationships/hyperlink" Target="https://www.sec.gov/Archives/edgar/data/814453/000081445320000215/waiverandterminationag.htm" TargetMode="External"/><Relationship Id="rId226" Type="http://schemas.openxmlformats.org/officeDocument/2006/relationships/hyperlink" Target="http://www.sec.gov/Archives/edgar/data/814453/000119312519043394/d710067dex101.htm" TargetMode="External"/><Relationship Id="rId247" Type="http://schemas.openxmlformats.org/officeDocument/2006/relationships/hyperlink" Target="http://www.sec.gov/Archives/edgar/data/814453/000119312519181893/d772169dex101.htm" TargetMode="External"/><Relationship Id="rId107" Type="http://schemas.openxmlformats.org/officeDocument/2006/relationships/hyperlink" Target="http://www.sec.gov/Archives/edgar/data/814453/000081445313000096/nwl-exx106x2013xq2.htm" TargetMode="External"/><Relationship Id="rId268" Type="http://schemas.openxmlformats.org/officeDocument/2006/relationships/hyperlink" Target="http://www.sec.gov/Archives/edgar/data/814453/000119312517337345/d460834dex104.htm" TargetMode="External"/><Relationship Id="rId289" Type="http://schemas.openxmlformats.org/officeDocument/2006/relationships/hyperlink" Target="http://www.sec.gov/Archives/edgar/data/814453/000119312519075768/d724155dex101.htm" TargetMode="External"/><Relationship Id="rId11" Type="http://schemas.openxmlformats.org/officeDocument/2006/relationships/footer" Target="footer3.xml"/><Relationship Id="rId32" Type="http://schemas.openxmlformats.org/officeDocument/2006/relationships/hyperlink" Target="http://www.sec.gov/Archives/edgar/data/814453/000119312519144259/d738214dex31.htm" TargetMode="External"/><Relationship Id="rId53" Type="http://schemas.openxmlformats.org/officeDocument/2006/relationships/hyperlink" Target="http://www.sec.gov/Archives/edgar/data/814453/000119312514417882/d822655dex43.htm" TargetMode="External"/><Relationship Id="rId74" Type="http://schemas.openxmlformats.org/officeDocument/2006/relationships/hyperlink" Target="http://www.sec.gov/Archives/edgar/data/814453/000081445317000027/nwl-ex419x123116.htm" TargetMode="External"/><Relationship Id="rId128" Type="http://schemas.openxmlformats.org/officeDocument/2006/relationships/hyperlink" Target="http://www.sec.gov/Archives/edgar/data/814453/000119312510120445/dex101.htm" TargetMode="External"/><Relationship Id="rId149" Type="http://schemas.openxmlformats.org/officeDocument/2006/relationships/hyperlink" Target="https://www.sec.gov/Archives/edgar/data/814453/000119312520217666/d934862dex101.htm" TargetMode="External"/><Relationship Id="rId314" Type="http://schemas.openxmlformats.org/officeDocument/2006/relationships/footer" Target="footer16.xml"/><Relationship Id="rId5" Type="http://schemas.openxmlformats.org/officeDocument/2006/relationships/footnotes" Target="footnotes.xml"/><Relationship Id="rId95" Type="http://schemas.openxmlformats.org/officeDocument/2006/relationships/hyperlink" Target="http://www.sec.gov/Archives/edgar/data/814453/000095013704003845/c85256exv10w1.txt" TargetMode="External"/><Relationship Id="rId160" Type="http://schemas.openxmlformats.org/officeDocument/2006/relationships/hyperlink" Target="http://www.sec.gov/Archives/edgar/data/814453/000118143111042087/rrd318175_35470.htm" TargetMode="External"/><Relationship Id="rId181" Type="http://schemas.openxmlformats.org/officeDocument/2006/relationships/hyperlink" Target="https://www.sec.gov/Archives/edgar/data/814453/000081445320000114/ex106-2020formstockopt.htm" TargetMode="External"/><Relationship Id="rId216" Type="http://schemas.openxmlformats.org/officeDocument/2006/relationships/hyperlink" Target="http://www.sec.gov/Archives/edgar/data/814453/000119312518167960/d738073dex991.htm" TargetMode="External"/><Relationship Id="rId237" Type="http://schemas.openxmlformats.org/officeDocument/2006/relationships/hyperlink" Target="http://www.sec.gov/Archives/edgar/data/814453/000119312519141536/d928651dex108.htm" TargetMode="External"/><Relationship Id="rId258" Type="http://schemas.openxmlformats.org/officeDocument/2006/relationships/hyperlink" Target="http://www.sec.gov/Archives/edgar/data/814453/000119312518352131/d676337dex101.htm" TargetMode="External"/><Relationship Id="rId279" Type="http://schemas.openxmlformats.org/officeDocument/2006/relationships/hyperlink" Target="http://www.sec.gov/Archives/edgar/data/814453/000119312517166044/d525259dex101.htm" TargetMode="External"/><Relationship Id="rId22" Type="http://schemas.openxmlformats.org/officeDocument/2006/relationships/footer" Target="footer11.xml"/><Relationship Id="rId43" Type="http://schemas.openxmlformats.org/officeDocument/2006/relationships/hyperlink" Target="http://www.sec.gov/Archives/edgar/data/814453/000081445316000202/nwlex412016q1.htm" TargetMode="External"/><Relationship Id="rId64" Type="http://schemas.openxmlformats.org/officeDocument/2006/relationships/hyperlink" Target="http://www.sec.gov/Archives/edgar/data/814453/000119312516523262/d166570dex44.htm" TargetMode="External"/><Relationship Id="rId118" Type="http://schemas.openxmlformats.org/officeDocument/2006/relationships/hyperlink" Target="https://www.sec.gov/Archives/edgar/data/814453/000081445320000215/exhibitnewellsavings40.htm" TargetMode="External"/><Relationship Id="rId139" Type="http://schemas.openxmlformats.org/officeDocument/2006/relationships/hyperlink" Target="http://www.sec.gov/Archives/edgar/data/814453/000081445319000111/secondamendmentto2013i.htm" TargetMode="External"/><Relationship Id="rId290" Type="http://schemas.openxmlformats.org/officeDocument/2006/relationships/hyperlink" Target="http://www.sec.gov/Archives/edgar/data/814453/000119312519075768/d724155dex101.htm" TargetMode="External"/><Relationship Id="rId304" Type="http://schemas.openxmlformats.org/officeDocument/2006/relationships/hyperlink" Target="https://www.sec.gov/Archives/edgar/data/814453/000081445320000114/a107eighthomnibusamend.htm" TargetMode="External"/><Relationship Id="rId325" Type="http://schemas.openxmlformats.org/officeDocument/2006/relationships/footer" Target="footer27.xml"/><Relationship Id="rId85" Type="http://schemas.openxmlformats.org/officeDocument/2006/relationships/hyperlink" Target="http://www.sec.gov/Archives/edgar/data/814453/000119312519061714/d660135dex104.htm" TargetMode="External"/><Relationship Id="rId150" Type="http://schemas.openxmlformats.org/officeDocument/2006/relationships/hyperlink" Target="https://www.sec.gov/Archives/edgar/data/814453/000119312520217666/d934862dex101.htm" TargetMode="External"/><Relationship Id="rId171" Type="http://schemas.openxmlformats.org/officeDocument/2006/relationships/hyperlink" Target="https://www.sec.gov/Archives/edgar/data/814453/000081445320000114/ex104-2020formstockopt.htm" TargetMode="External"/><Relationship Id="rId192" Type="http://schemas.openxmlformats.org/officeDocument/2006/relationships/hyperlink" Target="https://www.sec.gov/Archives/edgar/data/814453/000081445320000114/ex103-2020formrsuaward.htm" TargetMode="External"/><Relationship Id="rId206" Type="http://schemas.openxmlformats.org/officeDocument/2006/relationships/hyperlink" Target="http://www.sec.gov/Archives/edgar/data/814453/000081445313000096/nwl-exx102x2013xq2.htm" TargetMode="External"/><Relationship Id="rId227" Type="http://schemas.openxmlformats.org/officeDocument/2006/relationships/hyperlink" Target="http://www.sec.gov/Archives/edgar/data/814453/000119312519043394/d710067dex101.htm" TargetMode="External"/><Relationship Id="rId248" Type="http://schemas.openxmlformats.org/officeDocument/2006/relationships/hyperlink" Target="http://www.sec.gov/Archives/edgar/data/814453/000119312519181893/d772169dex102.htm" TargetMode="External"/><Relationship Id="rId269" Type="http://schemas.openxmlformats.org/officeDocument/2006/relationships/hyperlink" Target="http://www.sec.gov/Archives/edgar/data/814453/000119312517337345/d460834dex104.htm" TargetMode="External"/><Relationship Id="rId12" Type="http://schemas.openxmlformats.org/officeDocument/2006/relationships/image" Target="media/image2.png"/><Relationship Id="rId33" Type="http://schemas.openxmlformats.org/officeDocument/2006/relationships/hyperlink" Target="http://www.sec.gov/Archives/edgar/data/814453/000119312519144259/d738214dex31.htm" TargetMode="External"/><Relationship Id="rId108" Type="http://schemas.openxmlformats.org/officeDocument/2006/relationships/hyperlink" Target="http://www.sec.gov/Archives/edgar/data/814453/000119312519061714/d660135dex1011.htm" TargetMode="External"/><Relationship Id="rId129" Type="http://schemas.openxmlformats.org/officeDocument/2006/relationships/hyperlink" Target="http://www.sec.gov/Archives/edgar/data/814453/000119312511212468/dex103.htm" TargetMode="External"/><Relationship Id="rId280" Type="http://schemas.openxmlformats.org/officeDocument/2006/relationships/hyperlink" Target="http://www.sec.gov/Archives/edgar/data/814453/000119312517166044/d525259dex101.htm" TargetMode="External"/><Relationship Id="rId315" Type="http://schemas.openxmlformats.org/officeDocument/2006/relationships/footer" Target="footer17.xml"/><Relationship Id="rId54" Type="http://schemas.openxmlformats.org/officeDocument/2006/relationships/hyperlink" Target="http://www.sec.gov/Archives/edgar/data/814453/000119312515346801/d99406dex42.htm" TargetMode="External"/><Relationship Id="rId75" Type="http://schemas.openxmlformats.org/officeDocument/2006/relationships/hyperlink" Target="https://www.sec.gov/Archives/edgar/data/814453/000119312520151073/d927879dex41.htm" TargetMode="External"/><Relationship Id="rId96" Type="http://schemas.openxmlformats.org/officeDocument/2006/relationships/hyperlink" Target="http://www.sec.gov/Archives/edgar/data/814453/000081445313000096/nwl-exx101x2013xq2.htm" TargetMode="External"/><Relationship Id="rId140" Type="http://schemas.openxmlformats.org/officeDocument/2006/relationships/hyperlink" Target="http://www.sec.gov/Archives/edgar/data/814453/000119312518048732/d324750dex101.htm" TargetMode="External"/><Relationship Id="rId161" Type="http://schemas.openxmlformats.org/officeDocument/2006/relationships/hyperlink" Target="http://www.sec.gov/Archives/edgar/data/814453/000081445316000258/nwl-exx108x2016xq2.htm" TargetMode="External"/><Relationship Id="rId182" Type="http://schemas.openxmlformats.org/officeDocument/2006/relationships/hyperlink" Target="http://www.sec.gov/Archives/edgar/data/814453/000119312518048732/d324750dex102.htm" TargetMode="External"/><Relationship Id="rId217" Type="http://schemas.openxmlformats.org/officeDocument/2006/relationships/hyperlink" Target="http://www.sec.gov/Archives/edgar/data/814453/000119312518167960/d738073dex991.htm" TargetMode="External"/><Relationship Id="rId6" Type="http://schemas.openxmlformats.org/officeDocument/2006/relationships/endnotes" Target="endnotes.xml"/><Relationship Id="rId238" Type="http://schemas.openxmlformats.org/officeDocument/2006/relationships/hyperlink" Target="http://www.sec.gov/Archives/edgar/data/814453/000119312519141536/d928651dex108.htm" TargetMode="External"/><Relationship Id="rId259" Type="http://schemas.openxmlformats.org/officeDocument/2006/relationships/hyperlink" Target="http://www.sec.gov/Archives/edgar/data/814453/000119312518352131/d676337dex101.htm" TargetMode="External"/><Relationship Id="rId23" Type="http://schemas.openxmlformats.org/officeDocument/2006/relationships/footer" Target="footer12.xml"/><Relationship Id="rId119" Type="http://schemas.openxmlformats.org/officeDocument/2006/relationships/hyperlink" Target="https://www.sec.gov/Archives/edgar/data/814453/000081445320000215/exhibitnewellsavings40.htm" TargetMode="External"/><Relationship Id="rId270" Type="http://schemas.openxmlformats.org/officeDocument/2006/relationships/hyperlink" Target="http://www.sec.gov/Archives/edgar/data/814453/000119312517337345/d460834dex104.htm" TargetMode="External"/><Relationship Id="rId291" Type="http://schemas.openxmlformats.org/officeDocument/2006/relationships/hyperlink" Target="http://www.sec.gov/Archives/edgar/data/814453/000119312519075768/d724155dex101.htm" TargetMode="External"/><Relationship Id="rId305" Type="http://schemas.openxmlformats.org/officeDocument/2006/relationships/hyperlink" Target="https://www.sec.gov/Archives/edgar/data/814453/000081445320000114/a107eighthomnibusamend.htm" TargetMode="External"/><Relationship Id="rId326" Type="http://schemas.openxmlformats.org/officeDocument/2006/relationships/footer" Target="footer28.xml"/><Relationship Id="rId44" Type="http://schemas.openxmlformats.org/officeDocument/2006/relationships/hyperlink" Target="http://www.sec.gov/Archives/edgar/data/814453/000081445316000202/nwlex412016q1.htm" TargetMode="External"/><Relationship Id="rId65" Type="http://schemas.openxmlformats.org/officeDocument/2006/relationships/hyperlink" Target="http://www.sec.gov/Archives/edgar/data/814453/000119312516523262/d166570dex44.htm" TargetMode="External"/><Relationship Id="rId86" Type="http://schemas.openxmlformats.org/officeDocument/2006/relationships/hyperlink" Target="http://www.sec.gov/Archives/edgar/data/814453/000119312519061714/d660135dex104.htm" TargetMode="External"/><Relationship Id="rId130" Type="http://schemas.openxmlformats.org/officeDocument/2006/relationships/hyperlink" Target="http://www.sec.gov/Archives/edgar/data/814453/000119312511212468/dex103.htm" TargetMode="External"/><Relationship Id="rId151" Type="http://schemas.openxmlformats.org/officeDocument/2006/relationships/hyperlink" Target="https://www.sec.gov/Archives/edgar/data/814453/000119312520217666/d934862dex101.htm" TargetMode="External"/><Relationship Id="rId172" Type="http://schemas.openxmlformats.org/officeDocument/2006/relationships/hyperlink" Target="https://www.sec.gov/Archives/edgar/data/814453/000081445320000114/ex104-2020formstockopt.htm" TargetMode="External"/><Relationship Id="rId193" Type="http://schemas.openxmlformats.org/officeDocument/2006/relationships/hyperlink" Target="https://www.sec.gov/Archives/edgar/data/814453/000081445320000114/ex103-2020formrsuaward.htm" TargetMode="External"/><Relationship Id="rId207" Type="http://schemas.openxmlformats.org/officeDocument/2006/relationships/hyperlink" Target="http://www.sec.gov/Archives/edgar/data/814453/000081445313000096/nwl-exx102x2013xq2.htm" TargetMode="External"/><Relationship Id="rId228" Type="http://schemas.openxmlformats.org/officeDocument/2006/relationships/hyperlink" Target="http://www.sec.gov/Archives/edgar/data/814453/000119312519141536/d928651dex104.htm" TargetMode="External"/><Relationship Id="rId249" Type="http://schemas.openxmlformats.org/officeDocument/2006/relationships/hyperlink" Target="http://www.sec.gov/Archives/edgar/data/814453/000119312519181893/d772169dex102.htm" TargetMode="External"/><Relationship Id="rId13" Type="http://schemas.openxmlformats.org/officeDocument/2006/relationships/image" Target="media/image3.png"/><Relationship Id="rId109" Type="http://schemas.openxmlformats.org/officeDocument/2006/relationships/hyperlink" Target="http://www.sec.gov/Archives/edgar/data/814453/000119312519061714/d660135dex1011.htm" TargetMode="External"/><Relationship Id="rId260" Type="http://schemas.openxmlformats.org/officeDocument/2006/relationships/hyperlink" Target="http://www.sec.gov/Archives/edgar/data/814453/000119312518352131/d676337dex101.htm" TargetMode="External"/><Relationship Id="rId281" Type="http://schemas.openxmlformats.org/officeDocument/2006/relationships/hyperlink" Target="http://www.sec.gov/Archives/edgar/data/814453/000119312517166044/d525259dex101.htm" TargetMode="External"/><Relationship Id="rId316" Type="http://schemas.openxmlformats.org/officeDocument/2006/relationships/footer" Target="footer18.xml"/><Relationship Id="rId34" Type="http://schemas.openxmlformats.org/officeDocument/2006/relationships/hyperlink" Target="http://www.sec.gov/Archives/edgar/data/814453/000119312519144259/d738214dex31.htm" TargetMode="External"/><Relationship Id="rId55" Type="http://schemas.openxmlformats.org/officeDocument/2006/relationships/hyperlink" Target="http://www.sec.gov/Archives/edgar/data/814453/000119312515346801/d99406dex42.htm" TargetMode="External"/><Relationship Id="rId76" Type="http://schemas.openxmlformats.org/officeDocument/2006/relationships/hyperlink" Target="https://www.sec.gov/Archives/edgar/data/814453/000119312520151073/d927879dex41.htm" TargetMode="External"/><Relationship Id="rId97" Type="http://schemas.openxmlformats.org/officeDocument/2006/relationships/hyperlink" Target="http://www.sec.gov/Archives/edgar/data/814453/000081445313000096/nwl-exx101x2013xq2.htm" TargetMode="External"/><Relationship Id="rId120" Type="http://schemas.openxmlformats.org/officeDocument/2006/relationships/hyperlink" Target="https://www.sec.gov/Archives/edgar/data/814453/000081445320000215/exhibitnewellsavings40.htm" TargetMode="External"/><Relationship Id="rId141" Type="http://schemas.openxmlformats.org/officeDocument/2006/relationships/hyperlink" Target="http://www.sec.gov/Archives/edgar/data/814453/000119312518048732/d324750dex101.htm" TargetMode="External"/><Relationship Id="rId7" Type="http://schemas.openxmlformats.org/officeDocument/2006/relationships/hyperlink" Target="http://www.newellbrands.com/" TargetMode="External"/><Relationship Id="rId162" Type="http://schemas.openxmlformats.org/officeDocument/2006/relationships/hyperlink" Target="http://www.sec.gov/Archives/edgar/data/814453/000081445316000258/nwl-exx108x2016xq2.htm" TargetMode="External"/><Relationship Id="rId183" Type="http://schemas.openxmlformats.org/officeDocument/2006/relationships/hyperlink" Target="http://www.sec.gov/Archives/edgar/data/814453/000119312518048732/d324750dex102.htm" TargetMode="External"/><Relationship Id="rId218" Type="http://schemas.openxmlformats.org/officeDocument/2006/relationships/hyperlink" Target="https://www.sec.gov/Archives/edgar/data/814453/000119312518167960/d738073dex992.htm" TargetMode="External"/><Relationship Id="rId239" Type="http://schemas.openxmlformats.org/officeDocument/2006/relationships/hyperlink" Target="http://www.sec.gov/Archives/edgar/data/814453/000119312519141536/d928651dex108.htm" TargetMode="External"/><Relationship Id="rId250" Type="http://schemas.openxmlformats.org/officeDocument/2006/relationships/hyperlink" Target="http://www.sec.gov/Archives/edgar/data/814453/000119312519206923/d767832dex101.htm" TargetMode="External"/><Relationship Id="rId271" Type="http://schemas.openxmlformats.org/officeDocument/2006/relationships/hyperlink" Target="http://www.sec.gov/Archives/edgar/data/814453/000119312517337345/d460834dex104.htm" TargetMode="External"/><Relationship Id="rId292" Type="http://schemas.openxmlformats.org/officeDocument/2006/relationships/hyperlink" Target="http://www.sec.gov/Archives/edgar/data/814453/000119312519075768/d724155dex101.htm" TargetMode="External"/><Relationship Id="rId306" Type="http://schemas.openxmlformats.org/officeDocument/2006/relationships/hyperlink" Target="https://www.sec.gov/Archives/edgar/data/814453/000081445320000114/a107eighthomnibusamend.htm" TargetMode="External"/><Relationship Id="rId24" Type="http://schemas.openxmlformats.org/officeDocument/2006/relationships/hyperlink" Target="http://www.newellbrands.com/" TargetMode="External"/><Relationship Id="rId45" Type="http://schemas.openxmlformats.org/officeDocument/2006/relationships/hyperlink" Target="http://www.sec.gov/Archives/edgar/data/814453/000081445316000202/nwlex412016q1.htm" TargetMode="External"/><Relationship Id="rId66" Type="http://schemas.openxmlformats.org/officeDocument/2006/relationships/hyperlink" Target="http://www.sec.gov/Archives/edgar/data/814453/000119312516523262/d166570dex45.htm" TargetMode="External"/><Relationship Id="rId87" Type="http://schemas.openxmlformats.org/officeDocument/2006/relationships/hyperlink" Target="http://www.sec.gov/Archives/edgar/data/814453/000119312519061714/d660135dex103.htm" TargetMode="External"/><Relationship Id="rId110" Type="http://schemas.openxmlformats.org/officeDocument/2006/relationships/hyperlink" Target="http://www.sec.gov/Archives/edgar/data/814453/000119312519061714/d660135dex1011.htm" TargetMode="External"/><Relationship Id="rId131" Type="http://schemas.openxmlformats.org/officeDocument/2006/relationships/hyperlink" Target="http://www.sec.gov/Archives/edgar/data/814453/000119312511212468/dex103.htm" TargetMode="External"/><Relationship Id="rId327" Type="http://schemas.openxmlformats.org/officeDocument/2006/relationships/footer" Target="footer29.xml"/><Relationship Id="rId152" Type="http://schemas.openxmlformats.org/officeDocument/2006/relationships/hyperlink" Target="http://www.sec.gov/Archives/edgar/data/814453/000081445317000014/nwl8-k2017comp292017ex103.htm" TargetMode="External"/><Relationship Id="rId173" Type="http://schemas.openxmlformats.org/officeDocument/2006/relationships/hyperlink" Target="https://www.sec.gov/Archives/edgar/data/814453/000081445320000114/ex104-2020formstockopt.htm" TargetMode="External"/><Relationship Id="rId194" Type="http://schemas.openxmlformats.org/officeDocument/2006/relationships/hyperlink" Target="https://www.sec.gov/Archives/edgar/data/814453/000081445320000114/ex103-2020formrsuaward.htm" TargetMode="External"/><Relationship Id="rId208" Type="http://schemas.openxmlformats.org/officeDocument/2006/relationships/hyperlink" Target="http://www.sec.gov/Archives/edgar/data/814453/000081445313000096/nwl-exx102x2013xq2.htm" TargetMode="External"/><Relationship Id="rId229" Type="http://schemas.openxmlformats.org/officeDocument/2006/relationships/hyperlink" Target="http://www.sec.gov/Archives/edgar/data/814453/000119312519141536/d928651dex104.htm" TargetMode="External"/><Relationship Id="rId240" Type="http://schemas.openxmlformats.org/officeDocument/2006/relationships/hyperlink" Target="https://www.sec.gov/Archives/edgar/data/814453/000119312518167960/d738073dex992.htm" TargetMode="External"/><Relationship Id="rId261" Type="http://schemas.openxmlformats.org/officeDocument/2006/relationships/hyperlink" Target="http://www.sec.gov/Archives/edgar/data/814453/000119312519262755/d786410dex101.htm" TargetMode="External"/><Relationship Id="rId14" Type="http://schemas.openxmlformats.org/officeDocument/2006/relationships/image" Target="media/image4.png"/><Relationship Id="rId35" Type="http://schemas.openxmlformats.org/officeDocument/2006/relationships/hyperlink" Target="http://www.sec.gov/Archives/edgar/data/814453/000119312519144259/d738214dex32.htm" TargetMode="External"/><Relationship Id="rId56" Type="http://schemas.openxmlformats.org/officeDocument/2006/relationships/hyperlink" Target="http://www.sec.gov/Archives/edgar/data/814453/000119312515346801/d99406dex42.htm" TargetMode="External"/><Relationship Id="rId77" Type="http://schemas.openxmlformats.org/officeDocument/2006/relationships/hyperlink" Target="https://www.sec.gov/Archives/edgar/data/814453/000119312520151073/d927879dex41.htm" TargetMode="External"/><Relationship Id="rId100" Type="http://schemas.openxmlformats.org/officeDocument/2006/relationships/hyperlink" Target="http://www.sec.gov/Archives/edgar/data/814453/000119312519061714/d660135dex108.htm" TargetMode="External"/><Relationship Id="rId282" Type="http://schemas.openxmlformats.org/officeDocument/2006/relationships/hyperlink" Target="http://www.sec.gov/Archives/edgar/data/814453/000119312517166044/d525259dex101.htm" TargetMode="External"/><Relationship Id="rId317" Type="http://schemas.openxmlformats.org/officeDocument/2006/relationships/footer" Target="footer19.xml"/><Relationship Id="rId8" Type="http://schemas.openxmlformats.org/officeDocument/2006/relationships/footer" Target="footer1.xml"/><Relationship Id="rId51" Type="http://schemas.openxmlformats.org/officeDocument/2006/relationships/hyperlink" Target="http://www.sec.gov/Archives/edgar/data/814453/000119312514417882/d822655dex43.htm" TargetMode="External"/><Relationship Id="rId72" Type="http://schemas.openxmlformats.org/officeDocument/2006/relationships/hyperlink" Target="http://www.sec.gov/Archives/edgar/data/814453/000081445317000027/nwl-ex419x123116.htm" TargetMode="External"/><Relationship Id="rId93" Type="http://schemas.openxmlformats.org/officeDocument/2006/relationships/hyperlink" Target="http://www.sec.gov/Archives/edgar/data/814453/000095013704003845/c85256exv10w1.txt" TargetMode="External"/><Relationship Id="rId98" Type="http://schemas.openxmlformats.org/officeDocument/2006/relationships/hyperlink" Target="http://www.sec.gov/Archives/edgar/data/814453/000081445313000096/nwl-exx101x2013xq2.htm" TargetMode="External"/><Relationship Id="rId121" Type="http://schemas.openxmlformats.org/officeDocument/2006/relationships/hyperlink" Target="http://www.sec.gov/Archives/edgar/data/814453/000119312519061714/d660135dex1017.htm" TargetMode="External"/><Relationship Id="rId142" Type="http://schemas.openxmlformats.org/officeDocument/2006/relationships/hyperlink" Target="http://www.sec.gov/Archives/edgar/data/814453/000119312518048732/d324750dex101.htm" TargetMode="External"/><Relationship Id="rId163" Type="http://schemas.openxmlformats.org/officeDocument/2006/relationships/hyperlink" Target="http://www.sec.gov/Archives/edgar/data/814453/000081445316000258/nwl-exx108x2016xq2.htm" TargetMode="External"/><Relationship Id="rId184" Type="http://schemas.openxmlformats.org/officeDocument/2006/relationships/hyperlink" Target="http://www.sec.gov/Archives/edgar/data/814453/000119312518048732/d324750dex102.htm" TargetMode="External"/><Relationship Id="rId189" Type="http://schemas.openxmlformats.org/officeDocument/2006/relationships/hyperlink" Target="https://www.sec.gov/Archives/edgar/data/814453/000081445320000114/ex102-2020formrsuaward.htm" TargetMode="External"/><Relationship Id="rId219" Type="http://schemas.openxmlformats.org/officeDocument/2006/relationships/hyperlink" Target="https://www.sec.gov/Archives/edgar/data/814453/000119312518167960/d738073dex992.htm" TargetMode="External"/><Relationship Id="rId3" Type="http://schemas.openxmlformats.org/officeDocument/2006/relationships/settings" Target="settings.xml"/><Relationship Id="rId214" Type="http://schemas.openxmlformats.org/officeDocument/2006/relationships/hyperlink" Target="https://www.sec.gov/Archives/edgar/data/814453/000119312520329845/d50791dex101.htm" TargetMode="External"/><Relationship Id="rId230" Type="http://schemas.openxmlformats.org/officeDocument/2006/relationships/hyperlink" Target="http://www.sec.gov/Archives/edgar/data/814453/000119312519141536/d928651dex104.htm" TargetMode="External"/><Relationship Id="rId235" Type="http://schemas.openxmlformats.org/officeDocument/2006/relationships/hyperlink" Target="http://www.sec.gov/Archives/edgar/data/814453/000119312519083524/d725531dex101.htm" TargetMode="External"/><Relationship Id="rId251" Type="http://schemas.openxmlformats.org/officeDocument/2006/relationships/hyperlink" Target="http://www.sec.gov/Archives/edgar/data/814453/000119312519206923/d767832dex101.htm" TargetMode="External"/><Relationship Id="rId256" Type="http://schemas.openxmlformats.org/officeDocument/2006/relationships/hyperlink" Target="http://www.sec.gov/Archives/edgar/data/814453/000119312518352131/d676337dex101.htm" TargetMode="External"/><Relationship Id="rId277" Type="http://schemas.openxmlformats.org/officeDocument/2006/relationships/hyperlink" Target="http://www.sec.gov/Archives/edgar/data/814453/000081445317000027/nwl-ex1049x123116.htm" TargetMode="External"/><Relationship Id="rId298" Type="http://schemas.openxmlformats.org/officeDocument/2006/relationships/hyperlink" Target="http://www.sec.gov/Archives/edgar/data/814453/000162828019009873/newell-06302019xq2ex103.htm" TargetMode="External"/><Relationship Id="rId25" Type="http://schemas.openxmlformats.org/officeDocument/2006/relationships/hyperlink" Target="http://www.sec.gov/Archives/edgar/data/814453/000119312515402638/d96046dex21.htm" TargetMode="External"/><Relationship Id="rId46" Type="http://schemas.openxmlformats.org/officeDocument/2006/relationships/hyperlink" Target="http://www.sec.gov/Archives/edgar/data/814453/000119312512271046/d367160dex43.htm" TargetMode="External"/><Relationship Id="rId67" Type="http://schemas.openxmlformats.org/officeDocument/2006/relationships/hyperlink" Target="http://www.sec.gov/Archives/edgar/data/814453/000119312516523262/d166570dex45.htm" TargetMode="External"/><Relationship Id="rId116" Type="http://schemas.openxmlformats.org/officeDocument/2006/relationships/hyperlink" Target="http://www.sec.gov/Archives/edgar/data/814453/000119312518067603/d494599dex107.htm" TargetMode="External"/><Relationship Id="rId137" Type="http://schemas.openxmlformats.org/officeDocument/2006/relationships/hyperlink" Target="http://www.sec.gov/Archives/edgar/data/814453/000081445319000111/secondamendmentto2013i.htm" TargetMode="External"/><Relationship Id="rId158" Type="http://schemas.openxmlformats.org/officeDocument/2006/relationships/hyperlink" Target="http://www.sec.gov/Archives/edgar/data/814453/000119312509042727/dex109.htm" TargetMode="External"/><Relationship Id="rId272" Type="http://schemas.openxmlformats.org/officeDocument/2006/relationships/hyperlink" Target="http://www.sec.gov/Archives/edgar/data/814453/000119312517337345/d460834dex104.htm" TargetMode="External"/><Relationship Id="rId293" Type="http://schemas.openxmlformats.org/officeDocument/2006/relationships/hyperlink" Target="http://www.sec.gov/Archives/edgar/data/814453/000119312519075768/d724155dex101.htm" TargetMode="External"/><Relationship Id="rId302" Type="http://schemas.openxmlformats.org/officeDocument/2006/relationships/hyperlink" Target="https://www.sec.gov/Archives/edgar/data/814453/000081445320000114/a107eighthomnibusamend.htm" TargetMode="External"/><Relationship Id="rId307" Type="http://schemas.openxmlformats.org/officeDocument/2006/relationships/hyperlink" Target="https://www.sec.gov/Archives/edgar/data/814453/000081445320000114/a107eighthomnibusamend.htm" TargetMode="External"/><Relationship Id="rId323" Type="http://schemas.openxmlformats.org/officeDocument/2006/relationships/footer" Target="footer25.xml"/><Relationship Id="rId328" Type="http://schemas.openxmlformats.org/officeDocument/2006/relationships/footer" Target="footer30.xml"/><Relationship Id="rId20" Type="http://schemas.openxmlformats.org/officeDocument/2006/relationships/footer" Target="footer9.xml"/><Relationship Id="rId41" Type="http://schemas.openxmlformats.org/officeDocument/2006/relationships/hyperlink" Target="http://www.sec.gov/Archives/edgar/data/814453/000119312514417882/d822655dex41.htm" TargetMode="External"/><Relationship Id="rId62" Type="http://schemas.openxmlformats.org/officeDocument/2006/relationships/hyperlink" Target="http://www.sec.gov/Archives/edgar/data/814453/000119312516523262/d166570dex43.htm" TargetMode="External"/><Relationship Id="rId83" Type="http://schemas.openxmlformats.org/officeDocument/2006/relationships/hyperlink" Target="http://www.sec.gov/Archives/edgar/data/814453/000119312519061714/d660135dex102.htm" TargetMode="External"/><Relationship Id="rId88" Type="http://schemas.openxmlformats.org/officeDocument/2006/relationships/hyperlink" Target="http://www.sec.gov/Archives/edgar/data/814453/000119312519061714/d660135dex103.htm" TargetMode="External"/><Relationship Id="rId111" Type="http://schemas.openxmlformats.org/officeDocument/2006/relationships/hyperlink" Target="http://www.sec.gov/Archives/edgar/data/814453/000119312519061714/d660135dex1012.htm" TargetMode="External"/><Relationship Id="rId132" Type="http://schemas.openxmlformats.org/officeDocument/2006/relationships/hyperlink" Target="http://www.sec.gov/Archives/edgar/data/814453/000119312513132259/d466762ddef14a.htm" TargetMode="External"/><Relationship Id="rId153" Type="http://schemas.openxmlformats.org/officeDocument/2006/relationships/hyperlink" Target="http://www.sec.gov/Archives/edgar/data/814453/000081445317000014/nwl8-k2017comp292017ex103.htm" TargetMode="External"/><Relationship Id="rId174" Type="http://schemas.openxmlformats.org/officeDocument/2006/relationships/hyperlink" Target="https://www.sec.gov/Archives/edgar/data/814453/000081445320000114/ex105-2020formstockopt.htm" TargetMode="External"/><Relationship Id="rId179" Type="http://schemas.openxmlformats.org/officeDocument/2006/relationships/hyperlink" Target="https://www.sec.gov/Archives/edgar/data/814453/000081445320000114/ex106-2020formstockopt.htm" TargetMode="External"/><Relationship Id="rId195" Type="http://schemas.openxmlformats.org/officeDocument/2006/relationships/hyperlink" Target="https://www.sec.gov/Archives/edgar/data/814453/000081445320000114/ex103-2020formrsuaward.htm" TargetMode="External"/><Relationship Id="rId209" Type="http://schemas.openxmlformats.org/officeDocument/2006/relationships/hyperlink" Target="http://www.sec.gov/Archives/edgar/data/814453/000119312519061714/d660135dex1061.htm" TargetMode="External"/><Relationship Id="rId190" Type="http://schemas.openxmlformats.org/officeDocument/2006/relationships/hyperlink" Target="https://www.sec.gov/Archives/edgar/data/814453/000081445320000114/ex102-2020formrsuaward.htm" TargetMode="External"/><Relationship Id="rId204" Type="http://schemas.openxmlformats.org/officeDocument/2006/relationships/hyperlink" Target="https://www.sec.gov/Archives/edgar/data/814453/000081445320000215/waiverandterminationag.htm" TargetMode="External"/><Relationship Id="rId220" Type="http://schemas.openxmlformats.org/officeDocument/2006/relationships/hyperlink" Target="https://www.sec.gov/Archives/edgar/data/814453/000119312518167960/d738073dex992.htm" TargetMode="External"/><Relationship Id="rId225" Type="http://schemas.openxmlformats.org/officeDocument/2006/relationships/hyperlink" Target="http://www.sec.gov/Archives/edgar/data/814453/000119312519043394/d710067dex101.htm" TargetMode="External"/><Relationship Id="rId241" Type="http://schemas.openxmlformats.org/officeDocument/2006/relationships/hyperlink" Target="https://www.sec.gov/Archives/edgar/data/814453/000119312518167960/d738073dex992.htm" TargetMode="External"/><Relationship Id="rId246" Type="http://schemas.openxmlformats.org/officeDocument/2006/relationships/hyperlink" Target="http://www.sec.gov/Archives/edgar/data/814453/000119312519181893/d772169dex101.htm" TargetMode="External"/><Relationship Id="rId267" Type="http://schemas.openxmlformats.org/officeDocument/2006/relationships/hyperlink" Target="http://www.sec.gov/Archives/edgar/data/814453/000119312517337345/d460834dex104.htm" TargetMode="External"/><Relationship Id="rId288" Type="http://schemas.openxmlformats.org/officeDocument/2006/relationships/hyperlink" Target="http://www.sec.gov/Archives/edgar/data/814453/000119312518244528/d629346dex103.htm" TargetMode="External"/><Relationship Id="rId15" Type="http://schemas.openxmlformats.org/officeDocument/2006/relationships/footer" Target="footer4.xml"/><Relationship Id="rId36" Type="http://schemas.openxmlformats.org/officeDocument/2006/relationships/hyperlink" Target="http://www.sec.gov/Archives/edgar/data/814453/000119312519144259/d738214dex32.htm" TargetMode="External"/><Relationship Id="rId57" Type="http://schemas.openxmlformats.org/officeDocument/2006/relationships/hyperlink" Target="http://www.sec.gov/Archives/edgar/data/814453/000119312516523262/d166570dex42.htm" TargetMode="External"/><Relationship Id="rId106" Type="http://schemas.openxmlformats.org/officeDocument/2006/relationships/hyperlink" Target="http://www.sec.gov/Archives/edgar/data/814453/000081445313000096/nwl-exx106x2013xq2.htm" TargetMode="External"/><Relationship Id="rId127" Type="http://schemas.openxmlformats.org/officeDocument/2006/relationships/hyperlink" Target="http://www.sec.gov/Archives/edgar/data/814453/000119312510120445/dex101.htm" TargetMode="External"/><Relationship Id="rId262" Type="http://schemas.openxmlformats.org/officeDocument/2006/relationships/hyperlink" Target="http://www.sec.gov/Archives/edgar/data/814453/000119312519262755/d786410dex101.htm" TargetMode="External"/><Relationship Id="rId283" Type="http://schemas.openxmlformats.org/officeDocument/2006/relationships/hyperlink" Target="http://www.sec.gov/Archives/edgar/data/814453/000119312517166044/d525259dex101.htm" TargetMode="External"/><Relationship Id="rId313" Type="http://schemas.openxmlformats.org/officeDocument/2006/relationships/footer" Target="footer15.xml"/><Relationship Id="rId318" Type="http://schemas.openxmlformats.org/officeDocument/2006/relationships/footer" Target="footer20.xml"/><Relationship Id="rId10" Type="http://schemas.openxmlformats.org/officeDocument/2006/relationships/footer" Target="footer2.xml"/><Relationship Id="rId31" Type="http://schemas.openxmlformats.org/officeDocument/2006/relationships/hyperlink" Target="http://www.sec.gov/Archives/edgar/data/814453/000119312516543111/d179148dex31.htm" TargetMode="External"/><Relationship Id="rId52" Type="http://schemas.openxmlformats.org/officeDocument/2006/relationships/hyperlink" Target="http://www.sec.gov/Archives/edgar/data/814453/000119312514417882/d822655dex43.htm" TargetMode="External"/><Relationship Id="rId73" Type="http://schemas.openxmlformats.org/officeDocument/2006/relationships/hyperlink" Target="http://www.sec.gov/Archives/edgar/data/814453/000081445317000027/nwl-ex419x123116.htm" TargetMode="External"/><Relationship Id="rId78" Type="http://schemas.openxmlformats.org/officeDocument/2006/relationships/hyperlink" Target="http://www.sec.gov/Archives/edgar/data/814453/000081445313000096/nwl-exx105x2013xq2.htm" TargetMode="External"/><Relationship Id="rId94" Type="http://schemas.openxmlformats.org/officeDocument/2006/relationships/hyperlink" Target="http://www.sec.gov/Archives/edgar/data/814453/000095013704003845/c85256exv10w1.txt" TargetMode="External"/><Relationship Id="rId99" Type="http://schemas.openxmlformats.org/officeDocument/2006/relationships/hyperlink" Target="http://www.sec.gov/Archives/edgar/data/814453/000119312519061714/d660135dex108.htm" TargetMode="External"/><Relationship Id="rId101" Type="http://schemas.openxmlformats.org/officeDocument/2006/relationships/hyperlink" Target="http://www.sec.gov/Archives/edgar/data/814453/000119312519061714/d660135dex108.htm" TargetMode="External"/><Relationship Id="rId122" Type="http://schemas.openxmlformats.org/officeDocument/2006/relationships/hyperlink" Target="http://www.sec.gov/Archives/edgar/data/814453/000119312519061714/d660135dex1017.htm" TargetMode="External"/><Relationship Id="rId143" Type="http://schemas.openxmlformats.org/officeDocument/2006/relationships/hyperlink" Target="http://www.sec.gov/Archives/edgar/data/814453/000119312519036005/d704572dex101.htm" TargetMode="External"/><Relationship Id="rId148" Type="http://schemas.openxmlformats.org/officeDocument/2006/relationships/hyperlink" Target="https://www.sec.gov/Archives/edgar/data/814453/000119312520043636/d574510dex101.htm" TargetMode="External"/><Relationship Id="rId164" Type="http://schemas.openxmlformats.org/officeDocument/2006/relationships/hyperlink" Target="http://www.sec.gov/Archives/edgar/data/814453/000119312518167960/d738073dex992.htm" TargetMode="External"/><Relationship Id="rId169" Type="http://schemas.openxmlformats.org/officeDocument/2006/relationships/hyperlink" Target="http://www.sec.gov/Archives/edgar/data/814453/000119312510181391/dex106.htm" TargetMode="External"/><Relationship Id="rId185" Type="http://schemas.openxmlformats.org/officeDocument/2006/relationships/hyperlink" Target="http://www.sec.gov/Archives/edgar/data/814453/000119312519044805/d668153dex101.htm" TargetMode="External"/><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s://www.sec.gov/Archives/edgar/data/814453/000081445320000114/ex106-2020formstockopt.htm" TargetMode="External"/><Relationship Id="rId210" Type="http://schemas.openxmlformats.org/officeDocument/2006/relationships/hyperlink" Target="http://www.sec.gov/Archives/edgar/data/814453/000119312519061714/d660135dex1061.htm" TargetMode="External"/><Relationship Id="rId215" Type="http://schemas.openxmlformats.org/officeDocument/2006/relationships/hyperlink" Target="http://www.sec.gov/Archives/edgar/data/814453/000119312518167960/d738073dex991.htm" TargetMode="External"/><Relationship Id="rId236" Type="http://schemas.openxmlformats.org/officeDocument/2006/relationships/hyperlink" Target="http://www.sec.gov/Archives/edgar/data/814453/000119312519083524/d725531dex101.htm" TargetMode="External"/><Relationship Id="rId257" Type="http://schemas.openxmlformats.org/officeDocument/2006/relationships/hyperlink" Target="http://www.sec.gov/Archives/edgar/data/814453/000119312518352131/d676337dex101.htm" TargetMode="External"/><Relationship Id="rId278" Type="http://schemas.openxmlformats.org/officeDocument/2006/relationships/hyperlink" Target="http://www.sec.gov/Archives/edgar/data/814453/000119312517166044/d525259dex101.htm" TargetMode="External"/><Relationship Id="rId26" Type="http://schemas.openxmlformats.org/officeDocument/2006/relationships/hyperlink" Target="http://www.sec.gov/Archives/edgar/data/814453/000119312515402638/d96046dex21.htm" TargetMode="External"/><Relationship Id="rId231" Type="http://schemas.openxmlformats.org/officeDocument/2006/relationships/hyperlink" Target="http://www.sec.gov/Archives/edgar/data/814453/000119312519141536/d928651dex105.htm" TargetMode="External"/><Relationship Id="rId252" Type="http://schemas.openxmlformats.org/officeDocument/2006/relationships/hyperlink" Target="http://www.sec.gov/Archives/edgar/data/814453/000119312519206923/d767832dex102.htm" TargetMode="External"/><Relationship Id="rId273" Type="http://schemas.openxmlformats.org/officeDocument/2006/relationships/hyperlink" Target="http://www.sec.gov/Archives/edgar/data/814453/000081445317000027/nwl-ex1049x123116.htm" TargetMode="External"/><Relationship Id="rId294" Type="http://schemas.openxmlformats.org/officeDocument/2006/relationships/hyperlink" Target="http://www.sec.gov/Archives/edgar/data/814453/000119312519075768/d724155dex101.htm" TargetMode="External"/><Relationship Id="rId308" Type="http://schemas.openxmlformats.org/officeDocument/2006/relationships/footer" Target="footer13.xml"/><Relationship Id="rId329" Type="http://schemas.openxmlformats.org/officeDocument/2006/relationships/footer" Target="footer31.xml"/><Relationship Id="rId47" Type="http://schemas.openxmlformats.org/officeDocument/2006/relationships/hyperlink" Target="http://www.sec.gov/Archives/edgar/data/814453/000119312512271046/d367160dex43.htm" TargetMode="External"/><Relationship Id="rId68" Type="http://schemas.openxmlformats.org/officeDocument/2006/relationships/hyperlink" Target="http://www.sec.gov/Archives/edgar/data/814453/000119312516523262/d166570dex45.htm" TargetMode="External"/><Relationship Id="rId89" Type="http://schemas.openxmlformats.org/officeDocument/2006/relationships/hyperlink" Target="http://www.sec.gov/Archives/edgar/data/814453/000119312519061714/d660135dex103.htm" TargetMode="External"/><Relationship Id="rId112" Type="http://schemas.openxmlformats.org/officeDocument/2006/relationships/hyperlink" Target="http://www.sec.gov/Archives/edgar/data/814453/000119312519061714/d660135dex1012.htm" TargetMode="External"/><Relationship Id="rId133" Type="http://schemas.openxmlformats.org/officeDocument/2006/relationships/hyperlink" Target="http://www.sec.gov/Archives/edgar/data/814453/000119312513132259/d466762ddef14a.htm" TargetMode="External"/><Relationship Id="rId154" Type="http://schemas.openxmlformats.org/officeDocument/2006/relationships/hyperlink" Target="http://www.sec.gov/Archives/edgar/data/814453/000119312518048732/d324750dex103.htm" TargetMode="External"/><Relationship Id="rId175" Type="http://schemas.openxmlformats.org/officeDocument/2006/relationships/hyperlink" Target="https://www.sec.gov/Archives/edgar/data/814453/000081445320000114/ex105-2020formstockopt.htm" TargetMode="External"/><Relationship Id="rId196" Type="http://schemas.openxmlformats.org/officeDocument/2006/relationships/hyperlink" Target="http://www.sec.gov/Archives/edgar/data/814453/000119312518323823/d588416dex101.htm" TargetMode="External"/><Relationship Id="rId200" Type="http://schemas.openxmlformats.org/officeDocument/2006/relationships/hyperlink" Target="http://www.sec.gov/Archives/edgar/data/814453/000081445315000041/nwl-ex1039x123114.htm" TargetMode="External"/><Relationship Id="rId16" Type="http://schemas.openxmlformats.org/officeDocument/2006/relationships/footer" Target="footer5.xml"/><Relationship Id="rId221" Type="http://schemas.openxmlformats.org/officeDocument/2006/relationships/hyperlink" Target="https://www.sec.gov/Archives/edgar/data/814453/000119312518167960/d738073dex992.htm" TargetMode="External"/><Relationship Id="rId242" Type="http://schemas.openxmlformats.org/officeDocument/2006/relationships/hyperlink" Target="https://www.sec.gov/Archives/edgar/data/814453/000119312518167960/d738073dex992.htm" TargetMode="External"/><Relationship Id="rId263" Type="http://schemas.openxmlformats.org/officeDocument/2006/relationships/hyperlink" Target="http://www.sec.gov/Archives/edgar/data/814453/000119312519262755/d786410dex101.htm" TargetMode="External"/><Relationship Id="rId284" Type="http://schemas.openxmlformats.org/officeDocument/2006/relationships/hyperlink" Target="http://www.sec.gov/Archives/edgar/data/814453/000119312518244528/d629346dex103.htm" TargetMode="External"/><Relationship Id="rId319" Type="http://schemas.openxmlformats.org/officeDocument/2006/relationships/footer" Target="footer21.xml"/><Relationship Id="rId37" Type="http://schemas.openxmlformats.org/officeDocument/2006/relationships/hyperlink" Target="http://www.sec.gov/Archives/edgar/data/814453/000119312512271046/d367160dex41.htm" TargetMode="External"/><Relationship Id="rId58" Type="http://schemas.openxmlformats.org/officeDocument/2006/relationships/hyperlink" Target="http://www.sec.gov/Archives/edgar/data/814453/000119312516523262/d166570dex42.htm" TargetMode="External"/><Relationship Id="rId79" Type="http://schemas.openxmlformats.org/officeDocument/2006/relationships/hyperlink" Target="http://www.sec.gov/Archives/edgar/data/814453/000081445313000096/nwl-exx105x2013xq2.htm" TargetMode="External"/><Relationship Id="rId102" Type="http://schemas.openxmlformats.org/officeDocument/2006/relationships/hyperlink" Target="http://www.sec.gov/Archives/edgar/data/814453/000095013708003094/c24008exv10w7.htm" TargetMode="External"/><Relationship Id="rId123" Type="http://schemas.openxmlformats.org/officeDocument/2006/relationships/hyperlink" Target="http://www.sec.gov/Archives/edgar/data/814453/000119312519061714/d660135dex1017.htm" TargetMode="External"/><Relationship Id="rId144" Type="http://schemas.openxmlformats.org/officeDocument/2006/relationships/hyperlink" Target="http://www.sec.gov/Archives/edgar/data/814453/000119312519036005/d704572dex101.htm" TargetMode="External"/><Relationship Id="rId330" Type="http://schemas.openxmlformats.org/officeDocument/2006/relationships/fontTable" Target="fontTable.xml"/><Relationship Id="rId90" Type="http://schemas.openxmlformats.org/officeDocument/2006/relationships/hyperlink" Target="http://www.sec.gov/Archives/edgar/data/814453/000081445317000073/newellfirstamendmentto2008.htm" TargetMode="External"/><Relationship Id="rId165" Type="http://schemas.openxmlformats.org/officeDocument/2006/relationships/hyperlink" Target="http://www.sec.gov/Archives/edgar/data/814453/000119312518167960/d738073dex992.htm" TargetMode="External"/><Relationship Id="rId186" Type="http://schemas.openxmlformats.org/officeDocument/2006/relationships/hyperlink" Target="http://www.sec.gov/Archives/edgar/data/814453/000119312519044805/d668153dex101.htm" TargetMode="External"/><Relationship Id="rId211" Type="http://schemas.openxmlformats.org/officeDocument/2006/relationships/hyperlink" Target="http://www.sec.gov/Archives/edgar/data/814453/000119312519061714/d660135dex1061.htm" TargetMode="External"/><Relationship Id="rId232" Type="http://schemas.openxmlformats.org/officeDocument/2006/relationships/hyperlink" Target="http://www.sec.gov/Archives/edgar/data/814453/000119312519141536/d928651dex105.htm" TargetMode="External"/><Relationship Id="rId253" Type="http://schemas.openxmlformats.org/officeDocument/2006/relationships/hyperlink" Target="http://www.sec.gov/Archives/edgar/data/814453/000119312519206923/d767832dex102.htm" TargetMode="External"/><Relationship Id="rId274" Type="http://schemas.openxmlformats.org/officeDocument/2006/relationships/hyperlink" Target="http://www.sec.gov/Archives/edgar/data/814453/000081445317000027/nwl-ex1049x123116.htm" TargetMode="External"/><Relationship Id="rId295" Type="http://schemas.openxmlformats.org/officeDocument/2006/relationships/hyperlink" Target="http://www.sec.gov/Archives/edgar/data/814453/000162828019009873/newell-06302019xq2ex103.htm" TargetMode="External"/><Relationship Id="rId309" Type="http://schemas.openxmlformats.org/officeDocument/2006/relationships/hyperlink" Target="http://www.sec.gov/Archives/edgar/data/814453/000162828019009873/preferabilityletterpwc.htm" TargetMode="External"/><Relationship Id="rId27" Type="http://schemas.openxmlformats.org/officeDocument/2006/relationships/hyperlink" Target="http://www.sec.gov/Archives/edgar/data/814453/000119312515402638/d96046dex21.htm" TargetMode="External"/><Relationship Id="rId48" Type="http://schemas.openxmlformats.org/officeDocument/2006/relationships/hyperlink" Target="http://www.sec.gov/Archives/edgar/data/814453/000119312512271046/d367160dex43.htm" TargetMode="External"/><Relationship Id="rId69" Type="http://schemas.openxmlformats.org/officeDocument/2006/relationships/hyperlink" Target="http://www.sec.gov/Archives/edgar/data/814453/000119312516523262/d166570dex46.htm" TargetMode="External"/><Relationship Id="rId113" Type="http://schemas.openxmlformats.org/officeDocument/2006/relationships/hyperlink" Target="http://www.sec.gov/Archives/edgar/data/814453/000119312519061714/d660135dex1012.htm" TargetMode="External"/><Relationship Id="rId134" Type="http://schemas.openxmlformats.org/officeDocument/2006/relationships/hyperlink" Target="http://www.sec.gov/Archives/edgar/data/814453/000119312518159187/d332104dex104.htm" TargetMode="External"/><Relationship Id="rId320" Type="http://schemas.openxmlformats.org/officeDocument/2006/relationships/footer" Target="footer22.xml"/><Relationship Id="rId80" Type="http://schemas.openxmlformats.org/officeDocument/2006/relationships/hyperlink" Target="http://www.sec.gov/Archives/edgar/data/814453/000081445313000096/nwl-exx105x2013xq2.htm" TargetMode="External"/><Relationship Id="rId155" Type="http://schemas.openxmlformats.org/officeDocument/2006/relationships/hyperlink" Target="http://www.sec.gov/Archives/edgar/data/814453/000119312518048732/d324750dex103.htm" TargetMode="External"/><Relationship Id="rId176" Type="http://schemas.openxmlformats.org/officeDocument/2006/relationships/hyperlink" Target="https://www.sec.gov/Archives/edgar/data/814453/000081445320000114/ex105-2020formstockopt.htm" TargetMode="External"/><Relationship Id="rId197" Type="http://schemas.openxmlformats.org/officeDocument/2006/relationships/hyperlink" Target="http://www.sec.gov/Archives/edgar/data/814453/000119312518323823/d588416dex101.htm" TargetMode="External"/><Relationship Id="rId201" Type="http://schemas.openxmlformats.org/officeDocument/2006/relationships/hyperlink" Target="http://www.sec.gov/Archives/edgar/data/814453/000081445315000041/nwl-ex1039x123114.htm" TargetMode="External"/><Relationship Id="rId222" Type="http://schemas.openxmlformats.org/officeDocument/2006/relationships/hyperlink" Target="http://www.sec.gov/Archives/edgar/data/814453/000081445318000062/ukmattersrdfinalsettlement.htm" TargetMode="External"/><Relationship Id="rId243" Type="http://schemas.openxmlformats.org/officeDocument/2006/relationships/hyperlink" Target="http://www.sec.gov/Archives/edgar/data/814453/000119312519141536/d928651dex109.htm" TargetMode="External"/><Relationship Id="rId264" Type="http://schemas.openxmlformats.org/officeDocument/2006/relationships/hyperlink" Target="http://www.sec.gov/Archives/edgar/data/814453/000119312519262755/d786410dex101.htm" TargetMode="External"/><Relationship Id="rId285" Type="http://schemas.openxmlformats.org/officeDocument/2006/relationships/hyperlink" Target="http://www.sec.gov/Archives/edgar/data/814453/000119312518244528/d629346dex103.htm" TargetMode="External"/><Relationship Id="rId17" Type="http://schemas.openxmlformats.org/officeDocument/2006/relationships/footer" Target="footer6.xml"/><Relationship Id="rId38" Type="http://schemas.openxmlformats.org/officeDocument/2006/relationships/hyperlink" Target="http://www.sec.gov/Archives/edgar/data/814453/000119312512271046/d367160dex41.htm" TargetMode="External"/><Relationship Id="rId59" Type="http://schemas.openxmlformats.org/officeDocument/2006/relationships/hyperlink" Target="http://www.sec.gov/Archives/edgar/data/814453/000119312516523262/d166570dex42.htm" TargetMode="External"/><Relationship Id="rId103" Type="http://schemas.openxmlformats.org/officeDocument/2006/relationships/hyperlink" Target="http://www.sec.gov/Archives/edgar/data/814453/000095013708003094/c24008exv10w7.htm" TargetMode="External"/><Relationship Id="rId124" Type="http://schemas.openxmlformats.org/officeDocument/2006/relationships/hyperlink" Target="http://www.sec.gov/Archives/edgar/data/814453/000119312519061714/d660135dex1018.htm" TargetMode="External"/><Relationship Id="rId310" Type="http://schemas.openxmlformats.org/officeDocument/2006/relationships/hyperlink" Target="http://www.sec.gov/Archives/edgar/data/814453/000162828019009873/preferabilityletterpwc.htm" TargetMode="External"/><Relationship Id="rId70" Type="http://schemas.openxmlformats.org/officeDocument/2006/relationships/hyperlink" Target="http://www.sec.gov/Archives/edgar/data/814453/000119312516523262/d166570dex46.htm" TargetMode="External"/><Relationship Id="rId91" Type="http://schemas.openxmlformats.org/officeDocument/2006/relationships/hyperlink" Target="http://www.sec.gov/Archives/edgar/data/814453/000081445317000073/newellfirstamendmentto2008.htm" TargetMode="External"/><Relationship Id="rId145" Type="http://schemas.openxmlformats.org/officeDocument/2006/relationships/hyperlink" Target="http://www.sec.gov/Archives/edgar/data/814453/000119312519036005/d704572dex101.htm" TargetMode="External"/><Relationship Id="rId166" Type="http://schemas.openxmlformats.org/officeDocument/2006/relationships/hyperlink" Target="http://www.sec.gov/Archives/edgar/data/814453/000119312518167960/d738073dex992.htm" TargetMode="External"/><Relationship Id="rId187" Type="http://schemas.openxmlformats.org/officeDocument/2006/relationships/hyperlink" Target="http://www.sec.gov/Archives/edgar/data/814453/000119312519044805/d668153dex101.htm"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www.sec.gov/Archives/edgar/data/814453/000119312520329845/d50791dex101.htm" TargetMode="External"/><Relationship Id="rId233" Type="http://schemas.openxmlformats.org/officeDocument/2006/relationships/hyperlink" Target="http://www.sec.gov/Archives/edgar/data/814453/000119312519141536/d928651dex105.htm" TargetMode="External"/><Relationship Id="rId254" Type="http://schemas.openxmlformats.org/officeDocument/2006/relationships/hyperlink" Target="http://www.sec.gov/Archives/edgar/data/814453/000119312519206923/d767832dex103.htm" TargetMode="External"/><Relationship Id="rId28" Type="http://schemas.openxmlformats.org/officeDocument/2006/relationships/hyperlink" Target="http://www.sec.gov/Archives/edgar/data/814453/000119312515402638/d96046dex21.htm" TargetMode="External"/><Relationship Id="rId49" Type="http://schemas.openxmlformats.org/officeDocument/2006/relationships/hyperlink" Target="http://www.sec.gov/Archives/edgar/data/814453/000119312512271046/d367160dex43.htm" TargetMode="External"/><Relationship Id="rId114" Type="http://schemas.openxmlformats.org/officeDocument/2006/relationships/hyperlink" Target="http://www.sec.gov/Archives/edgar/data/814453/000119312518067603/d494599dex107.htm" TargetMode="External"/><Relationship Id="rId275" Type="http://schemas.openxmlformats.org/officeDocument/2006/relationships/hyperlink" Target="http://www.sec.gov/Archives/edgar/data/814453/000081445317000027/nwl-ex1049x123116.htm" TargetMode="External"/><Relationship Id="rId296" Type="http://schemas.openxmlformats.org/officeDocument/2006/relationships/hyperlink" Target="http://www.sec.gov/Archives/edgar/data/814453/000162828019009873/newell-06302019xq2ex103.htm" TargetMode="External"/><Relationship Id="rId300" Type="http://schemas.openxmlformats.org/officeDocument/2006/relationships/hyperlink" Target="http://www.sec.gov/Archives/edgar/data/814453/000162828019009873/newell-06302019xq2ex103.htm" TargetMode="External"/><Relationship Id="rId60" Type="http://schemas.openxmlformats.org/officeDocument/2006/relationships/hyperlink" Target="http://www.sec.gov/Archives/edgar/data/814453/000119312516523262/d166570dex43.htm" TargetMode="External"/><Relationship Id="rId81" Type="http://schemas.openxmlformats.org/officeDocument/2006/relationships/hyperlink" Target="http://www.sec.gov/Archives/edgar/data/814453/000119312519061714/d660135dex102.htm" TargetMode="External"/><Relationship Id="rId135" Type="http://schemas.openxmlformats.org/officeDocument/2006/relationships/hyperlink" Target="http://www.sec.gov/Archives/edgar/data/814453/000119312518159187/d332104dex104.htm" TargetMode="External"/><Relationship Id="rId156" Type="http://schemas.openxmlformats.org/officeDocument/2006/relationships/hyperlink" Target="http://www.sec.gov/Archives/edgar/data/814453/000119312509042727/dex109.htm" TargetMode="External"/><Relationship Id="rId177" Type="http://schemas.openxmlformats.org/officeDocument/2006/relationships/hyperlink" Target="https://www.sec.gov/Archives/edgar/data/814453/000081445320000114/ex105-2020formstockopt.htm" TargetMode="External"/><Relationship Id="rId198" Type="http://schemas.openxmlformats.org/officeDocument/2006/relationships/hyperlink" Target="http://www.sec.gov/Archives/edgar/data/814453/000119312518323823/d588416dex101.htm" TargetMode="External"/><Relationship Id="rId321" Type="http://schemas.openxmlformats.org/officeDocument/2006/relationships/footer" Target="footer23.xml"/><Relationship Id="rId202" Type="http://schemas.openxmlformats.org/officeDocument/2006/relationships/hyperlink" Target="http://www.sec.gov/Archives/edgar/data/814453/000081445315000041/nwl-ex1039x123114.htm" TargetMode="External"/><Relationship Id="rId223" Type="http://schemas.openxmlformats.org/officeDocument/2006/relationships/hyperlink" Target="http://www.sec.gov/Archives/edgar/data/814453/000081445318000062/ukmattersrdfinalsettlement.htm" TargetMode="External"/><Relationship Id="rId244" Type="http://schemas.openxmlformats.org/officeDocument/2006/relationships/hyperlink" Target="http://www.sec.gov/Archives/edgar/data/814453/000119312519141536/d928651dex109.htm" TargetMode="External"/><Relationship Id="rId18" Type="http://schemas.openxmlformats.org/officeDocument/2006/relationships/footer" Target="footer7.xml"/><Relationship Id="rId39" Type="http://schemas.openxmlformats.org/officeDocument/2006/relationships/hyperlink" Target="http://www.sec.gov/Archives/edgar/data/814453/000119312512271046/d367160dex41.htm" TargetMode="External"/><Relationship Id="rId265" Type="http://schemas.openxmlformats.org/officeDocument/2006/relationships/hyperlink" Target="http://www.sec.gov/Archives/edgar/data/814453/000119312519262755/d786410dex101.htm" TargetMode="External"/><Relationship Id="rId286" Type="http://schemas.openxmlformats.org/officeDocument/2006/relationships/hyperlink" Target="http://www.sec.gov/Archives/edgar/data/814453/000119312518244528/d629346dex103.htm" TargetMode="External"/><Relationship Id="rId50" Type="http://schemas.openxmlformats.org/officeDocument/2006/relationships/hyperlink" Target="http://www.sec.gov/Archives/edgar/data/814453/000119312514417882/d822655dex43.htm" TargetMode="External"/><Relationship Id="rId104" Type="http://schemas.openxmlformats.org/officeDocument/2006/relationships/hyperlink" Target="http://www.sec.gov/Archives/edgar/data/814453/000095013708003094/c24008exv10w7.htm" TargetMode="External"/><Relationship Id="rId125" Type="http://schemas.openxmlformats.org/officeDocument/2006/relationships/hyperlink" Target="http://www.sec.gov/Archives/edgar/data/814453/000119312519061714/d660135dex1018.htm" TargetMode="External"/><Relationship Id="rId146" Type="http://schemas.openxmlformats.org/officeDocument/2006/relationships/hyperlink" Target="https://www.sec.gov/Archives/edgar/data/814453/000119312520043636/d574510dex101.htm" TargetMode="External"/><Relationship Id="rId167" Type="http://schemas.openxmlformats.org/officeDocument/2006/relationships/hyperlink" Target="http://www.sec.gov/Archives/edgar/data/814453/000119312510181391/dex106.htm" TargetMode="External"/><Relationship Id="rId188" Type="http://schemas.openxmlformats.org/officeDocument/2006/relationships/hyperlink" Target="https://www.sec.gov/Archives/edgar/data/814453/000081445320000114/ex102-2020formrsuaward.htm" TargetMode="External"/><Relationship Id="rId311" Type="http://schemas.openxmlformats.org/officeDocument/2006/relationships/hyperlink" Target="http://www.sec.gov/Archives/edgar/data/814453/000162828019009873/preferabilityletterpwc.htm" TargetMode="External"/><Relationship Id="rId71" Type="http://schemas.openxmlformats.org/officeDocument/2006/relationships/hyperlink" Target="http://www.sec.gov/Archives/edgar/data/814453/000119312516523262/d166570dex46.htm" TargetMode="External"/><Relationship Id="rId92" Type="http://schemas.openxmlformats.org/officeDocument/2006/relationships/hyperlink" Target="http://www.sec.gov/Archives/edgar/data/814453/000081445317000073/newellfirstamendmentto2008.htm" TargetMode="External"/><Relationship Id="rId213" Type="http://schemas.openxmlformats.org/officeDocument/2006/relationships/hyperlink" Target="https://www.sec.gov/Archives/edgar/data/814453/000119312520329845/d50791dex101.htm" TargetMode="External"/><Relationship Id="rId234" Type="http://schemas.openxmlformats.org/officeDocument/2006/relationships/hyperlink" Target="http://www.sec.gov/Archives/edgar/data/814453/000119312519083524/d725531dex101.htm" TargetMode="External"/><Relationship Id="rId2" Type="http://schemas.openxmlformats.org/officeDocument/2006/relationships/styles" Target="styles.xml"/><Relationship Id="rId29" Type="http://schemas.openxmlformats.org/officeDocument/2006/relationships/hyperlink" Target="http://www.sec.gov/Archives/edgar/data/814453/000119312516543111/d179148dex31.htm" TargetMode="External"/><Relationship Id="rId255" Type="http://schemas.openxmlformats.org/officeDocument/2006/relationships/hyperlink" Target="http://www.sec.gov/Archives/edgar/data/814453/000119312519206923/d767832dex103.htm" TargetMode="External"/><Relationship Id="rId276" Type="http://schemas.openxmlformats.org/officeDocument/2006/relationships/hyperlink" Target="http://www.sec.gov/Archives/edgar/data/814453/000081445317000027/nwl-ex1049x123116.htm" TargetMode="External"/><Relationship Id="rId297" Type="http://schemas.openxmlformats.org/officeDocument/2006/relationships/hyperlink" Target="http://www.sec.gov/Archives/edgar/data/814453/000162828019009873/newell-06302019xq2ex103.htm" TargetMode="External"/><Relationship Id="rId40" Type="http://schemas.openxmlformats.org/officeDocument/2006/relationships/hyperlink" Target="http://www.sec.gov/Archives/edgar/data/814453/000119312514417882/d822655dex41.htm" TargetMode="External"/><Relationship Id="rId115" Type="http://schemas.openxmlformats.org/officeDocument/2006/relationships/hyperlink" Target="http://www.sec.gov/Archives/edgar/data/814453/000119312518067603/d494599dex107.htm" TargetMode="External"/><Relationship Id="rId136" Type="http://schemas.openxmlformats.org/officeDocument/2006/relationships/hyperlink" Target="http://www.sec.gov/Archives/edgar/data/814453/000119312518159187/d332104dex104.htm" TargetMode="External"/><Relationship Id="rId157" Type="http://schemas.openxmlformats.org/officeDocument/2006/relationships/hyperlink" Target="http://www.sec.gov/Archives/edgar/data/814453/000119312509042727/dex109.htm" TargetMode="External"/><Relationship Id="rId178" Type="http://schemas.openxmlformats.org/officeDocument/2006/relationships/hyperlink" Target="https://www.sec.gov/Archives/edgar/data/814453/000081445320000114/ex106-2020formstockopt.htm" TargetMode="External"/><Relationship Id="rId301" Type="http://schemas.openxmlformats.org/officeDocument/2006/relationships/hyperlink" Target="https://www.sec.gov/Archives/edgar/data/814453/000081445320000114/a107eighthomnibusamend.htm" TargetMode="External"/><Relationship Id="rId322" Type="http://schemas.openxmlformats.org/officeDocument/2006/relationships/footer" Target="footer24.xml"/><Relationship Id="rId61" Type="http://schemas.openxmlformats.org/officeDocument/2006/relationships/hyperlink" Target="http://www.sec.gov/Archives/edgar/data/814453/000119312516523262/d166570dex43.htm" TargetMode="External"/><Relationship Id="rId82" Type="http://schemas.openxmlformats.org/officeDocument/2006/relationships/hyperlink" Target="http://www.sec.gov/Archives/edgar/data/814453/000119312519061714/d660135dex102.htm" TargetMode="External"/><Relationship Id="rId199" Type="http://schemas.openxmlformats.org/officeDocument/2006/relationships/hyperlink" Target="http://www.sec.gov/Archives/edgar/data/814453/000119312518323823/d588416dex101.htm" TargetMode="External"/><Relationship Id="rId203" Type="http://schemas.openxmlformats.org/officeDocument/2006/relationships/hyperlink" Target="https://www.sec.gov/Archives/edgar/data/814453/000081445320000215/waiverandterminationag.htm" TargetMode="External"/><Relationship Id="rId19" Type="http://schemas.openxmlformats.org/officeDocument/2006/relationships/footer" Target="footer8.xml"/><Relationship Id="rId224" Type="http://schemas.openxmlformats.org/officeDocument/2006/relationships/hyperlink" Target="http://www.sec.gov/Archives/edgar/data/814453/000081445318000062/ukmattersrdfinalsettlement.htm" TargetMode="External"/><Relationship Id="rId245" Type="http://schemas.openxmlformats.org/officeDocument/2006/relationships/hyperlink" Target="http://www.sec.gov/Archives/edgar/data/814453/000119312519141536/d928651dex109.htm" TargetMode="External"/><Relationship Id="rId266" Type="http://schemas.openxmlformats.org/officeDocument/2006/relationships/hyperlink" Target="http://www.sec.gov/Archives/edgar/data/814453/000119312519262755/d786410dex101.htm" TargetMode="External"/><Relationship Id="rId287" Type="http://schemas.openxmlformats.org/officeDocument/2006/relationships/hyperlink" Target="http://www.sec.gov/Archives/edgar/data/814453/000119312518244528/d629346dex103.htm" TargetMode="External"/><Relationship Id="rId30" Type="http://schemas.openxmlformats.org/officeDocument/2006/relationships/hyperlink" Target="http://www.sec.gov/Archives/edgar/data/814453/000119312516543111/d179148dex31.htm" TargetMode="External"/><Relationship Id="rId105" Type="http://schemas.openxmlformats.org/officeDocument/2006/relationships/hyperlink" Target="http://www.sec.gov/Archives/edgar/data/814453/000081445313000096/nwl-exx106x2013xq2.htm" TargetMode="External"/><Relationship Id="rId126" Type="http://schemas.openxmlformats.org/officeDocument/2006/relationships/hyperlink" Target="http://www.sec.gov/Archives/edgar/data/814453/000119312519061714/d660135dex1018.htm" TargetMode="External"/><Relationship Id="rId147" Type="http://schemas.openxmlformats.org/officeDocument/2006/relationships/hyperlink" Target="https://www.sec.gov/Archives/edgar/data/814453/000119312520043636/d574510dex101.htm" TargetMode="External"/><Relationship Id="rId168" Type="http://schemas.openxmlformats.org/officeDocument/2006/relationships/hyperlink" Target="http://www.sec.gov/Archives/edgar/data/814453/000119312510181391/dex106.htm" TargetMode="External"/><Relationship Id="rId31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136</Pages>
  <Words>82665</Words>
  <Characters>471194</Characters>
  <Application>Microsoft Office Word</Application>
  <DocSecurity>0</DocSecurity>
  <Lines>3926</Lines>
  <Paragraphs>1105</Paragraphs>
  <ScaleCrop>false</ScaleCrop>
  <Company>Newell Brands</Company>
  <LinksUpToDate>false</LinksUpToDate>
  <CharactersWithSpaces>552754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NEWELL - 10-K - Dec_2020</dc:title>
  <dc:creator>anonymous</dc:creator>
  <cp:lastModifiedBy>Quero, Rogielynn</cp:lastModifiedBy>
  <cp:revision>2</cp:revision>
  <dcterms:created xsi:type="dcterms:W3CDTF">2021-03-30T14:46:00Z</dcterms:created>
  <dcterms:modified xsi:type="dcterms:W3CDTF">2021-03-30T14:46:00Z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Workiva</vt:lpwstr>
  </property>
  <property fmtid="{D5CDD505-2E9C-101B-9397-08002B2CF9AE}" pid="4" name="LastSaved">
    <vt:filetime>2021-03-30T00:00:00Z</vt:filetime>
  </property>
</Properties>
</file>