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0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095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Tarchetti Mark</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gridSpan w:val="3"/>
          </w:tcPr>
          <w:p>
            <w:pPr>
              <w:ind w:left="6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NEWELL RUBBERMAID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NWL</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NEWELL RUBBERMAID INC.</w:t>
            </w:r>
          </w:p>
        </w:tc>
        <w:tc>
          <w:tcPr>
            <w:tcW w:w="2960" w:type="dxa"/>
            <w:vAlign w:val="bottom"/>
            <w:gridSpan w:val="3"/>
          </w:tcPr>
          <w:p>
            <w:pPr>
              <w:ind w:left="160"/>
              <w:spacing w:after="0"/>
              <w:rPr>
                <w:sz w:val="20"/>
                <w:szCs w:val="20"/>
                <w:color w:val="auto"/>
              </w:rPr>
            </w:pPr>
            <w:r>
              <w:rPr>
                <w:rFonts w:ascii="Arial" w:cs="Arial" w:eastAsia="Arial" w:hAnsi="Arial"/>
                <w:sz w:val="17"/>
                <w:szCs w:val="17"/>
                <w:color w:val="0000FF"/>
              </w:rPr>
              <w:t>12/28/2015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 GLENLAKE PKWY.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03"/>
        <w:spacing w:after="0"/>
        <w:rPr>
          <w:sz w:val="20"/>
          <w:szCs w:val="20"/>
          <w:color w:val="auto"/>
        </w:rPr>
      </w:pPr>
      <w:r>
        <w:rPr>
          <w:rFonts w:ascii="Arial" w:cs="Arial" w:eastAsia="Arial" w:hAnsi="Arial"/>
          <w:sz w:val="17"/>
          <w:szCs w:val="17"/>
          <w:color w:val="0000FF"/>
        </w:rPr>
        <w:t>EVP, Chief Development Officer</w:t>
      </w:r>
    </w:p>
    <w:p>
      <w:pPr>
        <w:spacing w:after="0" w:line="408" w:lineRule="exact"/>
        <w:rPr>
          <w:sz w:val="20"/>
          <w:szCs w:val="20"/>
          <w:color w:val="auto"/>
        </w:rPr>
      </w:pPr>
    </w:p>
    <w:p>
      <w:pPr>
        <w:sectPr>
          <w:pgSz w:w="11900" w:h="16838" w:orient="portrait"/>
          <w:cols w:equalWidth="0" w:num="2">
            <w:col w:w="7960" w:space="77"/>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40" w:type="dxa"/>
            <w:vAlign w:val="bottom"/>
            <w:gridSpan w:val="8"/>
          </w:tcPr>
          <w:p>
            <w:pPr>
              <w:jc w:val="center"/>
              <w:ind w:right="5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ATLANTA</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GA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30328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17,988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12/28/2015</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17,988</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17,988</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14,333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12/28/2015</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14,333</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14,333</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the economic equivalent of one share of Newell Rubbermaid common stock.</w:t>
      </w:r>
    </w:p>
    <w:p>
      <w:pPr>
        <w:spacing w:after="0" w:line="51" w:lineRule="exact"/>
        <w:rPr>
          <w:rFonts w:ascii="Arial" w:cs="Arial" w:eastAsia="Arial" w:hAnsi="Arial"/>
          <w:sz w:val="13"/>
          <w:szCs w:val="13"/>
          <w:color w:val="008000"/>
        </w:rPr>
      </w:pPr>
    </w:p>
    <w:p>
      <w:pPr>
        <w:ind w:left="40" w:right="16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shall become vested in one-third of his award on February 12, 2017 and in additional one-third increments of such award on each of the second and third anniversaries of the grant date, but the award may vest earlier in the event of death or disability. Prior to the vesting of the award, if the Company pays a dividend on its common stock, the reporting person will receive an amount in cash equal in value to the dividends that the reporting person would have received had the reporting person been the actual owner of the number of shares of Newell Rubbermaid common stock represented by the restricted stock units.</w:t>
      </w:r>
    </w:p>
    <w:p>
      <w:pPr>
        <w:spacing w:after="0" w:line="26" w:lineRule="exact"/>
        <w:rPr>
          <w:rFonts w:ascii="Arial" w:cs="Arial" w:eastAsia="Arial" w:hAnsi="Arial"/>
          <w:sz w:val="13"/>
          <w:szCs w:val="13"/>
          <w:color w:val="008000"/>
        </w:rPr>
      </w:pPr>
    </w:p>
    <w:p>
      <w:pPr>
        <w:ind w:left="40" w:right="320" w:firstLine="8"/>
        <w:spacing w:after="0" w:line="28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shall become vested in two-thirds of his award on February 11, 2018 and in the remaining one-third of such award on the third anniversary of the grant date, but the award may vest earlier in the event of death or disability. Prior to the vesting of the award, if the Company pays a dividend on its common stock, the reporting person will receive an amount in cash equal in value to the dividends that the reporting person would have received had the reporting person been the actual owner of the number of shares of Newell Rubbermaid common stock represented by the restricted stock units.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Michael R.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 in Fact for Mark</w:t>
      </w:r>
      <w:r>
        <w:rPr>
          <w:sz w:val="20"/>
          <w:szCs w:val="20"/>
          <w:color w:val="auto"/>
        </w:rPr>
        <w:tab/>
      </w:r>
      <w:r>
        <w:rPr>
          <w:rFonts w:ascii="Arial" w:cs="Arial" w:eastAsia="Arial" w:hAnsi="Arial"/>
          <w:sz w:val="15"/>
          <w:szCs w:val="15"/>
          <w:color w:val="0000FF"/>
        </w:rPr>
        <w:t>12/29/2015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Tarchetti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92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243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5805" TargetMode="External"/><Relationship Id="rId13" Type="http://schemas.openxmlformats.org/officeDocument/2006/relationships/hyperlink" Target="http://www.sec.gov/cgi-bin/browse-edgar?action=getcompany&amp;CIK=0000814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2019-12-23T15:10:39Z</dcterms:created>
  <dcterms:modified xsi:type="dcterms:W3CDTF">2019-12-23T15:10:39Z</dcterms:modified>
</cp:coreProperties>
</file>