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UNITED STATES</w:t>
      </w:r>
    </w:p>
    <w:p>
      <w:pPr>
        <w:ind w:left="17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32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NEWELL RUBBERMAID INC</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651229106</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December 31, 2007</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tabs>
          <w:tab w:leader="none" w:pos="3460" w:val="left"/>
          <w:tab w:leader="none" w:pos="4940" w:val="left"/>
        </w:tabs>
        <w:rPr>
          <w:sz w:val="20"/>
          <w:szCs w:val="20"/>
          <w:color w:val="auto"/>
        </w:rPr>
      </w:pPr>
      <w:r>
        <w:rPr>
          <w:rFonts w:ascii="Courier New" w:cs="Courier New" w:eastAsia="Courier New" w:hAnsi="Courier New"/>
          <w:sz w:val="18"/>
          <w:szCs w:val="18"/>
          <w:color w:val="auto"/>
        </w:rPr>
        <w:t>CUSIP NO. 651229106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 Box if a Member of a Group*</w:t>
            </w:r>
          </w:p>
        </w:tc>
        <w:tc>
          <w:tcPr>
            <w:tcW w:w="104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 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04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1040" w:type="dxa"/>
            <w:vAlign w:val="bottom"/>
          </w:tcPr>
          <w:p>
            <w:pPr>
              <w:spacing w:after="0"/>
              <w:rPr>
                <w:sz w:val="24"/>
                <w:szCs w:val="24"/>
                <w:color w:val="auto"/>
              </w:rPr>
            </w:pPr>
          </w:p>
        </w:tc>
      </w:tr>
    </w:tbl>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5,066,853</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sectPr>
      </w:pPr>
    </w:p>
    <w:bookmarkStart w:id="1" w:name="page2"/>
    <w:bookmarkEnd w:id="1"/>
    <w:p>
      <w:pPr>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24,904,341</w:t>
      </w:r>
    </w:p>
    <w:p>
      <w:pPr>
        <w:spacing w:after="0" w:line="201" w:lineRule="exact"/>
        <w:rPr>
          <w:sz w:val="20"/>
          <w:szCs w:val="20"/>
          <w:color w:val="auto"/>
        </w:rPr>
      </w:pPr>
    </w:p>
    <w:p>
      <w:pPr>
        <w:spacing w:after="0"/>
        <w:tabs>
          <w:tab w:leader="none" w:pos="1680" w:val="left"/>
          <w:tab w:leader="none" w:pos="19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24,904,341</w:t>
      </w:r>
    </w:p>
    <w:p>
      <w:pPr>
        <w:spacing w:after="0" w:line="207"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FILLING OUT!</w:t>
      </w:r>
    </w:p>
    <w:p>
      <w:pPr>
        <w:jc w:val="center"/>
        <w:ind w:right="3359"/>
        <w:spacing w:after="0"/>
        <w:rPr>
          <w:sz w:val="20"/>
          <w:szCs w:val="20"/>
          <w:color w:val="auto"/>
        </w:rPr>
      </w:pPr>
      <w:r>
        <w:rPr>
          <w:rFonts w:ascii="Courier New" w:cs="Courier New" w:eastAsia="Courier New" w:hAnsi="Courier New"/>
          <w:sz w:val="18"/>
          <w:szCs w:val="18"/>
          <w:color w:val="auto"/>
        </w:rPr>
        <w:t>**Any shares reported in Items 5 and 6 are also</w:t>
      </w:r>
    </w:p>
    <w:p>
      <w:pPr>
        <w:jc w:val="center"/>
        <w:ind w:right="3359"/>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3 OF 6</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tabs>
          <w:tab w:leader="none" w:pos="5580" w:val="left"/>
        </w:tabs>
        <w:rPr>
          <w:sz w:val="20"/>
          <w:szCs w:val="20"/>
          <w:color w:val="auto"/>
        </w:rPr>
      </w:pPr>
      <w:r>
        <w:rPr>
          <w:rFonts w:ascii="Courier New" w:cs="Courier New" w:eastAsia="Courier New" w:hAnsi="Courier New"/>
          <w:sz w:val="18"/>
          <w:szCs w:val="18"/>
          <w:color w:val="auto"/>
        </w:rPr>
        <w:t>10B Glenlake Pkwy, Ste. 300, Atlanta, GA</w:t>
      </w:r>
      <w:r>
        <w:rPr>
          <w:sz w:val="20"/>
          <w:szCs w:val="20"/>
          <w:color w:val="auto"/>
        </w:rPr>
        <w:tab/>
      </w:r>
      <w:r>
        <w:rPr>
          <w:rFonts w:ascii="Courier New" w:cs="Courier New" w:eastAsia="Courier New" w:hAnsi="Courier New"/>
          <w:sz w:val="16"/>
          <w:szCs w:val="16"/>
          <w:color w:val="auto"/>
        </w:rPr>
        <w:t>30328</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700" w:hanging="533"/>
        <w:spacing w:after="0"/>
        <w:tabs>
          <w:tab w:leader="none" w:pos="1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 Rowe Price Associates, Inc. ("Price Associates")</w:t>
      </w:r>
    </w:p>
    <w:p>
      <w:pPr>
        <w:spacing w:after="0" w:line="218" w:lineRule="exact"/>
        <w:rPr>
          <w:rFonts w:ascii="Courier New" w:cs="Courier New" w:eastAsia="Courier New" w:hAnsi="Courier New"/>
          <w:sz w:val="16"/>
          <w:szCs w:val="16"/>
          <w:color w:val="auto"/>
        </w:rPr>
      </w:pPr>
    </w:p>
    <w:p>
      <w:pPr>
        <w:ind w:left="1580" w:hanging="413"/>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_____</w:t>
            </w:r>
          </w:p>
        </w:tc>
        <w:tc>
          <w:tcPr>
            <w:tcW w:w="40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Attached as Exhibit A is a copy of an</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agreement between</w:t>
            </w:r>
          </w:p>
        </w:tc>
      </w:tr>
      <w:tr>
        <w:trPr>
          <w:trHeight w:val="203"/>
        </w:trPr>
        <w:tc>
          <w:tcPr>
            <w:tcW w:w="1060" w:type="dxa"/>
            <w:vAlign w:val="bottom"/>
          </w:tcPr>
          <w:p>
            <w:pPr>
              <w:spacing w:after="0"/>
              <w:rPr>
                <w:sz w:val="17"/>
                <w:szCs w:val="17"/>
                <w:color w:val="auto"/>
              </w:rPr>
            </w:pPr>
          </w:p>
        </w:tc>
        <w:tc>
          <w:tcPr>
            <w:tcW w:w="59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the Persons Filing (as specified hereinabove) that this</w:t>
            </w:r>
          </w:p>
        </w:tc>
      </w:tr>
      <w:tr>
        <w:trPr>
          <w:trHeight w:val="203"/>
        </w:trPr>
        <w:tc>
          <w:tcPr>
            <w:tcW w:w="1060" w:type="dxa"/>
            <w:vAlign w:val="bottom"/>
          </w:tcPr>
          <w:p>
            <w:pPr>
              <w:spacing w:after="0"/>
              <w:rPr>
                <w:sz w:val="17"/>
                <w:szCs w:val="17"/>
                <w:color w:val="auto"/>
              </w:rPr>
            </w:pP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Schedule 13G is being filed on behalf</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of them.</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Address of Principal</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Business Office:</w:t>
            </w:r>
          </w:p>
        </w:tc>
        <w:tc>
          <w:tcPr>
            <w:tcW w:w="184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100 E. Pratt Street,</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Baltimore, Maryland 21202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Citizenship or Place</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of Organization:</w:t>
            </w:r>
          </w:p>
        </w:tc>
        <w:tc>
          <w:tcPr>
            <w:tcW w:w="1840" w:type="dxa"/>
            <w:vAlign w:val="bottom"/>
          </w:tcPr>
          <w:p>
            <w:pPr>
              <w:spacing w:after="0"/>
              <w:rPr>
                <w:sz w:val="24"/>
                <w:szCs w:val="24"/>
                <w:color w:val="auto"/>
              </w:rPr>
            </w:pPr>
          </w:p>
        </w:tc>
      </w:tr>
    </w:tbl>
    <w:p>
      <w:pPr>
        <w:spacing w:after="0" w:line="201" w:lineRule="exact"/>
        <w:rPr>
          <w:sz w:val="20"/>
          <w:szCs w:val="20"/>
          <w:color w:val="auto"/>
        </w:rPr>
      </w:pPr>
    </w:p>
    <w:p>
      <w:pPr>
        <w:ind w:left="1580" w:hanging="413"/>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  Title of Class of Securities:</w:t>
      </w:r>
    </w:p>
    <w:p>
      <w:pPr>
        <w:spacing w:after="0" w:line="206" w:lineRule="exact"/>
        <w:rPr>
          <w:rFonts w:ascii="Courier New" w:cs="Courier New" w:eastAsia="Courier New" w:hAnsi="Courier New"/>
          <w:sz w:val="18"/>
          <w:szCs w:val="18"/>
          <w:color w:val="auto"/>
        </w:rPr>
      </w:pPr>
    </w:p>
    <w:p>
      <w:pPr>
        <w:ind w:right="3999" w:firstLine="115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page 1 of this Schedule 13G Item 2(e) CUSIP Number: 651229106</w:t>
      </w:r>
    </w:p>
    <w:p>
      <w:pPr>
        <w:spacing w:after="0" w:line="20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160" w:right="3359" w:hanging="941"/>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8"/>
          <w:szCs w:val="18"/>
          <w:color w:val="auto"/>
        </w:rPr>
        <w:t>Investment Company registered under Section 8 of the</w:t>
      </w:r>
    </w:p>
    <w:p>
      <w:pPr>
        <w:ind w:left="1160"/>
        <w:spacing w:after="0" w:line="238" w:lineRule="auto"/>
        <w:rPr>
          <w:sz w:val="20"/>
          <w:szCs w:val="20"/>
          <w:color w:val="auto"/>
        </w:rPr>
      </w:pPr>
      <w:r>
        <w:rPr>
          <w:rFonts w:ascii="Courier New" w:cs="Courier New" w:eastAsia="Courier New" w:hAnsi="Courier New"/>
          <w:sz w:val="18"/>
          <w:szCs w:val="18"/>
          <w:color w:val="auto"/>
        </w:rPr>
        <w:t>Investment Company Act of 1940</w:t>
      </w:r>
    </w:p>
    <w:p>
      <w:pPr>
        <w:spacing w:after="0"/>
        <w:rPr>
          <w:sz w:val="20"/>
          <w:szCs w:val="20"/>
          <w:color w:val="auto"/>
        </w:rPr>
      </w:pPr>
      <w:r>
        <w:rPr>
          <w:rFonts w:ascii="Courier New" w:cs="Courier New" w:eastAsia="Courier New" w:hAnsi="Courier New"/>
          <w:sz w:val="18"/>
          <w:szCs w:val="18"/>
          <w:color w:val="auto"/>
        </w:rPr>
        <w:t>CUSIP 651229106</w:t>
      </w:r>
    </w:p>
    <w:p>
      <w:pPr>
        <w:spacing w:after="0" w:line="237" w:lineRule="auto"/>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Units</w:t>
      </w:r>
    </w:p>
    <w:p>
      <w:pPr>
        <w:ind w:left="300"/>
        <w:spacing w:after="0" w:line="238" w:lineRule="auto"/>
        <w:rPr>
          <w:sz w:val="20"/>
          <w:szCs w:val="20"/>
          <w:color w:val="auto"/>
        </w:rPr>
      </w:pPr>
      <w:r>
        <w:rPr>
          <w:rFonts w:ascii="Courier New" w:cs="Courier New" w:eastAsia="Courier New" w:hAnsi="Courier New"/>
          <w:sz w:val="18"/>
          <w:szCs w:val="18"/>
          <w:color w:val="auto"/>
        </w:rPr>
        <w:t>Deemed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Deemed</w:t>
      </w:r>
    </w:p>
    <w:p>
      <w:pPr>
        <w:ind w:left="100"/>
        <w:spacing w:after="0" w:line="238" w:lineRule="auto"/>
        <w:rPr>
          <w:sz w:val="20"/>
          <w:szCs w:val="20"/>
          <w:color w:val="auto"/>
        </w:rPr>
      </w:pPr>
      <w:r>
        <w:rPr>
          <w:rFonts w:ascii="Courier New" w:cs="Courier New" w:eastAsia="Courier New" w:hAnsi="Courier New"/>
          <w:sz w:val="18"/>
          <w:szCs w:val="18"/>
          <w:color w:val="auto"/>
        </w:rPr>
        <w:t>Outstanding</w:t>
      </w:r>
    </w:p>
    <w:p>
      <w:pPr>
        <w:ind w:left="520"/>
        <w:spacing w:after="0"/>
        <w:rPr>
          <w:sz w:val="20"/>
          <w:szCs w:val="20"/>
          <w:color w:val="auto"/>
        </w:rPr>
      </w:pPr>
      <w:r>
        <w:rPr>
          <w:rFonts w:ascii="Courier New" w:cs="Courier New" w:eastAsia="Courier New" w:hAnsi="Courier New"/>
          <w:sz w:val="18"/>
          <w:szCs w:val="18"/>
          <w:color w:val="auto"/>
        </w:rPr>
        <w:t>And</w:t>
      </w:r>
    </w:p>
    <w:p>
      <w:pPr>
        <w:ind w:left="100"/>
        <w:spacing w:after="0" w:line="237" w:lineRule="auto"/>
        <w:rPr>
          <w:sz w:val="20"/>
          <w:szCs w:val="20"/>
          <w:color w:val="auto"/>
        </w:rPr>
      </w:pPr>
      <w:r>
        <w:rPr>
          <w:rFonts w:ascii="Courier New" w:cs="Courier New" w:eastAsia="Courier New" w:hAnsi="Courier New"/>
          <w:sz w:val="18"/>
          <w:szCs w:val="18"/>
          <w:color w:val="auto"/>
        </w:rPr>
        <w:t>Beneficially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Directly</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Subject to</w:t>
      </w:r>
    </w:p>
    <w:p>
      <w:pPr>
        <w:ind w:left="200"/>
        <w:spacing w:after="0" w:line="238" w:lineRule="auto"/>
        <w:rPr>
          <w:sz w:val="20"/>
          <w:szCs w:val="20"/>
          <w:color w:val="auto"/>
        </w:rPr>
      </w:pPr>
      <w:r>
        <w:rPr>
          <w:rFonts w:ascii="Courier New" w:cs="Courier New" w:eastAsia="Courier New" w:hAnsi="Courier New"/>
          <w:sz w:val="18"/>
          <w:szCs w:val="18"/>
          <w:color w:val="auto"/>
        </w:rPr>
        <w:t>Warrants &amp;</w:t>
      </w:r>
    </w:p>
    <w:p>
      <w:pPr>
        <w:sectPr>
          <w:pgSz w:w="11900" w:h="16838" w:orient="portrait"/>
          <w:cols w:equalWidth="0" w:num="4">
            <w:col w:w="640" w:space="520"/>
            <w:col w:w="980" w:space="720"/>
            <w:col w:w="1260" w:space="320"/>
            <w:col w:w="5779"/>
          </w:cols>
          <w:pgMar w:left="240" w:top="136" w:right="1440" w:bottom="0" w:gutter="0" w:footer="0" w:header="0"/>
          <w:type w:val="continuous"/>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Owned</w:t>
      </w:r>
    </w:p>
    <w:p>
      <w:pPr>
        <w:ind w:left="3060"/>
        <w:spacing w:after="0" w:line="238" w:lineRule="auto"/>
        <w:rPr>
          <w:sz w:val="20"/>
          <w:szCs w:val="20"/>
          <w:color w:val="auto"/>
        </w:rPr>
      </w:pPr>
      <w:r>
        <w:rPr>
          <w:rFonts w:ascii="Courier New" w:cs="Courier New" w:eastAsia="Courier New" w:hAnsi="Courier New"/>
          <w:sz w:val="18"/>
          <w:szCs w:val="18"/>
          <w:color w:val="auto"/>
        </w:rPr>
        <w:t>Directly</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Conversion</w:t>
      </w:r>
    </w:p>
    <w:p>
      <w:pPr>
        <w:ind w:left="200"/>
        <w:spacing w:after="0" w:line="238" w:lineRule="auto"/>
        <w:tabs>
          <w:tab w:leader="none" w:pos="1660" w:val="left"/>
        </w:tabs>
        <w:rPr>
          <w:sz w:val="20"/>
          <w:szCs w:val="20"/>
          <w:color w:val="auto"/>
        </w:rPr>
      </w:pPr>
      <w:r>
        <w:rPr>
          <w:rFonts w:ascii="Courier New" w:cs="Courier New" w:eastAsia="Courier New" w:hAnsi="Courier New"/>
          <w:sz w:val="18"/>
          <w:szCs w:val="18"/>
          <w:color w:val="auto"/>
        </w:rPr>
        <w:t>Privileges</w:t>
      </w:r>
      <w:r>
        <w:rPr>
          <w:sz w:val="20"/>
          <w:szCs w:val="20"/>
          <w:color w:val="auto"/>
        </w:rPr>
        <w:tab/>
      </w:r>
      <w:r>
        <w:rPr>
          <w:rFonts w:ascii="Courier New" w:cs="Courier New" w:eastAsia="Courier New" w:hAnsi="Courier New"/>
          <w:sz w:val="18"/>
          <w:szCs w:val="18"/>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 _______</w:t>
      </w:r>
    </w:p>
    <w:p>
      <w:pPr>
        <w:spacing w:after="0" w:line="200" w:lineRule="exact"/>
        <w:rPr>
          <w:sz w:val="20"/>
          <w:szCs w:val="20"/>
          <w:color w:val="auto"/>
        </w:rPr>
      </w:pPr>
    </w:p>
    <w:p>
      <w:pPr>
        <w:sectPr>
          <w:pgSz w:w="11900" w:h="16838" w:orient="portrait"/>
          <w:cols w:equalWidth="0" w:num="2">
            <w:col w:w="4120" w:space="320"/>
            <w:col w:w="5779"/>
          </w:cols>
          <w:pgMar w:left="240" w:top="136" w:right="1440" w:bottom="0" w:gutter="0" w:footer="0" w:header="0"/>
        </w:sectPr>
      </w:pPr>
    </w:p>
    <w:p>
      <w:pPr>
        <w:spacing w:after="0" w:line="24" w:lineRule="exact"/>
        <w:rPr>
          <w:sz w:val="20"/>
          <w:szCs w:val="20"/>
          <w:color w:val="auto"/>
        </w:rPr>
      </w:pPr>
    </w:p>
    <w:p>
      <w:pPr>
        <w:ind w:left="540" w:right="7999" w:hanging="532"/>
        <w:spacing w:after="0" w:line="268"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PRICE ASSOCIATES (includes shares reported in</w:t>
      </w:r>
    </w:p>
    <w:p>
      <w:pPr>
        <w:ind w:left="960" w:hanging="425"/>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(a)Amount</w:t>
            </w:r>
          </w:p>
        </w:tc>
        <w:tc>
          <w:tcPr>
            <w:tcW w:w="4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100" w:type="dxa"/>
            <w:vAlign w:val="bottom"/>
            <w:gridSpan w:val="2"/>
          </w:tcPr>
          <w:p>
            <w:pPr>
              <w:jc w:val="right"/>
              <w:ind w:right="3332"/>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4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 . . . . .   22,374,857   2,529,484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24,904,341</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(b)Percent of</w:t>
      </w:r>
    </w:p>
    <w:p>
      <w:pPr>
        <w:spacing w:after="0" w:line="4" w:lineRule="exact"/>
        <w:rPr>
          <w:sz w:val="20"/>
          <w:szCs w:val="20"/>
          <w:color w:val="auto"/>
        </w:rPr>
      </w:pPr>
    </w:p>
    <w:p>
      <w:pPr>
        <w:ind w:left="540" w:right="3159" w:firstLine="421"/>
        <w:spacing w:after="0" w:line="235" w:lineRule="auto"/>
        <w:rPr>
          <w:sz w:val="20"/>
          <w:szCs w:val="20"/>
          <w:color w:val="auto"/>
        </w:rPr>
      </w:pPr>
      <w:r>
        <w:rPr>
          <w:rFonts w:ascii="Courier New" w:cs="Courier New" w:eastAsia="Courier New" w:hAnsi="Courier New"/>
          <w:sz w:val="18"/>
          <w:szCs w:val="18"/>
          <w:color w:val="auto"/>
        </w:rPr>
        <w:t>Class . . . . . . . . . . . . . . . . . . . . . . 8.8% (c)Number of</w:t>
      </w:r>
    </w:p>
    <w:p>
      <w:pPr>
        <w:ind w:left="960"/>
        <w:spacing w:after="0"/>
        <w:rPr>
          <w:sz w:val="20"/>
          <w:szCs w:val="20"/>
          <w:color w:val="auto"/>
        </w:rPr>
      </w:pPr>
      <w:r>
        <w:rPr>
          <w:rFonts w:ascii="Courier New" w:cs="Courier New" w:eastAsia="Courier New" w:hAnsi="Courier New"/>
          <w:sz w:val="18"/>
          <w:szCs w:val="18"/>
          <w:color w:val="auto"/>
        </w:rPr>
        <w:t>units as</w:t>
      </w:r>
    </w:p>
    <w:p>
      <w:pPr>
        <w:ind w:left="960"/>
        <w:spacing w:after="0" w:line="238" w:lineRule="auto"/>
        <w:rPr>
          <w:sz w:val="20"/>
          <w:szCs w:val="20"/>
          <w:color w:val="auto"/>
        </w:rPr>
      </w:pPr>
      <w:r>
        <w:rPr>
          <w:rFonts w:ascii="Courier New" w:cs="Courier New" w:eastAsia="Courier New" w:hAnsi="Courier New"/>
          <w:sz w:val="18"/>
          <w:szCs w:val="18"/>
          <w:color w:val="auto"/>
        </w:rPr>
        <w:t>to which</w:t>
      </w:r>
    </w:p>
    <w:p>
      <w:pPr>
        <w:ind w:left="960"/>
        <w:spacing w:after="0"/>
        <w:rPr>
          <w:sz w:val="20"/>
          <w:szCs w:val="20"/>
          <w:color w:val="auto"/>
        </w:rPr>
      </w:pPr>
      <w:r>
        <w:rPr>
          <w:rFonts w:ascii="Courier New" w:cs="Courier New" w:eastAsia="Courier New" w:hAnsi="Courier New"/>
          <w:sz w:val="18"/>
          <w:szCs w:val="18"/>
          <w:color w:val="auto"/>
        </w:rPr>
        <w:t>such</w:t>
      </w:r>
    </w:p>
    <w:p>
      <w:pPr>
        <w:ind w:left="960"/>
        <w:spacing w:after="0" w:line="237" w:lineRule="auto"/>
        <w:rPr>
          <w:sz w:val="20"/>
          <w:szCs w:val="20"/>
          <w:color w:val="auto"/>
        </w:rPr>
      </w:pPr>
      <w:r>
        <w:rPr>
          <w:rFonts w:ascii="Courier New" w:cs="Courier New" w:eastAsia="Courier New" w:hAnsi="Courier New"/>
          <w:sz w:val="18"/>
          <w:szCs w:val="18"/>
          <w:color w:val="auto"/>
        </w:rPr>
        <w:t>person has: . . .</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w:t>
            </w:r>
          </w:p>
        </w:tc>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rPr>
              <w:t>*sole power</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 or</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direct</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 . . .</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4,745,846</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321,007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5,066,853</w:t>
            </w:r>
          </w:p>
        </w:tc>
      </w:tr>
      <w:tr>
        <w:trPr>
          <w:trHeight w:val="405"/>
        </w:trPr>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(ii)</w:t>
            </w:r>
          </w:p>
        </w:tc>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rPr>
              <w:t>*shared power</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 or</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direct</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 . . .</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1380" w:right="7479" w:hanging="740"/>
        <w:spacing w:after="0" w:line="268" w:lineRule="auto"/>
        <w:tabs>
          <w:tab w:leader="none" w:pos="1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w:t>
      </w:r>
    </w:p>
    <w:tbl>
      <w:tblPr>
        <w:tblLayout w:type="fixed"/>
        <w:tblInd w:w="740" w:type="dxa"/>
        <w:tblCellMar>
          <w:top w:w="0" w:type="dxa"/>
          <w:left w:w="0" w:type="dxa"/>
          <w:bottom w:w="0" w:type="dxa"/>
          <w:right w:w="0" w:type="dxa"/>
        </w:tblCellMar>
      </w:tblPr>
      <w:tr>
        <w:trPr>
          <w:trHeight w:val="199"/>
        </w:trPr>
        <w:tc>
          <w:tcPr>
            <w:tcW w:w="2220" w:type="dxa"/>
            <w:vAlign w:val="bottom"/>
          </w:tcPr>
          <w:p>
            <w:pPr>
              <w:ind w:left="640"/>
              <w:spacing w:after="0" w:line="198"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 . . . .</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22,374,857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2,529,484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24,904,341</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(iv)  *shared power</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dispose or</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direct the</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 . . . .</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5 OF 6</w:t>
      </w:r>
    </w:p>
    <w:p>
      <w:pPr>
        <w:spacing w:after="0" w:line="20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860" w:hanging="64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59"/>
        <w:spacing w:after="0" w:line="237"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860" w:right="34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1280" w:right="3359" w:hanging="429"/>
        <w:spacing w:after="0" w:line="237"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280" w:right="32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280"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280" w:right="3359" w:hanging="419"/>
        <w:spacing w:after="0" w:line="237" w:lineRule="auto"/>
        <w:tabs>
          <w:tab w:leader="none" w:pos="1260" w:val="left"/>
        </w:tabs>
        <w:rPr>
          <w:sz w:val="20"/>
          <w:szCs w:val="20"/>
          <w:color w:val="auto"/>
        </w:rPr>
      </w:pPr>
      <w:r>
        <w:rPr>
          <w:rFonts w:ascii="Courier New" w:cs="Courier New" w:eastAsia="Courier New" w:hAnsi="Courier New"/>
          <w:sz w:val="18"/>
          <w:szCs w:val="18"/>
          <w:color w:val="auto"/>
        </w:rPr>
        <w:t>(2)</w:t>
        <w:tab/>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860" w:right="335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640" w:space="420"/>
            <w:col w:w="9159"/>
          </w:cols>
          <w:pgMar w:left="240" w:top="142"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740" w:space="320"/>
            <w:col w:w="9159"/>
          </w:cols>
          <w:pgMar w:left="240" w:top="142" w:right="1440" w:bottom="1440" w:gutter="0" w:footer="0" w:header="0"/>
          <w:type w:val="continuous"/>
        </w:sectPr>
      </w:pPr>
    </w:p>
    <w:p>
      <w:pPr>
        <w:spacing w:after="0" w:line="24" w:lineRule="exact"/>
        <w:rPr>
          <w:sz w:val="20"/>
          <w:szCs w:val="20"/>
          <w:color w:val="auto"/>
        </w:rPr>
      </w:pPr>
    </w:p>
    <w:p>
      <w:pPr>
        <w:ind w:left="1060" w:right="31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31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1440" w:gutter="0" w:footer="0" w:header="0"/>
          <w:type w:val="continuous"/>
        </w:sect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2008</w:t>
      </w:r>
    </w:p>
    <w:p>
      <w:pPr>
        <w:spacing w:after="0" w:line="200" w:lineRule="exact"/>
        <w:rPr>
          <w:sz w:val="20"/>
          <w:szCs w:val="20"/>
          <w:color w:val="auto"/>
        </w:rPr>
      </w:pPr>
    </w:p>
    <w:p>
      <w:pPr>
        <w:sectPr>
          <w:pgSz w:w="11900" w:h="16838" w:orient="portrait"/>
          <w:cols w:equalWidth="0" w:num="2">
            <w:col w:w="2120" w:space="200"/>
            <w:col w:w="7899"/>
          </w:cols>
          <w:pgMar w:left="240" w:top="142" w:right="1440" w:bottom="1440" w:gutter="0" w:footer="0" w:header="0"/>
          <w:type w:val="continuous"/>
        </w:sectPr>
      </w:pPr>
    </w:p>
    <w:p>
      <w:pPr>
        <w:spacing w:after="0" w:line="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 /s/ Henry H. Hopkins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Henry H. Hopkins, Vice President</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6" w:lineRule="exact"/>
        <w:rPr>
          <w:sz w:val="20"/>
          <w:szCs w:val="20"/>
          <w:color w:val="auto"/>
        </w:rPr>
      </w:pPr>
    </w:p>
    <w:p>
      <w:pPr>
        <w:sectPr>
          <w:pgSz w:w="11900" w:h="16838" w:orient="portrait"/>
          <w:cols w:equalWidth="0" w:num="2">
            <w:col w:w="540" w:space="520"/>
            <w:col w:w="91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12/31/2007</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4"/>
      <w:numFmt w:val="bullet"/>
      <w:start w:val="1"/>
    </w:lvl>
  </w:abstractNum>
  <w:abstractNum w:abstractNumId="2">
    <w:nsid w:val="41B71EFB"/>
    <w:multiLevelType w:val="hybridMultilevel"/>
    <w:lvl w:ilvl="0">
      <w:lvlJc w:val="left"/>
      <w:lvlText w:val="9"/>
      <w:numFmt w:val="bullet"/>
      <w:start w:val="1"/>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X"/>
      <w:numFmt w:val="bullet"/>
      <w:start w:val="1"/>
    </w:lvl>
  </w:abstractNum>
  <w:abstractNum w:abstractNumId="7">
    <w:nsid w:val="12200854"/>
    <w:multiLevelType w:val="hybridMultilevel"/>
    <w:lvl w:ilvl="0">
      <w:lvlJc w:val="left"/>
      <w:lvlText w:val="(%1)"/>
      <w:numFmt w:val="decimal"/>
      <w:start w:val="1"/>
    </w:lvl>
    <w:lvl w:ilvl="1">
      <w:lvlJc w:val="left"/>
      <w:lvlText w:val="(%2)"/>
      <w:numFmt w:val="decimal"/>
      <w:start w:val="2"/>
    </w:lvl>
  </w:abstractNum>
  <w:abstractNum w:abstractNumId="8">
    <w:nsid w:val="4DB127F8"/>
    <w:multiLevelType w:val="hybridMultilevel"/>
    <w:lvl w:ilvl="0">
      <w:lvlJc w:val="left"/>
      <w:lvlText w:val="(%1)"/>
      <w:numFmt w:val="lowerRoman"/>
      <w:start w:val="3"/>
    </w:lvl>
  </w:abstractNum>
  <w:abstractNum w:abstractNumId="9">
    <w:nsid w:val="216231B"/>
    <w:multiLevelType w:val="hybridMultilevel"/>
    <w:lvl w:ilvl="0">
      <w:lvlJc w:val="left"/>
      <w:lvlText w:val="X"/>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2019-12-11T14:40:56Z</dcterms:created>
  <dcterms:modified xsi:type="dcterms:W3CDTF">2019-12-11T14:40:56Z</dcterms:modified>
</cp:coreProperties>
</file>