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NEWELL BRANDS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0"/>
        </w:trPr>
        <w:tc>
          <w:tcPr>
            <w:tcW w:w="2940" w:type="dxa"/>
            <w:vAlign w:val="bottom"/>
          </w:tcPr>
          <w:p>
            <w:pPr>
              <w:jc w:val="center"/>
              <w:ind w:right="1162"/>
              <w:spacing w:after="0"/>
              <w:rPr>
                <w:sz w:val="20"/>
                <w:szCs w:val="20"/>
                <w:color w:val="auto"/>
              </w:rPr>
            </w:pPr>
            <w:r>
              <w:rPr>
                <w:rFonts w:ascii="Times New Roman" w:cs="Times New Roman" w:eastAsia="Times New Roman" w:hAnsi="Times New Roman"/>
                <w:sz w:val="18"/>
                <w:szCs w:val="18"/>
                <w:color w:val="auto"/>
              </w:rPr>
              <w:t>Delaware</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1-9608</w:t>
            </w:r>
          </w:p>
        </w:tc>
        <w:tc>
          <w:tcPr>
            <w:tcW w:w="2680" w:type="dxa"/>
            <w:vAlign w:val="bottom"/>
          </w:tcPr>
          <w:p>
            <w:pPr>
              <w:jc w:val="center"/>
              <w:ind w:left="1182"/>
              <w:spacing w:after="0"/>
              <w:rPr>
                <w:sz w:val="20"/>
                <w:szCs w:val="20"/>
                <w:color w:val="auto"/>
              </w:rPr>
            </w:pPr>
            <w:r>
              <w:rPr>
                <w:rFonts w:ascii="Times New Roman" w:cs="Times New Roman" w:eastAsia="Times New Roman" w:hAnsi="Times New Roman"/>
                <w:sz w:val="18"/>
                <w:szCs w:val="18"/>
                <w:color w:val="auto"/>
                <w:w w:val="98"/>
              </w:rPr>
              <w:t>36-3514169</w:t>
            </w:r>
          </w:p>
        </w:tc>
      </w:tr>
      <w:tr>
        <w:trPr>
          <w:trHeight w:val="149"/>
        </w:trPr>
        <w:tc>
          <w:tcPr>
            <w:tcW w:w="2940" w:type="dxa"/>
            <w:vAlign w:val="bottom"/>
          </w:tcPr>
          <w:p>
            <w:pPr>
              <w:jc w:val="center"/>
              <w:ind w:right="11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80" w:type="dxa"/>
            <w:vAlign w:val="bottom"/>
          </w:tcPr>
          <w:p>
            <w:pPr>
              <w:jc w:val="center"/>
              <w:ind w:left="11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40" w:type="dxa"/>
            <w:vAlign w:val="bottom"/>
          </w:tcPr>
          <w:p>
            <w:pPr>
              <w:jc w:val="center"/>
              <w:ind w:right="1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80" w:type="dxa"/>
            <w:vAlign w:val="bottom"/>
          </w:tcPr>
          <w:p>
            <w:pPr>
              <w:jc w:val="center"/>
              <w:ind w:left="11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5 Concourse Parkway NE, 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Atlanta, GA 30328</w:t>
      </w:r>
    </w:p>
    <w:p>
      <w:pPr>
        <w:spacing w:after="0" w:line="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Bradford R. Turner</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(770) 418-7000</w:t>
      </w:r>
    </w:p>
    <w:p>
      <w:pPr>
        <w:spacing w:after="0" w:line="2" w:lineRule="exact"/>
        <w:rPr>
          <w:sz w:val="24"/>
          <w:szCs w:val="24"/>
          <w:color w:val="auto"/>
        </w:rPr>
      </w:pPr>
    </w:p>
    <w:p>
      <w:pPr>
        <w:ind w:left="226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Conflict Minerals Disclosure and Report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Specialized Disclosure Report on Form SD and the Conflict Minerals Report, filed as Exhibit 1.01 hereto, are publicly available on the Newell Brands Inc. website at http://ir.newellbrands.com/investor-relations/sec-filings/default.aspx. The content on, or accessible through, any website referred to in this Form SD or the attached Conflict Minerals Report is included for general information only and is not incorporated by reference in this Form SD or the attached Conflict Minerals Report.</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Conflict Minerals Report as required by Item 1.01 is filed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Newell Brands Inc. Conflict Minerals Report as required by Items 1.01 and 1.02 of this Form SD for the reporting period beginning January 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00EE"/>
        </w:rPr>
        <w:t>2025 to December 31, 2025.</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NEWELL BRANDS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May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Bradford R. Turner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and Administrative Officer and Corporate Secretary</w:t>
      </w:r>
    </w:p>
    <w:p>
      <w:pPr>
        <w:sectPr>
          <w:pgSz w:w="11900" w:h="16838" w:orient="portrait"/>
          <w:cols w:equalWidth="0" w:num="1">
            <w:col w:w="11000"/>
          </w:cols>
          <w:pgMar w:left="440" w:top="266"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Newell Brands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For The Year Ended December 31, 2025</w:t>
      </w:r>
    </w:p>
    <w:p>
      <w:pPr>
        <w:spacing w:after="0" w:line="22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This Conflict Minerals Report (the “Report”) of Newell Brands Inc. (the “Company”) for the calendar year ended December 31, 2025 is provided in accordance with Rule 13p-1 (the “Rule”) under the Securities Exchange Act of 1934 (the “1934 Act”), the instructions to Form SD, and the Updated Statement on the Effect of the Court of Appeals Decision on the Conflict Minerals Rule issued by the Division of Corporation Finance of the Securities and Exchange Commission (the “SEC”) on April 7, 2017 (the “SEC Statement”) and together with the Rule, Form SD, 1934 Act Release No. 34-67716 and other guidance promulgated by the SEC (the “CMR Regulations”). Please refer to the Rule, Form SD and the 1934 Act Release No. 34-67716 for definitions of the terms used in this Report, unless otherwise defined herein.</w:t>
      </w:r>
    </w:p>
    <w:p>
      <w:pPr>
        <w:spacing w:after="0" w:line="18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Report outlines the steps the Company undertook in accordance with the CMR Regulations in connection with the existence of Conflict Minerals (as defined below) in products the Company manufactured or contracted to manufacture. The Company’s diligence measures were designed to adhere, in all material respects, to the internationally-recognized framework in the OECD Due Diligence Guidance for Responsible Supply Chains of Minerals from Conflict-Affected and High-Risk Areas and the related Supplements for gold and for tin, tantalum and tungsten (Third Edition OECD 2016) (the “OECD Framework”) for supply chain diligence relating to columbite-tantalite (coltan), cassiterite, gold, and wolframite, or their derivatives, which are limited to tantalum, tin, and tungsten (collectively, “Conflict Minerals”).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Overview</w:t>
      </w:r>
    </w:p>
    <w:p>
      <w:pPr>
        <w:spacing w:after="0" w:line="121"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Newell Brands Inc. (the “Company” or “Newell Brands”) is a leading global consumer goods company with a strong portfolio of well-known brands, including Rubbermaid, Sharpie, Graco, Coleman, Rubbermaid Commercial Products, Yankee Candle, Paper Mate, FoodSaver, Dymo, EXPO, Elmer’s, Oster, NUK, Spontex and Campingaz. Newell Brands is focused on delighting consumers by lighting up everyday moments. The Company sells its products in over 150 countries around the world and has operations on the ground in over 45 of these countries, excluding third-party distributors.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three primary operating segments are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Key brands</w:t>
            </w: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primary products</w:t>
            </w:r>
          </w:p>
        </w:tc>
      </w:tr>
      <w:tr>
        <w:trPr>
          <w:trHeight w:val="191"/>
        </w:trPr>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Home and Commercial Solutions</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6"/>
                <w:szCs w:val="16"/>
                <w:color w:val="auto"/>
              </w:rPr>
              <w:t>Ball</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Calphalon, Chesapeake Bay, Crock-Pot,</w:t>
            </w:r>
          </w:p>
        </w:tc>
        <w:tc>
          <w:tcPr>
            <w:tcW w:w="100" w:type="dxa"/>
            <w:vAlign w:val="bottom"/>
          </w:tcPr>
          <w:p>
            <w:pPr>
              <w:spacing w:after="0"/>
              <w:rPr>
                <w:sz w:val="16"/>
                <w:szCs w:val="16"/>
                <w:color w:val="auto"/>
              </w:rPr>
            </w:pPr>
          </w:p>
        </w:tc>
        <w:tc>
          <w:tcPr>
            <w:tcW w:w="34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Commercial cleaning and maintenance</w:t>
            </w: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FoodSaver, Mapa, Mr. Coffee, Oster,</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solutions; closet and garage organization;</w:t>
            </w: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Rubbermaid, Rubbermaid Commercial Products,</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hygiene systems and material handling</w:t>
            </w: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Sistema, Spontex, Sunbeam, WoodWick and</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solutions; household products, including</w:t>
            </w: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Yankee Candle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kitchen appliances; food and home storage</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fresh preserving products; vacuum</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sealing products; gourmet cookware, bakeware</w:t>
            </w: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cutlery and home fragrance products</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Learning and Development</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Aprica, Dymo, Elmer’s, EXPO, Graco, NUK,</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Baby gear and infant care products; writing</w:t>
            </w: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Paper Mate, Parker, Prismacolor and Sharpie</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including markers and</w:t>
            </w:r>
          </w:p>
        </w:tc>
      </w:tr>
      <w:tr>
        <w:trPr>
          <w:trHeight w:val="216"/>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highlighters, pens and pencils; art products;</w:t>
            </w: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activity-based products and labeling solutions</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Outdoor and Recreation</w:t>
            </w: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Bubba, Campingaz, Coleman, Contigo and</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Active lifestyle products for outdoor and</w:t>
            </w:r>
          </w:p>
        </w:tc>
      </w:tr>
      <w:tr>
        <w:trPr>
          <w:trHeight w:val="216"/>
        </w:trPr>
        <w:tc>
          <w:tcPr>
            <w:tcW w:w="3860" w:type="dxa"/>
            <w:vAlign w:val="bottom"/>
          </w:tcPr>
          <w:p>
            <w:pPr>
              <w:spacing w:after="0"/>
              <w:rPr>
                <w:sz w:val="18"/>
                <w:szCs w:val="18"/>
                <w:color w:val="auto"/>
              </w:rPr>
            </w:pPr>
          </w:p>
        </w:tc>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Marmot</w:t>
            </w: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outdoor-related activities; technical apparel</w:t>
            </w: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on-the-go beverageware</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w:t>
      </w:r>
      <w:r>
        <w:rPr>
          <w:sz w:val="1"/>
          <w:szCs w:val="1"/>
          <w:color w:val="auto"/>
        </w:rPr>
        <w:drawing>
          <wp:inline distT="0" distB="0" distL="0" distR="0">
            <wp:extent cx="171450" cy="1028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and Ball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Ball Corporation, used under license.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manufactures some of its products and leverages third party suppliers for some of its other products and components. In both cases, the Company’s position in the supply chain is several levels removed from the actual sourcing of Conflict Minerals. The Company does not make purchases of raw ore or unrefined Conflict Minerals from the Democratic Republic of Congo or an “adjoining country” as defined in Form SD (collectively, the “Covered Countries”), nor does the Company source any products or components directly from the Covered Countries. As a result, the Company must rely upon its suppliers, and their multiple sub-suppliers, for information related to Conflict Minerals that may be contained in products the Company sells.</w:t>
      </w:r>
    </w:p>
    <w:p>
      <w:pPr>
        <w:sectPr>
          <w:pgSz w:w="11900" w:h="16838" w:orient="portrait"/>
          <w:cols w:equalWidth="0" w:num="1">
            <w:col w:w="11020"/>
          </w:cols>
          <w:pgMar w:left="440" w:top="117" w:right="439" w:bottom="1440" w:gutter="0" w:footer="0" w:header="0"/>
        </w:sectPr>
      </w:pPr>
    </w:p>
    <w:bookmarkStart w:id="4" w:name="page5"/>
    <w:bookmarkEnd w:id="4"/>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to the breadth of the Company’s products and global reach of its business, the Company has a complex supply chain that includes over 1,400 materials and sourced finished good suppliers. The procurement of materials and finished goods is managed by global procurement teams consisting of over 230 employees who oversee local and regional sourcing and supplier arrangements. Other key factors that increase the complexity of the Company’s efforts to gather information from within the supply chain include the following:</w:t>
      </w:r>
    </w:p>
    <w:p>
      <w:pPr>
        <w:spacing w:after="0" w:line="85" w:lineRule="exact"/>
        <w:rPr>
          <w:sz w:val="20"/>
          <w:szCs w:val="20"/>
          <w:color w:val="auto"/>
        </w:rPr>
      </w:pPr>
    </w:p>
    <w:p>
      <w:pPr>
        <w:jc w:val="both"/>
        <w:ind w:left="960" w:right="1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the Company’s suppliers are located in Asia, and many of these suppliers may not yet have management systems to address the implications of the CMR Regulations. In addition, relatively few of the Company’s suppliers are registrants with the SEC. As a result, the Company provided suppliers with support in order to develop their understanding of the CMR Regulations.</w:t>
      </w:r>
    </w:p>
    <w:p>
      <w:pPr>
        <w:spacing w:after="0" w:line="81" w:lineRule="exact"/>
        <w:rPr>
          <w:rFonts w:ascii="Times New Roman" w:cs="Times New Roman" w:eastAsia="Times New Roman" w:hAnsi="Times New Roman"/>
          <w:sz w:val="18"/>
          <w:szCs w:val="18"/>
          <w:color w:val="auto"/>
        </w:rPr>
      </w:pPr>
    </w:p>
    <w:p>
      <w:pPr>
        <w:ind w:left="960" w:right="2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due to the nature of the Company’s products and manufacturing processes, the Company’s direct suppliers tend to be several levels removed from the smelters processing minerals that may be present in the products manufactured or contracted to be manufactured by the Company. This necessitates a significant portion of the Company’s suppliers to engage in their own extensive due diligence efforts in order to provide information requested by the Company.</w:t>
      </w:r>
    </w:p>
    <w:p>
      <w:pPr>
        <w:spacing w:after="0" w:line="85" w:lineRule="exact"/>
        <w:rPr>
          <w:rFonts w:ascii="Times New Roman" w:cs="Times New Roman" w:eastAsia="Times New Roman" w:hAnsi="Times New Roman"/>
          <w:sz w:val="18"/>
          <w:szCs w:val="18"/>
          <w:color w:val="auto"/>
        </w:rPr>
      </w:pPr>
    </w:p>
    <w:p>
      <w:pPr>
        <w:jc w:val="both"/>
        <w:ind w:left="960" w:right="14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some instances, the Company may be the only entity requesting Conflict Minerals information from a supplier. In these cases, despite the Company’s efforts, the supplier may view responding to the Company’s requests as a lower priority, and as a result the supplier may take additional time to provide the Company with the information needed in connection with its Conflict Minerals compliance efforts. In some cases, the supplier may not respond at all despite repeated requests from the Company to do so.</w:t>
      </w:r>
    </w:p>
    <w:p>
      <w:pPr>
        <w:spacing w:after="0" w:line="85"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products and component parts are manufactured by third parties, the Company must place additional reliance on those third-party manufacturers to assist the Company in the collection of the information necessary to comply with the due diligence and disclosure requirements under the CMR Regulations. Such third-party manufacturers, which are also typically located in Asia, may lack the infrastructure, resources and knowledge to facilitate a Conflict Minerals compliance effort and may require additional assistance from the Company and/or others in order to do so. In some cases, third-party manufacturers may assert that such information is proprietary.</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factors described above, and resulting complexities, have increased the difficulty of the Company’s efforts to identify the existence, and potential sources of, Conflict Minerals in its products. Regardless of these challenges, the Company diligently worked with its suppliers and third-party manufacturers to collect the information necessary to support its compliance program and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Policy</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Company has adopted a Conflict Minerals policy which is publicly available on its website at https://www.newellbrands.com/conflict-minerals-policies.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Reasonable Country of Origin Inquiry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Section describes the Company’s Reasonable Country of Origin Inquiry (“RCOI”) for Conflict Minerals as required by Item 1.01 of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Section 1 above provides a description of the types of products sold by the Company during the period covered by this Report. As a preliminary step to the Company’s RCOI, the Company assessed which of these products contain Conflict Minerals, and which products containing Conflict Minerals fall within the scope of the Rule and would thus be included in the RCOI (the “Scoping Assessment”). The Company conducted detailed analyses of its products’ bills of materials and other available information on product composition to determine the Conflict Minerals content of its products. As a result of the Scoping Assessment, the Company determined that some of its products in the “Description of primary products” categories set forth in the table above contain Conflict Minerals.</w:t>
      </w:r>
    </w:p>
    <w:p>
      <w:pPr>
        <w:spacing w:after="0" w:line="187" w:lineRule="exact"/>
        <w:rPr>
          <w:sz w:val="20"/>
          <w:szCs w:val="20"/>
          <w:color w:val="auto"/>
        </w:rPr>
      </w:pPr>
    </w:p>
    <w:p>
      <w:pPr>
        <w:jc w:val="both"/>
        <w:ind w:right="280" w:firstLine="440"/>
        <w:spacing w:after="0" w:line="261" w:lineRule="auto"/>
        <w:rPr>
          <w:sz w:val="20"/>
          <w:szCs w:val="20"/>
          <w:color w:val="auto"/>
        </w:rPr>
      </w:pPr>
      <w:r>
        <w:rPr>
          <w:rFonts w:ascii="Times New Roman" w:cs="Times New Roman" w:eastAsia="Times New Roman" w:hAnsi="Times New Roman"/>
          <w:sz w:val="18"/>
          <w:szCs w:val="18"/>
          <w:color w:val="auto"/>
        </w:rPr>
        <w:t>The Company then worked to link the Conflict Minerals components of the covered products to the suppliers of those components in order to identify suppliers that should be included in the RCOI process. For 2025, direct suppliers that posed a reasonable risk of having provided materials, components or products that may contain Conflict Minerals were covered. The Conflict Minerals Policy includes the Company’s expectation that its suppliers provide information related to country of origin of their products.</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2025, the Company used a third-party firm having expertise in such assessments to conduct a survey of the Company’s Targeted Suppliers (as defined below) using a Conflict Minerals Reporting Tool (the “CMRT”) to facilitate the RCOI. The CMRT was based on the Responsible Minerals Initiative Reporting Template Version 6.5.</w:t>
      </w:r>
    </w:p>
    <w:p>
      <w:pPr>
        <w:spacing w:after="0" w:line="176"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For the year ended December 31, 2025, the Company’s third-party firm surveyed 213 suppliers believed or known to have provided materials, components or products which may contain Conflict Minerals (the “Targeted Suppliers”). Based on our survey, 210 of such Targeted Suppliers, or approximately 99%, submitted a complete response to the CMRT. If a Targeted Supplier did not provide a response to the CMRT, follow up requests were sent to individual Targeted Suppliers pursuant to an escalation process. Completed Targeted Supplier responses were reviewed for completeness and internal consistency. Overall, responses were assigned a rating of low, medium, or high risk based on the contents and completeness of the response as well as the likelihood the Targeted Supplier may be sourcing from the Covered Countries. As a result of the Company’s RCOI, the Company has reason to believe that some Targeted Suppliers in its supply chain of in-scope products or components of such products may be sourcing Conflict Minerals from Covered Countries. However, for the period covered by this Form SD and Report, the Company was unable to determine the specific source of the Conflict Minerals due to insufficient information. Accordingly, the Company undertook the due diligence process described below.</w:t>
      </w:r>
    </w:p>
    <w:p>
      <w:pPr>
        <w:sectPr>
          <w:pgSz w:w="11900" w:h="16838" w:orient="portrait"/>
          <w:cols w:equalWidth="0" w:num="1">
            <w:col w:w="10940"/>
          </w:cols>
          <w:pgMar w:left="440" w:top="270"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Design of Due Diligence Framework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due diligence framework is based upon the OECD Framework and the Responsible Minerals Initiative standard for assessing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Due Diligence Performed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due diligence activities are described below.</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4.1 Management Controls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established the following management controls as part of its Conflict Minerals program:</w:t>
      </w:r>
    </w:p>
    <w:p>
      <w:pPr>
        <w:spacing w:after="0" w:line="131" w:lineRule="exact"/>
        <w:rPr>
          <w:sz w:val="20"/>
          <w:szCs w:val="20"/>
          <w:color w:val="auto"/>
        </w:rPr>
      </w:pPr>
    </w:p>
    <w:p>
      <w:pPr>
        <w:ind w:left="9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adopted a Conflict Minerals Policy, which is publicly available on its website at https://www.newellbrands.com/conflict-minerals-policies.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Conflict Minerals compliance program is supported by compliance personnel in the Company’s Responsible Sourcing team.</w:t>
      </w:r>
    </w:p>
    <w:p>
      <w:pPr>
        <w:spacing w:after="0" w:line="130" w:lineRule="exact"/>
        <w:rPr>
          <w:rFonts w:ascii="Times New Roman" w:cs="Times New Roman" w:eastAsia="Times New Roman" w:hAnsi="Times New Roman"/>
          <w:sz w:val="18"/>
          <w:szCs w:val="18"/>
          <w:color w:val="auto"/>
        </w:rPr>
      </w:pPr>
    </w:p>
    <w:p>
      <w:pPr>
        <w:ind w:left="960" w:right="200" w:hanging="424"/>
        <w:spacing w:after="0" w:line="312"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developed Conflict Minerals training materials to educate employees within the Company. The training materials include information on the CMR Regulations, as well as on the Company’s Conflict Minerals Policy, RCOI and due diligence processes.</w:t>
      </w:r>
    </w:p>
    <w:p>
      <w:pPr>
        <w:spacing w:after="0" w:line="45" w:lineRule="exact"/>
        <w:rPr>
          <w:rFonts w:ascii="Times New Roman" w:cs="Times New Roman" w:eastAsia="Times New Roman" w:hAnsi="Times New Roman"/>
          <w:sz w:val="17"/>
          <w:szCs w:val="17"/>
          <w:color w:val="auto"/>
        </w:rPr>
      </w:pPr>
    </w:p>
    <w:p>
      <w:pPr>
        <w:ind w:left="960" w:right="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developed Conflict Minerals training materials to educate its suppliers. The Company or its third-party provider conduct trainings related to CMR Regulations, the Company’s Conflict Minerals Policy and RCOI and due diligence processes.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4.2 Risk Identification</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has established and implemented the following program elements for identifying and assessing risk as part of its Conflict Minerals program:</w:t>
      </w:r>
    </w:p>
    <w:p>
      <w:pPr>
        <w:spacing w:after="0" w:line="67" w:lineRule="exact"/>
        <w:rPr>
          <w:sz w:val="20"/>
          <w:szCs w:val="20"/>
          <w:color w:val="auto"/>
        </w:rPr>
      </w:pPr>
    </w:p>
    <w:p>
      <w:pPr>
        <w:ind w:left="960" w:right="6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efforts are also supported through the services of its third-party firm recognized as having expertise and expanded capabilities in conducting such assessments.</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third-party firm surveys suppliers annually about the potential use and origin of Conflict Minerals in their respective supply chains, including reviewing smelter information and chain of custody information, as appropriate.</w:t>
      </w:r>
    </w:p>
    <w:p>
      <w:pPr>
        <w:spacing w:after="0" w:line="67" w:lineRule="exact"/>
        <w:rPr>
          <w:rFonts w:ascii="Times New Roman" w:cs="Times New Roman" w:eastAsia="Times New Roman" w:hAnsi="Times New Roman"/>
          <w:sz w:val="18"/>
          <w:szCs w:val="18"/>
          <w:color w:val="auto"/>
        </w:rPr>
      </w:pPr>
    </w:p>
    <w:p>
      <w:pPr>
        <w:ind w:left="960" w:right="80" w:hanging="424"/>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assesses survey responses to identify sourcing and supplier risks. Supplier responses are reviewed against the risk assessment framework, and follow up, due diligence, and risk mitigation are completed as necessary. The Company or its third-party firm also conducts smelter due diligence using defined and documented steps, which include comparing supplier-disclosed smelters against the Responsible Minerals Initiative’s (formerly the Conflict-Free Sourcing Initiative’s) (the “RMI”) Compliant Smelter List to confirm their existence and to determine whether they are certified as conflict-free.</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4.3 Risk Mitigation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developed and adopted a risk mitigation plan that includes the following elements:</w:t>
      </w:r>
    </w:p>
    <w:p>
      <w:pPr>
        <w:spacing w:after="0" w:line="131" w:lineRule="exact"/>
        <w:rPr>
          <w:sz w:val="20"/>
          <w:szCs w:val="20"/>
          <w:color w:val="auto"/>
        </w:rPr>
      </w:pPr>
    </w:p>
    <w:p>
      <w:pPr>
        <w:ind w:left="960" w:right="2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third-party firm communicates with suppliers who do not satisfy the due diligence requests and encourages them to provide complete and accurate responses.</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third-party firm reviews responses for changes in circumstances or information and reevaluates the need for, and conducts where warranted, a reevaluation of necessary follow up, due diligence, and/or risk mitigation activities.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4.4 Carry Out Independent Third-Party Audit of Supply Chain Due Diligence at Identified Points in the Supply Chain</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does not have a direct relationship with Conflict Minerals smelters and refiners and does not perform or direct audits of these entities within its supply chain. The Company relies upon the smelter audit results published by the RMI, the London Bullion Market Association and the Responsible Jewellery Council.</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4.5 Report on supply chain due diligence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filed this Report with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Required Disclosures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 Efforts to determine the mine or location of origin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due diligence described in Section 4 of this Report represents the Company’s efforts to identify country and mine of origin.</w:t>
      </w:r>
    </w:p>
    <w:p>
      <w:pPr>
        <w:sectPr>
          <w:pgSz w:w="11900" w:h="16838" w:orient="portrait"/>
          <w:cols w:equalWidth="0" w:num="1">
            <w:col w:w="11000"/>
          </w:cols>
          <w:pgMar w:left="440" w:top="266" w:right="45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 Description of facilities used to process Conflict Minerals, if known</w:t>
      </w:r>
    </w:p>
    <w:p>
      <w:pPr>
        <w:spacing w:after="0" w:line="121"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Some of the respondents did not provide smelter information; further, responding suppliers often provided their responses at a company-wide level, rendering the Company unable to conclude whether Conflict Minerals from smelters that may have been identified were actually used in the Company’s in-scope products.</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5.3 Description of country of origin, if known</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Company’s third-party firm requested country of origin information, if known, from each Targeted Supplier, most of which do not source directly from smelters, and also relied upon country of origin information provided by the RMI, when available. Based on this information provided to our third-party firm, as of the date of this Form SD and Report, the Company has reason to believe that some targeted suppliers may be sourcing Conflict Minerals from Covered Countries; however, the Company was unable to definitively identify the country of origin of the Conflict Minerals in its in-scope products due to the nature of Targeted Suppliers’ responses to the smelter of origin inquiry.</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5.4 Steps taken or to be taken to mitigate the risk that Conflict Minerals in the Company’s products benefit armed groups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will continue to implement enhancements to its Conflict Minerals program going forward, including the following:</w:t>
      </w:r>
    </w:p>
    <w:p>
      <w:pPr>
        <w:spacing w:after="0" w:line="131" w:lineRule="exact"/>
        <w:rPr>
          <w:sz w:val="20"/>
          <w:szCs w:val="20"/>
          <w:color w:val="auto"/>
        </w:rPr>
      </w:pPr>
    </w:p>
    <w:p>
      <w:pPr>
        <w:ind w:left="9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onboarding process for all Stock Keeping Units (SKUs) to segregate any products that contain 3TG minerals in their composition and complete upfront due diligence;</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minimize the occurrence of products that involve high-risk supply chain complexities, and particularly those associated with Conflict Minerals;</w:t>
      </w:r>
    </w:p>
    <w:p>
      <w:pPr>
        <w:spacing w:after="0" w:line="67" w:lineRule="exact"/>
        <w:rPr>
          <w:rFonts w:ascii="Times New Roman" w:cs="Times New Roman" w:eastAsia="Times New Roman" w:hAnsi="Times New Roman"/>
          <w:sz w:val="18"/>
          <w:szCs w:val="18"/>
          <w:color w:val="auto"/>
        </w:rPr>
      </w:pPr>
    </w:p>
    <w:p>
      <w:pPr>
        <w:ind w:left="960" w:right="6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products identified as undeterminable but indicating a potential high-risk of including Conflict Minerals sourced from Covered Countries, evaluate alternatives or, where feasible, elimination;</w:t>
      </w:r>
    </w:p>
    <w:p>
      <w:pPr>
        <w:spacing w:after="0" w:line="67"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alternatives for high-risk suppliers that are unable to provide traceability to sub-tier suppliers in an effort to reduce risk of occurrence of Conflict Minerals sourced from Covered Countries;</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continued efforts to reduce overall number of suppliers serves to simplify its supply chain and reduce potential risk of occurrence of Conflict Minerals sourced from Covered Countries;</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any suppliers found to be supplying the Company with Conflict Minerals from sources that support conflict in the DRC or any adjoining country, if any, to explore alternative sources;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engagement with suppliers that did not provide a complete response to the Company’s CMRT survey;</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efforts to train suppliers regarding the Vendor Code of Conduct and to encourage them to adopt their own Conflict Minerals programs, including conflict-free sourcing;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collaboration with the third-party firm to improve accuracy and relevancy of inquiry results;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and train the Company’s suppliers regarding product traceability and origin tracking processes and related system improvements.</w:t>
      </w:r>
    </w:p>
    <w:p>
      <w:pPr>
        <w:spacing w:after="0" w:line="11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Given the Company’s remote position in the supply chain, the effectiveness of these enhancements is necessarily dependent on the cooperation of the Company’s manufacturers and suppliers.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5.5 Description of undeterminable products</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Due to a combination of incomplete and unconfirmed responses from certain targeted suppliers, or suppliers that did not respond to the CMRT, as of the date of this Form SD and Report, the Company has been unable to form a complete independent determination as to the source of Conflict Minerals present in its products.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2026-05-29T07:34:15Z</dcterms:created>
  <dcterms:modified xsi:type="dcterms:W3CDTF">2026-05-29T07:34:15Z</dcterms:modified>
</cp:coreProperties>
</file>