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30" w:lineRule="exact"/>
        <w:rPr>
          <w:sz w:val="24"/>
          <w:szCs w:val="24"/>
          <w:color w:val="auto"/>
        </w:rPr>
      </w:pPr>
    </w:p>
    <w:p>
      <w:pPr>
        <w:ind w:left="4834"/>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276"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FOR ANNUAL REPORTS OF EMPLOYEE STOCK</w:t>
      </w:r>
    </w:p>
    <w:p>
      <w:pPr>
        <w:spacing w:after="0" w:line="31"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PURCHASE, SAVINGS AND SIMILAR PLANS</w:t>
      </w:r>
    </w:p>
    <w:p>
      <w:pPr>
        <w:spacing w:after="0" w:line="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PURSUANT TO SECTION 15(d)</w:t>
      </w:r>
    </w:p>
    <w:p>
      <w:pPr>
        <w:spacing w:after="0" w:line="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left="4274" w:right="1579" w:hanging="4274"/>
        <w:spacing w:after="0" w:line="563"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ACT OF 1934 For the fiscal year ended December 31, 2025</w:t>
      </w:r>
    </w:p>
    <w:p>
      <w:pPr>
        <w:spacing w:after="0" w:line="1" w:lineRule="exact"/>
        <w:rPr>
          <w:sz w:val="24"/>
          <w:szCs w:val="24"/>
          <w:color w:val="auto"/>
        </w:rPr>
      </w:pPr>
    </w:p>
    <w:p>
      <w:pPr>
        <w:ind w:left="674" w:hanging="674"/>
        <w:spacing w:after="0"/>
        <w:tabs>
          <w:tab w:leader="none" w:pos="674"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TRANSITION REPORT PURSUANT TO SECTION 15(d) OF THE SECURITIES EXCHANGE ACT OF 1934</w:t>
      </w:r>
    </w:p>
    <w:p>
      <w:pPr>
        <w:spacing w:after="0" w:line="200" w:lineRule="exact"/>
        <w:rPr>
          <w:sz w:val="24"/>
          <w:szCs w:val="24"/>
          <w:color w:val="auto"/>
        </w:rPr>
      </w:pPr>
    </w:p>
    <w:p>
      <w:pPr>
        <w:spacing w:after="0" w:line="377" w:lineRule="exact"/>
        <w:rPr>
          <w:sz w:val="24"/>
          <w:szCs w:val="24"/>
          <w:color w:val="auto"/>
        </w:rPr>
      </w:pPr>
    </w:p>
    <w:p>
      <w:pPr>
        <w:ind w:left="3854"/>
        <w:spacing w:after="0"/>
        <w:rPr>
          <w:sz w:val="20"/>
          <w:szCs w:val="20"/>
          <w:color w:val="auto"/>
        </w:rPr>
      </w:pPr>
      <w:r>
        <w:rPr>
          <w:rFonts w:ascii="Times New Roman" w:cs="Times New Roman" w:eastAsia="Times New Roman" w:hAnsi="Times New Roman"/>
          <w:sz w:val="25"/>
          <w:szCs w:val="25"/>
          <w:b w:val="1"/>
          <w:bCs w:val="1"/>
          <w:color w:val="auto"/>
        </w:rPr>
        <w:t>Commission file number: 1-9608</w:t>
      </w:r>
    </w:p>
    <w:p>
      <w:pPr>
        <w:spacing w:after="0" w:line="277" w:lineRule="exact"/>
        <w:rPr>
          <w:sz w:val="24"/>
          <w:szCs w:val="24"/>
          <w:color w:val="auto"/>
        </w:rPr>
      </w:pPr>
    </w:p>
    <w:p>
      <w:pPr>
        <w:ind w:left="634"/>
        <w:spacing w:after="0"/>
        <w:tabs>
          <w:tab w:leader="none" w:pos="934" w:val="left"/>
        </w:tabs>
        <w:rPr>
          <w:sz w:val="20"/>
          <w:szCs w:val="20"/>
          <w:color w:val="auto"/>
        </w:rPr>
      </w:pPr>
      <w:r>
        <w:rPr>
          <w:rFonts w:ascii="Times New Roman" w:cs="Times New Roman" w:eastAsia="Times New Roman" w:hAnsi="Times New Roman"/>
          <w:sz w:val="18"/>
          <w:szCs w:val="18"/>
          <w:color w:val="auto"/>
        </w:rPr>
        <w:t>A.</w:t>
        <w:tab/>
        <w:t>Full title of the plan and the address of the plan, if different from that of the issuer named below:</w:t>
      </w:r>
    </w:p>
    <w:p>
      <w:pPr>
        <w:spacing w:after="0" w:line="241" w:lineRule="exact"/>
        <w:rPr>
          <w:sz w:val="24"/>
          <w:szCs w:val="24"/>
          <w:color w:val="auto"/>
        </w:rPr>
      </w:pPr>
    </w:p>
    <w:p>
      <w:pPr>
        <w:ind w:left="2794"/>
        <w:spacing w:after="0"/>
        <w:rPr>
          <w:sz w:val="20"/>
          <w:szCs w:val="20"/>
          <w:color w:val="auto"/>
        </w:rPr>
      </w:pPr>
      <w:r>
        <w:rPr>
          <w:rFonts w:ascii="Times New Roman" w:cs="Times New Roman" w:eastAsia="Times New Roman" w:hAnsi="Times New Roman"/>
          <w:sz w:val="25"/>
          <w:szCs w:val="25"/>
          <w:b w:val="1"/>
          <w:bCs w:val="1"/>
          <w:color w:val="auto"/>
        </w:rPr>
        <w:t>NEWELL BRANDS EMPLOYEE SAVINGS PLAN</w:t>
      </w:r>
    </w:p>
    <w:p>
      <w:pPr>
        <w:spacing w:after="0" w:line="263" w:lineRule="exact"/>
        <w:rPr>
          <w:sz w:val="24"/>
          <w:szCs w:val="24"/>
          <w:color w:val="auto"/>
        </w:rPr>
      </w:pPr>
    </w:p>
    <w:p>
      <w:pPr>
        <w:ind w:left="634"/>
        <w:spacing w:after="0"/>
        <w:tabs>
          <w:tab w:leader="none" w:pos="914" w:val="left"/>
        </w:tabs>
        <w:rPr>
          <w:sz w:val="20"/>
          <w:szCs w:val="20"/>
          <w:color w:val="auto"/>
        </w:rPr>
      </w:pPr>
      <w:r>
        <w:rPr>
          <w:rFonts w:ascii="Times New Roman" w:cs="Times New Roman" w:eastAsia="Times New Roman" w:hAnsi="Times New Roman"/>
          <w:sz w:val="18"/>
          <w:szCs w:val="18"/>
          <w:color w:val="auto"/>
        </w:rPr>
        <w:t>B.</w:t>
        <w:tab/>
        <w:t>Name of issuer of the securities held pursuant to the plan and the address of its principal executive office:</w:t>
      </w:r>
    </w:p>
    <w:p>
      <w:pPr>
        <w:spacing w:after="0" w:line="248"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31"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5 Concourse Parkway NE, 8th Floor</w:t>
      </w:r>
    </w:p>
    <w:p>
      <w:pPr>
        <w:spacing w:after="0" w:line="9" w:lineRule="exact"/>
        <w:rPr>
          <w:sz w:val="24"/>
          <w:szCs w:val="24"/>
          <w:color w:val="auto"/>
        </w:rPr>
      </w:pPr>
    </w:p>
    <w:p>
      <w:pPr>
        <w:jc w:val="center"/>
        <w:ind w:right="-1094"/>
        <w:spacing w:after="0"/>
        <w:rPr>
          <w:sz w:val="20"/>
          <w:szCs w:val="20"/>
          <w:color w:val="auto"/>
        </w:rPr>
      </w:pPr>
      <w:r>
        <w:rPr>
          <w:rFonts w:ascii="Times New Roman" w:cs="Times New Roman" w:eastAsia="Times New Roman" w:hAnsi="Times New Roman"/>
          <w:sz w:val="18"/>
          <w:szCs w:val="18"/>
          <w:b w:val="1"/>
          <w:bCs w:val="1"/>
          <w:color w:val="auto"/>
        </w:rPr>
        <w:t>Atlanta, Georgia 30328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1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3060" w:type="dxa"/>
            <w:vAlign w:val="bottom"/>
            <w:gridSpan w:val="5"/>
          </w:tcPr>
          <w:p>
            <w:pPr>
              <w:ind w:left="160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194"/>
        </w:trPr>
        <w:tc>
          <w:tcPr>
            <w:tcW w:w="8180" w:type="dxa"/>
            <w:vAlign w:val="bottom"/>
            <w:vMerge w:val="continue"/>
          </w:tcPr>
          <w:p>
            <w:pPr>
              <w:spacing w:after="0"/>
              <w:rPr>
                <w:sz w:val="16"/>
                <w:szCs w:val="16"/>
                <w:color w:val="auto"/>
              </w:rPr>
            </w:pPr>
          </w:p>
        </w:tc>
        <w:tc>
          <w:tcPr>
            <w:tcW w:w="2160" w:type="dxa"/>
            <w:vAlign w:val="bottom"/>
            <w:gridSpan w:val="3"/>
          </w:tcPr>
          <w:p>
            <w:pPr>
              <w:jc w:val="center"/>
              <w:ind w:left="1990"/>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Statement of Net Assets Available for Benefits</w:t>
            </w:r>
          </w:p>
        </w:tc>
        <w:tc>
          <w:tcPr>
            <w:tcW w:w="2160" w:type="dxa"/>
            <w:vAlign w:val="bottom"/>
            <w:gridSpan w:val="3"/>
          </w:tcPr>
          <w:p>
            <w:pPr>
              <w:jc w:val="center"/>
              <w:ind w:left="1990"/>
              <w:spacing w:after="0" w:line="194"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w:t>
            </w:r>
          </w:p>
        </w:tc>
        <w:tc>
          <w:tcPr>
            <w:tcW w:w="216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16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tc>
        <w:tc>
          <w:tcPr>
            <w:tcW w:w="2220" w:type="dxa"/>
            <w:vAlign w:val="bottom"/>
            <w:gridSpan w:val="4"/>
          </w:tcPr>
          <w:p>
            <w:pPr>
              <w:jc w:val="center"/>
              <w:ind w:left="1950"/>
              <w:spacing w:after="0"/>
              <w:rPr>
                <w:sz w:val="20"/>
                <w:szCs w:val="20"/>
                <w:color w:val="auto"/>
              </w:rPr>
            </w:pPr>
            <w:r>
              <w:rPr>
                <w:rFonts w:ascii="Times New Roman" w:cs="Times New Roman" w:eastAsia="Times New Roman" w:hAnsi="Times New Roman"/>
                <w:sz w:val="18"/>
                <w:szCs w:val="18"/>
                <w:color w:val="0000FF"/>
                <w:w w:val="99"/>
              </w:rPr>
              <w:t>12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2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2220" w:type="dxa"/>
            <w:vAlign w:val="bottom"/>
            <w:gridSpan w:val="4"/>
          </w:tcPr>
          <w:p>
            <w:pPr>
              <w:jc w:val="center"/>
              <w:ind w:left="1950"/>
              <w:spacing w:after="0"/>
              <w:rPr>
                <w:sz w:val="20"/>
                <w:szCs w:val="20"/>
                <w:color w:val="auto"/>
              </w:rPr>
            </w:pPr>
            <w:r>
              <w:rPr>
                <w:rFonts w:ascii="Times New Roman" w:cs="Times New Roman" w:eastAsia="Times New Roman" w:hAnsi="Times New Roman"/>
                <w:sz w:val="18"/>
                <w:szCs w:val="18"/>
                <w:color w:val="0000FF"/>
                <w:w w:val="99"/>
              </w:rPr>
              <w:t>13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2220" w:type="dxa"/>
            <w:vAlign w:val="bottom"/>
            <w:gridSpan w:val="4"/>
          </w:tcPr>
          <w:p>
            <w:pPr>
              <w:jc w:val="center"/>
              <w:ind w:left="1950"/>
              <w:spacing w:after="0"/>
              <w:rPr>
                <w:sz w:val="20"/>
                <w:szCs w:val="20"/>
                <w:color w:val="auto"/>
              </w:rPr>
            </w:pPr>
            <w:r>
              <w:rPr>
                <w:rFonts w:ascii="Times New Roman" w:cs="Times New Roman" w:eastAsia="Times New Roman" w:hAnsi="Times New Roman"/>
                <w:sz w:val="18"/>
                <w:szCs w:val="18"/>
                <w:color w:val="0000FF"/>
                <w:w w:val="99"/>
              </w:rPr>
              <w:t>14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8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2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Newell Brands Employee Savings Plan</w:t>
      </w: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Newell Brands Employee Savings Plan (the Plan) as of December 31, 2025 and 2024, the related statement of changes in net assets available for benefits for the year ended December 31, 2025, and the related notes (collectively referred to as the “financial statements”). In our opinion, the financial statements referred to above present fairly, in all material respects, the net assets available for benefits of Newell Brands Employee Savings Plan as of December 31, 2025 and 2024 and the changes in net assets available for benefits for the year ended December 31, 2025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Opinion</w:t>
      </w:r>
    </w:p>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Report on Supplemental Information</w:t>
      </w: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supplemental information in the accompanying schedule of assets (held at the end of the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w:t>
      </w:r>
      <w:r>
        <w:rPr>
          <w:rFonts w:ascii="Times New Roman" w:cs="Times New Roman" w:eastAsia="Times New Roman" w:hAnsi="Times New Roman"/>
          <w:sz w:val="18"/>
          <w:szCs w:val="18"/>
          <w:i w:val="1"/>
          <w:iCs w:val="1"/>
          <w:color w:val="auto"/>
        </w:rPr>
        <w:t>Employee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Security Act of 1974</w:t>
      </w:r>
      <w:r>
        <w:rPr>
          <w:rFonts w:ascii="Times New Roman" w:cs="Times New Roman" w:eastAsia="Times New Roman" w:hAnsi="Times New Roman"/>
          <w:sz w:val="18"/>
          <w:szCs w:val="18"/>
          <w:color w:val="auto"/>
        </w:rPr>
        <w:t>. In our opinion, the schedule of assets (held at the end of the year) is fairly stated, in all material respects, in relation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financial statements taken as a whole.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7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Newell Brands Employee Savings Plan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Borders>
              <w:bottom w:val="single" w:sz="8" w:color="auto"/>
            </w:tcBorders>
          </w:tcPr>
          <w:p>
            <w:pPr>
              <w:spacing w:after="0"/>
              <w:rPr>
                <w:sz w:val="21"/>
                <w:szCs w:val="21"/>
                <w:color w:val="auto"/>
              </w:rPr>
            </w:pPr>
          </w:p>
        </w:tc>
      </w:tr>
      <w:tr>
        <w:trPr>
          <w:trHeight w:val="230"/>
        </w:trPr>
        <w:tc>
          <w:tcPr>
            <w:tcW w:w="67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1,914,699,122</w:t>
            </w:r>
          </w:p>
        </w:tc>
        <w:tc>
          <w:tcPr>
            <w:tcW w:w="24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1,745,354,743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receivables from participants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16,741,763</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16,819,634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1,545,412</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1,557,840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contributions receivable</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1,337,927</w:t>
            </w:r>
          </w:p>
        </w:tc>
        <w:tc>
          <w:tcPr>
            <w:tcW w:w="2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1,454,657</w:t>
            </w: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1,934,324,224</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1,765,186,874</w:t>
            </w:r>
          </w:p>
        </w:tc>
      </w:tr>
      <w:tr>
        <w:trPr>
          <w:trHeight w:val="270"/>
        </w:trPr>
        <w:tc>
          <w:tcPr>
            <w:tcW w:w="67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 payable and 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47,908</w:t>
            </w:r>
          </w:p>
        </w:tc>
        <w:tc>
          <w:tcPr>
            <w:tcW w:w="2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49,480</w:t>
            </w:r>
          </w:p>
        </w:tc>
      </w:tr>
      <w:tr>
        <w:trPr>
          <w:trHeight w:val="223"/>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47,908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49,480</w:t>
            </w:r>
          </w:p>
        </w:tc>
      </w:tr>
      <w:tr>
        <w:trPr>
          <w:trHeight w:val="270"/>
        </w:trPr>
        <w:tc>
          <w:tcPr>
            <w:tcW w:w="67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1,934,276,316</w:t>
            </w: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1,765,137,394</w:t>
            </w:r>
          </w:p>
        </w:tc>
      </w:tr>
      <w:tr>
        <w:trPr>
          <w:trHeight w:val="21"/>
        </w:trPr>
        <w:tc>
          <w:tcPr>
            <w:tcW w:w="6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Newell Brands Employee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c>
          <w:tcPr>
            <w:tcW w:w="0" w:type="dxa"/>
            <w:vAlign w:val="bottom"/>
          </w:tcPr>
          <w:p>
            <w:pPr>
              <w:spacing w:after="0"/>
              <w:rPr>
                <w:sz w:val="1"/>
                <w:szCs w:val="1"/>
                <w:color w:val="auto"/>
              </w:rPr>
            </w:pPr>
          </w:p>
        </w:tc>
      </w:tr>
      <w:tr>
        <w:trPr>
          <w:trHeight w:val="180"/>
        </w:trPr>
        <w:tc>
          <w:tcPr>
            <w:tcW w:w="9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10"/>
        </w:trPr>
        <w:tc>
          <w:tcPr>
            <w:tcW w:w="9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286,572,356</w:t>
            </w:r>
          </w:p>
        </w:tc>
        <w:tc>
          <w:tcPr>
            <w:tcW w:w="0" w:type="dxa"/>
            <w:vAlign w:val="bottom"/>
          </w:tcPr>
          <w:p>
            <w:pPr>
              <w:spacing w:after="0"/>
              <w:rPr>
                <w:sz w:val="1"/>
                <w:szCs w:val="1"/>
                <w:color w:val="auto"/>
              </w:rPr>
            </w:pPr>
          </w:p>
        </w:tc>
      </w:tr>
      <w:tr>
        <w:trPr>
          <w:trHeight w:val="229"/>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4,031,585</w:t>
            </w:r>
          </w:p>
        </w:tc>
        <w:tc>
          <w:tcPr>
            <w:tcW w:w="0" w:type="dxa"/>
            <w:vAlign w:val="bottom"/>
          </w:tcPr>
          <w:p>
            <w:pPr>
              <w:spacing w:after="0"/>
              <w:rPr>
                <w:sz w:val="1"/>
                <w:szCs w:val="1"/>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290,603,941</w:t>
            </w:r>
          </w:p>
        </w:tc>
        <w:tc>
          <w:tcPr>
            <w:tcW w:w="0" w:type="dxa"/>
            <w:vAlign w:val="bottom"/>
          </w:tcPr>
          <w:p>
            <w:pPr>
              <w:spacing w:after="0"/>
              <w:rPr>
                <w:sz w:val="1"/>
                <w:szCs w:val="1"/>
                <w:color w:val="auto"/>
              </w:rPr>
            </w:pPr>
          </w:p>
        </w:tc>
      </w:tr>
      <w:tr>
        <w:trPr>
          <w:trHeight w:val="270"/>
        </w:trPr>
        <w:tc>
          <w:tcPr>
            <w:tcW w:w="9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1,411,324</w:t>
            </w:r>
          </w:p>
        </w:tc>
        <w:tc>
          <w:tcPr>
            <w:tcW w:w="0" w:type="dxa"/>
            <w:vAlign w:val="bottom"/>
          </w:tcPr>
          <w:p>
            <w:pPr>
              <w:spacing w:after="0"/>
              <w:rPr>
                <w:sz w:val="1"/>
                <w:szCs w:val="1"/>
                <w:color w:val="auto"/>
              </w:rPr>
            </w:pPr>
          </w:p>
        </w:tc>
      </w:tr>
      <w:tr>
        <w:trPr>
          <w:trHeight w:val="270"/>
        </w:trPr>
        <w:tc>
          <w:tcPr>
            <w:tcW w:w="9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Participant</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57,164,229</w:t>
            </w:r>
          </w:p>
        </w:tc>
        <w:tc>
          <w:tcPr>
            <w:tcW w:w="0" w:type="dxa"/>
            <w:vAlign w:val="bottom"/>
          </w:tcPr>
          <w:p>
            <w:pPr>
              <w:spacing w:after="0"/>
              <w:rPr>
                <w:sz w:val="1"/>
                <w:szCs w:val="1"/>
                <w:color w:val="auto"/>
              </w:rPr>
            </w:pPr>
          </w:p>
        </w:tc>
      </w:tr>
      <w:tr>
        <w:trPr>
          <w:trHeight w:val="229"/>
        </w:trPr>
        <w:tc>
          <w:tcPr>
            <w:tcW w:w="9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36,128,656</w:t>
            </w:r>
          </w:p>
        </w:tc>
        <w:tc>
          <w:tcPr>
            <w:tcW w:w="0" w:type="dxa"/>
            <w:vAlign w:val="bottom"/>
          </w:tcPr>
          <w:p>
            <w:pPr>
              <w:spacing w:after="0"/>
              <w:rPr>
                <w:sz w:val="1"/>
                <w:szCs w:val="1"/>
                <w:color w:val="auto"/>
              </w:rPr>
            </w:pPr>
          </w:p>
        </w:tc>
      </w:tr>
      <w:tr>
        <w:trPr>
          <w:trHeight w:val="230"/>
        </w:trPr>
        <w:tc>
          <w:tcPr>
            <w:tcW w:w="9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Rollover</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8,119,962</w:t>
            </w:r>
          </w:p>
        </w:tc>
        <w:tc>
          <w:tcPr>
            <w:tcW w:w="0" w:type="dxa"/>
            <w:vAlign w:val="bottom"/>
          </w:tcPr>
          <w:p>
            <w:pPr>
              <w:spacing w:after="0"/>
              <w:rPr>
                <w:sz w:val="1"/>
                <w:szCs w:val="1"/>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contributions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101,412,847</w:t>
            </w:r>
          </w:p>
        </w:tc>
        <w:tc>
          <w:tcPr>
            <w:tcW w:w="0" w:type="dxa"/>
            <w:vAlign w:val="bottom"/>
          </w:tcPr>
          <w:p>
            <w:pPr>
              <w:spacing w:after="0"/>
              <w:rPr>
                <w:sz w:val="1"/>
                <w:szCs w:val="1"/>
                <w:color w:val="auto"/>
              </w:rPr>
            </w:pPr>
          </w:p>
        </w:tc>
      </w:tr>
      <w:tr>
        <w:trPr>
          <w:trHeight w:val="270"/>
        </w:trPr>
        <w:tc>
          <w:tcPr>
            <w:tcW w:w="91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393,428,112</w:t>
            </w:r>
          </w:p>
        </w:tc>
        <w:tc>
          <w:tcPr>
            <w:tcW w:w="0" w:type="dxa"/>
            <w:vAlign w:val="bottom"/>
          </w:tcPr>
          <w:p>
            <w:pPr>
              <w:spacing w:after="0"/>
              <w:rPr>
                <w:sz w:val="1"/>
                <w:szCs w:val="1"/>
                <w:color w:val="auto"/>
              </w:rPr>
            </w:pPr>
          </w:p>
        </w:tc>
      </w:tr>
      <w:tr>
        <w:trPr>
          <w:trHeight w:val="270"/>
        </w:trPr>
        <w:tc>
          <w:tcPr>
            <w:tcW w:w="9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(223,228,057)</w:t>
            </w:r>
          </w:p>
        </w:tc>
        <w:tc>
          <w:tcPr>
            <w:tcW w:w="0" w:type="dxa"/>
            <w:vAlign w:val="bottom"/>
          </w:tcPr>
          <w:p>
            <w:pPr>
              <w:spacing w:after="0"/>
              <w:rPr>
                <w:sz w:val="1"/>
                <w:szCs w:val="1"/>
                <w:color w:val="auto"/>
              </w:rPr>
            </w:pPr>
          </w:p>
        </w:tc>
      </w:tr>
      <w:tr>
        <w:trPr>
          <w:trHeight w:val="230"/>
        </w:trPr>
        <w:tc>
          <w:tcPr>
            <w:tcW w:w="9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(1,061,133)</w:t>
            </w:r>
          </w:p>
        </w:tc>
        <w:tc>
          <w:tcPr>
            <w:tcW w:w="0" w:type="dxa"/>
            <w:vAlign w:val="bottom"/>
          </w:tcPr>
          <w:p>
            <w:pPr>
              <w:spacing w:after="0"/>
              <w:rPr>
                <w:sz w:val="1"/>
                <w:szCs w:val="1"/>
                <w:color w:val="auto"/>
              </w:rPr>
            </w:pP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(224,289,190)</w:t>
            </w:r>
          </w:p>
        </w:tc>
        <w:tc>
          <w:tcPr>
            <w:tcW w:w="0" w:type="dxa"/>
            <w:vAlign w:val="bottom"/>
          </w:tcPr>
          <w:p>
            <w:pPr>
              <w:spacing w:after="0"/>
              <w:rPr>
                <w:sz w:val="1"/>
                <w:szCs w:val="1"/>
                <w:color w:val="auto"/>
              </w:rPr>
            </w:pPr>
          </w:p>
        </w:tc>
      </w:tr>
      <w:tr>
        <w:trPr>
          <w:trHeight w:val="270"/>
        </w:trPr>
        <w:tc>
          <w:tcPr>
            <w:tcW w:w="91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169,138,922</w:t>
            </w:r>
          </w:p>
        </w:tc>
        <w:tc>
          <w:tcPr>
            <w:tcW w:w="0" w:type="dxa"/>
            <w:vAlign w:val="bottom"/>
          </w:tcPr>
          <w:p>
            <w:pPr>
              <w:spacing w:after="0"/>
              <w:rPr>
                <w:sz w:val="1"/>
                <w:szCs w:val="1"/>
                <w:color w:val="auto"/>
              </w:rPr>
            </w:pP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1,765,137,394</w:t>
            </w:r>
          </w:p>
        </w:tc>
        <w:tc>
          <w:tcPr>
            <w:tcW w:w="0" w:type="dxa"/>
            <w:vAlign w:val="bottom"/>
          </w:tcPr>
          <w:p>
            <w:pPr>
              <w:spacing w:after="0"/>
              <w:rPr>
                <w:sz w:val="1"/>
                <w:szCs w:val="1"/>
                <w:color w:val="auto"/>
              </w:rPr>
            </w:pPr>
          </w:p>
        </w:tc>
      </w:tr>
      <w:tr>
        <w:trPr>
          <w:trHeight w:val="22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 end of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1,934,276,316</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Newell Brands Employee Savings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Plan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Newell Brands Employee Savings Plan (the “Plan”) provides only general information. Participants should refer to the Summary Plan Description document and Plan document for a more complete description of the Plan’s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administered by the Newell Operating Company (“NOC”) U.S. Benefits Administration Committee (the “Plan Administrator”), which was appointed by the NOC Global Benefits Oversight Committee, a committee appointed by the Board of Directors of NOC, a subsidiary of Newell Brands Inc. The Plan is subject to the provisions of the Employee Retirement Income Security Act of 1974, as amended (“ERISA”).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employees of NOC and of its affiliated companies that have adopted the Plan (collectively, the “Company”) are eligible to participate in the Plan. Generally, eligible employees, other than retail employees of the Yankee Candle Company (as determined under the Plan document) and “Temporary Employees” (as defined by the Plan document), are eligible to commence participating in the Plan upon their date of hire. Eligible retail employees of the Yankee Candle Company and, generally, Temporary Employees may commence participating in the Plan after completing one “Year of Eligibility Service” as defined by the Plan document.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legal and Plan limits, participants may elect to contribute up to 75% of their “Covered Pay”, as defined by the Plan document, to the Plan as pre-tax contributions and/or after-tax Roth contributions (collectively “Elective Deferral Contributions”). The Company makes a matching contribution each payroll period in an amount determined as follows:</w:t>
      </w:r>
    </w:p>
    <w:p>
      <w:pPr>
        <w:spacing w:after="0" w:line="203" w:lineRule="exact"/>
        <w:rPr>
          <w:sz w:val="20"/>
          <w:szCs w:val="20"/>
          <w:color w:val="auto"/>
        </w:rPr>
      </w:pPr>
    </w:p>
    <w:p>
      <w:pPr>
        <w:jc w:val="both"/>
        <w:ind w:left="660" w:right="34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participant who is a non-collectively bargained employee or a “NUK Bargained Employee” (as such term is defined by the Plan document), 100% of the first 6% of Covered Pay for such payroll period that is contributed by the participant as an Elective Deferral Contribution, and</w:t>
      </w:r>
    </w:p>
    <w:p>
      <w:pPr>
        <w:spacing w:after="0" w:line="1" w:lineRule="exact"/>
        <w:rPr>
          <w:rFonts w:ascii="Times New Roman" w:cs="Times New Roman" w:eastAsia="Times New Roman" w:hAnsi="Times New Roman"/>
          <w:sz w:val="18"/>
          <w:szCs w:val="18"/>
          <w:color w:val="auto"/>
        </w:rPr>
      </w:pPr>
    </w:p>
    <w:p>
      <w:pPr>
        <w:ind w:left="660" w:right="34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participant who is a “Muncie Bargained Employee” (as such term is defined by the Plan document), 100% of the first 4% of Covered Pay for such payroll period that is contributed by the participant as an Elective Deferral Contribution.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make an additional “true-up” match contribution as may be necessary to ensure participants receive the full matching contribution on their total Elective Deferral Contributions for the Plan year. The true-up match will be calculated and contributed as soon as practicable following the last day of the Plan year. The balance of the true-up match is included in Employer contributions receivable in the </w:t>
      </w:r>
      <w:r>
        <w:rPr>
          <w:rFonts w:ascii="Times New Roman" w:cs="Times New Roman" w:eastAsia="Times New Roman" w:hAnsi="Times New Roman"/>
          <w:sz w:val="18"/>
          <w:szCs w:val="18"/>
          <w:i w:val="1"/>
          <w:iCs w:val="1"/>
          <w:color w:val="auto"/>
        </w:rPr>
        <w:t>Statement of Net Assets Available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also accepts rollover contributions of amounts attributable to pre-tax contributions and after-tax Roth contributions from other employer tax-qualified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hires eligible to participate in the Plan were enrolled automatically at a 3% contribution rate unless they opted out. This contribution rate will increase annually on the anniversary date of the employee until it reaches a contribution rate of 10%. The employee may stop or change this automatic contribution at any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Separate accounts are maintained for each participant. Each participant’s account is credited with the participant’s Elective Deferral Contributions, Company matching contributions and investment earnings (which are net of investment management expenses). Participant accounts are assessed a quarterly fixed fee as consideration for services provided by the trustee and recordkeeper and to pay other Plan administrative expenses. Transaction specific fees, such as loan origination, brokerage and shipping fees, are also directly assessed against the account of the participant initiating the transaction.</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Vesting and Forfeitures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are immediately vested in the portion of their Plan account that is attributable to their own Elective Deferral Contributions and the Company’s matching contributions. Prior to January 1, 2018, the Company’s matching contributions for certain legacy defined contributions plans became 100% vested when the employee has rendered the requisite vesting service, as defined by the respective plan. Forfeitures may be used to pay Plan expenses and reduce Company matching contributions. Forfeitures available for future use were $153,666 and $186,956 as of December 31, 2025 and 2024, respectively. For 2025, forfeitures of $906,535 were used to reduce employer contributions.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Participants may borrow from their Plan account a minimum of $1,000 up to a maximum equal to the lesser of $50,000 (reduced by the participant’s highest outstanding loan balance during the immediately preceding 12-month period) or 50% of their vested account balance excluding any account balance in the “QVEC Sub-Account” and in the “Prior Plan Pension Sub-Account” (as such terms are defined by the Plan document). Loan terms range from one to five years (up to ten years for the purchase of a principal residence). The loans are secured by the balance in the participant’s account and bear interest at the prime rate as reported by Reuters plus 1% on the first day of the month in which the loan is requested. Interest rates on loans outstanding as of December 31, 2025, ranged from 3.25% to 10%. Principal and interest are paid ratably through periodic payroll deductions.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direct the investment of their Plan account balance and future contributions made to the Plan on their behalf among one or more of the Plan’s investment funds. The portion of the Plan’s investments held in the Company Stock Fund is designated as an employee stock ownership plan (“ESOP”). In addition to the investment funds offered by the Plan, participants may invest in a self-directed brokerage account. Generally, participants may change their investment options or reallocate investment balances on a daily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termination of service, a participant is eligible to receive the vested value of the participant’s Plan account balance, and, subject to special rules that apply to the payment of a participant’s Prior Plan Pension Sub-Account, if any, the participant may elect to receive the participant’s vested account balance in a single lump sum payment or partial distributions of no less than $1,000. If the value of the participant’s account balance is $1,000 or less, the participant’s entire account balance will be distributed in a single lump sum payment. Benefits are recorded when paid.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are prepared on the accrual basis of accounting in accordance with accounting principles generally accepted (“GAAP”) in the United States of America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that affect the amounts reported in the financial statements and accompanying notes. Management believes that the estimates utilized in preparing the Plan’s financial statements are reasonable and prudent. Actual results may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investments are stated at fair value. Fair value for mutual funds and common stock equals the quoted market price in an active market on the last business day of the Plan year. As a practical expedient, the investments in common/collective trust funds are excluded from the fair value hierarchy and valued at their Net Asset Value (“NAV”) as reported by the fund manager of the collective trust.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 Dividends are recorded on the ex-dividend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Notes receivable from participants are measured at amortized cost, which represents unpaid principal balance plus accrued but unpaid interest. Interest income from notes receivable from participants is recorded on an accrual basis. Related fees are recorded as administrative expenses when they are incurred. If a participant ceases to make loan repayments and the Plan Administrator deems the participant loan to be a distribution, the participant loan balance is reduced and a benefit payment is recorded within the </w:t>
      </w:r>
      <w:r>
        <w:rPr>
          <w:rFonts w:ascii="Times New Roman" w:cs="Times New Roman" w:eastAsia="Times New Roman" w:hAnsi="Times New Roman"/>
          <w:sz w:val="18"/>
          <w:szCs w:val="18"/>
          <w:i w:val="1"/>
          <w:iCs w:val="1"/>
          <w:color w:val="auto"/>
        </w:rPr>
        <w:t>Statement of Changes in Net Assets Available for Benefits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normal costs and expenses of administering the Plan and trust are generally paid by the Plan or by the Company. Any transaction fees resulting from a participant obtaining a loan or requesting a distribution or in-service withdrawal are charged to the participant’s individual account. Administrative expenses in the </w:t>
      </w:r>
      <w:r>
        <w:rPr>
          <w:rFonts w:ascii="Times New Roman" w:cs="Times New Roman" w:eastAsia="Times New Roman" w:hAnsi="Times New Roman"/>
          <w:sz w:val="18"/>
          <w:szCs w:val="18"/>
          <w:i w:val="1"/>
          <w:iCs w:val="1"/>
          <w:color w:val="auto"/>
        </w:rPr>
        <w:t>Statement of Changes in Net Assets Available for Benefits</w:t>
      </w:r>
      <w:r>
        <w:rPr>
          <w:rFonts w:ascii="Times New Roman" w:cs="Times New Roman" w:eastAsia="Times New Roman" w:hAnsi="Times New Roman"/>
          <w:sz w:val="18"/>
          <w:szCs w:val="18"/>
          <w:color w:val="auto"/>
        </w:rPr>
        <w:t xml:space="preserve"> include costs associated with these participant-initiated loan and withdrawal transactions, which are allocated to the accounts of the participants initiating the transactions, as well as fees assessed by the Plan’s custodian and recordkeeper directly against participant accounts as consideration for services provided to the Plan.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and 2024, the Revenue Credit Account of the Plan received Plan Servicing Credits from excess revenue generated by the Plan. Funds are typically credited quarterly but may be allocated at any time and are considered Plan assets. The credits may be used to pay Plan expenses and any excess funds available may be allocated to Plan participants. This credit has been netted with administrative expenses in the accompanying financial statements. For 2025, credits contributed to the Plan were $444,532. Unallocated credits included as Plan assets were $419,880 and $68,067 at December 31, 2025 and 2024, respectively, and will be used to pay Plan expenses subsequent to year-end.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principles generally accepted in the U.S. define fair value as the price that would be received to sell an asset or transfer a liability in an orderly transaction between market participants. As such, fair value is a market-based measurement that should be determined based on assumptions that market participants would use in pricing an asset or liability. The authoritative guidance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 As the basis for evaluating such inputs, a three-tier value hierarchy prioritizes the inputs used in measuring fair value as follows: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Observable inputs such as quoted prices for identical assets or liabilities in active markets.</w:t>
      </w:r>
    </w:p>
    <w:p>
      <w:pPr>
        <w:spacing w:after="0" w:line="252" w:lineRule="exact"/>
        <w:rPr>
          <w:sz w:val="20"/>
          <w:szCs w:val="20"/>
          <w:color w:val="auto"/>
        </w:rPr>
      </w:pPr>
    </w:p>
    <w:p>
      <w:pPr>
        <w:jc w:val="both"/>
        <w:ind w:left="660"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quoted prices that are directly or indirectly observable for the asset or liability, including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similar assets or liabilities in active markets; quoted prices for similar or identical assets or liabilities in markets that are not active; and model derived valuations whose inputs are observable or whose significant value drivers are observable.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reflect management’s own assumptions.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estimated and derived from each fair value calculation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Mutual funds and Company common stock: </w:t>
      </w:r>
      <w:r>
        <w:rPr>
          <w:rFonts w:ascii="Times New Roman" w:cs="Times New Roman" w:eastAsia="Times New Roman" w:hAnsi="Times New Roman"/>
          <w:sz w:val="18"/>
          <w:szCs w:val="18"/>
          <w:color w:val="auto"/>
        </w:rPr>
        <w:t>The fair value is determined on the basis of quoted prices in an active market. Shares of mutual funds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valued at the NAV of shares held by the Plan on the last business day of the Plan year where the price of the fund is quoted in an active market. Accordingly, these investments have been classified as Level 1.</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Common/collective trust funds: </w:t>
      </w:r>
      <w:r>
        <w:rPr>
          <w:rFonts w:ascii="Times New Roman" w:cs="Times New Roman" w:eastAsia="Times New Roman" w:hAnsi="Times New Roman"/>
          <w:sz w:val="18"/>
          <w:szCs w:val="18"/>
          <w:color w:val="auto"/>
        </w:rPr>
        <w:t>The investments underlying the common/collective trust fund investments generally include shares of common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income investments whose values are determined on the basis of quoted prices in an active market. The Plan’s common/collective trust fund investments are valued based on NAV per share or unit as a practical expedient as reported by the fund manager, multiplied by the number of shares or units held as of the measurement date. Accordingly, these NAV-based investments have been excluded from the fair value hierarchy.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Self-directed brokerage accounts: </w:t>
      </w:r>
      <w:r>
        <w:rPr>
          <w:rFonts w:ascii="Times New Roman" w:cs="Times New Roman" w:eastAsia="Times New Roman" w:hAnsi="Times New Roman"/>
          <w:sz w:val="18"/>
          <w:szCs w:val="18"/>
          <w:color w:val="auto"/>
        </w:rPr>
        <w:t>The accounts are comprised of common stock investments, mutual fund investments, investments in a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fund and other investments. The fair values of the mutual fund, common stock and electronically traded fund investments are determined on the basis of quoted prices in an active market. Accordingly, these investments have been classified as Level 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Plan’s investments which are measured at fair value on a recurring basis as of December 31, 2025 and 2024:</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 common 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Mutual funds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Common/collective trust funds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investments measured at fair value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00" w:type="dxa"/>
            <w:vAlign w:val="bottom"/>
            <w:tcBorders>
              <w:top w:val="single" w:sz="8" w:color="auto"/>
            </w:tcBorders>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 Measurement</w:t>
            </w:r>
          </w:p>
        </w:tc>
        <w:tc>
          <w:tcPr>
            <w:tcW w:w="18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NAV-based Assets </w:t>
            </w:r>
            <w:r>
              <w:rPr>
                <w:rFonts w:ascii="Times New Roman" w:cs="Times New Roman" w:eastAsia="Times New Roman" w:hAnsi="Times New Roman"/>
                <w:sz w:val="23"/>
                <w:szCs w:val="23"/>
                <w:b w:val="1"/>
                <w:bCs w:val="1"/>
                <w:color w:val="auto"/>
                <w:vertAlign w:val="superscript"/>
              </w:rPr>
              <w:t>(1)</w:t>
            </w:r>
          </w:p>
        </w:tc>
        <w:tc>
          <w:tcPr>
            <w:tcW w:w="4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8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4,707,943</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4,707,943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34,302,460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34,302,460</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1,812,617,198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1,812,617,198</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63,071,521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63,071,521</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102,081,924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1,812,617,198</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1,914,699,122</w:t>
            </w:r>
          </w:p>
        </w:tc>
        <w:tc>
          <w:tcPr>
            <w:tcW w:w="0" w:type="dxa"/>
            <w:vAlign w:val="bottom"/>
          </w:tcPr>
          <w:p>
            <w:pPr>
              <w:spacing w:after="0"/>
              <w:rPr>
                <w:sz w:val="1"/>
                <w:szCs w:val="1"/>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-779145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-479425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p>
      <w:pPr>
        <w:sectPr>
          <w:pgSz w:w="11900" w:h="16838" w:orient="portrait"/>
          <w:cols w:equalWidth="0" w:num="2">
            <w:col w:w="3860" w:space="720"/>
            <w:col w:w="6660"/>
          </w:cols>
          <w:pgMar w:left="320" w:top="765"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 common 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Mutual funds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Common/collective trust funds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Self-directed brokerage accounts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investments measured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2300" w:type="dxa"/>
            <w:vAlign w:val="bottom"/>
            <w:tcBorders>
              <w:top w:val="single" w:sz="8" w:color="auto"/>
            </w:tcBorders>
            <w:gridSpan w:val="3"/>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 Measurement</w:t>
            </w:r>
          </w:p>
        </w:tc>
        <w:tc>
          <w:tcPr>
            <w:tcW w:w="18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NAV-based Assets </w:t>
            </w:r>
            <w:r>
              <w:rPr>
                <w:rFonts w:ascii="Times New Roman" w:cs="Times New Roman" w:eastAsia="Times New Roman" w:hAnsi="Times New Roman"/>
                <w:sz w:val="23"/>
                <w:szCs w:val="23"/>
                <w:b w:val="1"/>
                <w:bCs w:val="1"/>
                <w:color w:val="auto"/>
                <w:vertAlign w:val="superscript"/>
              </w:rPr>
              <w:t>(1)</w:t>
            </w:r>
          </w:p>
        </w:tc>
        <w:tc>
          <w:tcPr>
            <w:tcW w:w="4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8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10,789,426</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10,789,426</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37,728,477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37,728,477</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1,644,394,527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1,644,394,527</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52,442,313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52,442,313</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100,960,216</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1,644,394,527</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1,745,354,743</w:t>
            </w:r>
          </w:p>
        </w:tc>
        <w:tc>
          <w:tcPr>
            <w:tcW w:w="0" w:type="dxa"/>
            <w:vAlign w:val="bottom"/>
          </w:tcPr>
          <w:p>
            <w:pPr>
              <w:spacing w:after="0"/>
              <w:rPr>
                <w:sz w:val="1"/>
                <w:szCs w:val="1"/>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-779145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-479425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660"/>
          </w:cols>
          <w:pgMar w:left="320" w:top="765"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NAV-based assets are generally redeemable on a daily basis with a one day notice with no restrictions and there are no unfunded commitments.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 in Stable Value Funds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2025 and 2024, the Plan’s common/collective trust funds include an investment in the Fidelity Managed Income Portfolio II Class 3 (“MIP II Class 3”). The investment objective of the MIP II Class 3 is to preserve the principal investment while earning a level of interest income that is consistent with principal preservation. The MIP II Class 3 seeks to maintain a stable net asset value of $1 per share, but it cannot guarantee that it will be able to do so. The yield of the fund will fluctuate. To achieve its investment objective, the MIP II Class 3 fund invests in benefit-responsive investment contracts issued by insurance companies and other financial institutions (“Contracts”), fixed income securities, and money market funds. Under the terms of the Contracts, the assets of the fund are invested in fixed income securities (which may include, but are not limited to, U.S. Treasury and agency bonds, corporate bonds, mortgage-backed securities, commercial mortgage-backed securities, asset-backed securities, and collective investment vehicles and shares of investment companies that invest primarily in fixed income securities) and shares of money market funds. The fund may also invest in futures contracts, option contracts and swap agreements. The MIP II Class 3 seeks to minimize exposure to wrap credit risk through, among other means, diversification of the wrap contracts across an approved group of issuers. The MIP II Class 3's ability to receive amounts due pursuant to these contracts is dependent upon the issuers’ ability to meet their financial obligations. Withdrawals from the MIP II Class 3 directed by the Plan Administrator will be made within the 12-month period following the trustee’s receipt of the Plan's written withdrawal request. Participant-directed redemptions have no restrictions.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Related-Party Transactions and Party-In-Interest Transactions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trustee and recordkeeping fees are paid by the Plan and included in the Statement of Changes in Net Assets Available for Benefits. All other costs are paid out of the Plan’s assets, except to the extent the Company elects to pay such expenses directly.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Certain Plan investments are shares of common stock of Newell Brands Inc. (“Newell Brands”), the ultimate parent of the Company. These investments had values of $4,707,943 and $10,789,426, respectively, as of December 31, 2025 and 2024. For the year ended December 31, 2025, the Plan recorded dividend income of $333,471 on its holdings of Newell Brands common stock.</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Certain Plan investments are managed by the Fidelity Management Trust Company (“Fidelity”), the Plan’s trustee. Fidelity is a “party in interest” to the Plan as defined by ERISA. Parties in interest to the Plan are identified in the </w:t>
      </w:r>
      <w:r>
        <w:rPr>
          <w:rFonts w:ascii="Times New Roman" w:cs="Times New Roman" w:eastAsia="Times New Roman" w:hAnsi="Times New Roman"/>
          <w:sz w:val="18"/>
          <w:szCs w:val="18"/>
          <w:i w:val="1"/>
          <w:iCs w:val="1"/>
          <w:color w:val="auto"/>
        </w:rPr>
        <w:t>Schedule H, Line 4i - Schedule of Assets (Held at End of Year)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issues notes to participants, which are secured by the balances in the participants’ accounts. These transactions qualify as party-in-interest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Plan Termination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NOC has the right under the Plan to discontinue contributions at any time and NOC has the right under the Plan to terminate the Plan, subject to the provisions of ERISA. In the event of Plan termination, affected participants will become 100% vested in their accounts.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 Status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(“IRS”) dated August 3, 2017, stating that the Plan is qualified under Section 401(a) of the Internal Revenue Code (the “Code”) and, therefore, the related trust is exempt from taxation. Subsequent to this determination by the IRS, the Plan was amended. Once qualified, the Plan is required to be operated in conformity with the Code to maintain its qualification. To the extent operational errors in the Plan have been identified or are identified in the future, the Plan Administrator has indicated that it will take the necessary steps, if any, to correct these errors. Otherwise, the Plan Administrator believes that the Plan is designed and being operated in compliance with the applicable requirements of the Code and, therefore, believes the Plan, as amended, is qualified and the related trust is tax-exempt.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not be sustained upon examination by the IRS. The Plan Administrator has analyzed the tax positions taken by the Plan, and has concluded that as of December 31, 2025, there are no uncertain positions taken or expected to be taken. The Plan has recognized no interest or penalties related to uncertain tax positions. The Plan is subject to routine audits by taxing jurisdictions. There are currently no audits for any tax periods in progress.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Risks and Uncertainties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Plan invests in various investment securities. Investment securities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w:t>
      </w:r>
      <w:r>
        <w:rPr>
          <w:rFonts w:ascii="Times New Roman" w:cs="Times New Roman" w:eastAsia="Times New Roman" w:hAnsi="Times New Roman"/>
          <w:sz w:val="18"/>
          <w:szCs w:val="18"/>
          <w:i w:val="1"/>
          <w:iCs w:val="1"/>
          <w:color w:val="auto"/>
        </w:rPr>
        <w:t>Statements of Net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Available for Benefits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69"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Reconciliation of Financial Statements to Form 5500</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Net assets available for benefits at year-end as reported in the accompanying financial statements</w:t>
      </w:r>
    </w:p>
    <w:p>
      <w:pPr>
        <w:spacing w:after="0" w:line="10" w:lineRule="exact"/>
        <w:rPr>
          <w:sz w:val="20"/>
          <w:szCs w:val="20"/>
          <w:color w:val="auto"/>
        </w:rPr>
      </w:pPr>
    </w:p>
    <w:p>
      <w:pPr>
        <w:ind w:left="20" w:right="1120"/>
        <w:spacing w:after="0" w:line="271" w:lineRule="auto"/>
        <w:rPr>
          <w:sz w:val="20"/>
          <w:szCs w:val="20"/>
          <w:color w:val="auto"/>
        </w:rPr>
      </w:pPr>
      <w:r>
        <w:rPr>
          <w:rFonts w:ascii="Times New Roman" w:cs="Times New Roman" w:eastAsia="Times New Roman" w:hAnsi="Times New Roman"/>
          <w:sz w:val="18"/>
          <w:szCs w:val="18"/>
          <w:color w:val="auto"/>
        </w:rPr>
        <w:t>Adjustment from contract value to current value for stable value funds Adjustment for accrued administrative expenses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at year-end per Form 5500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1,934,276,316</w:t>
            </w:r>
          </w:p>
        </w:tc>
        <w:tc>
          <w:tcPr>
            <w:tcW w:w="22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1,765,137,394</w:t>
            </w:r>
          </w:p>
        </w:tc>
      </w:tr>
      <w:tr>
        <w:trPr>
          <w:trHeight w:val="319"/>
        </w:trPr>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(2,864,518)</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(6,649,610)</w:t>
            </w:r>
          </w:p>
        </w:tc>
      </w:tr>
      <w:tr>
        <w:trPr>
          <w:trHeight w:val="234"/>
        </w:trPr>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49,110</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1,931,459,171</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1,758,536,894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20" w:space="640"/>
            <w:col w:w="4380"/>
          </w:cols>
          <w:pgMar w:left="320" w:top="7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increase prior to transfers as reported in the accompanying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adjustment from fair value to contract value for stable value funds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 for accrued administrative expenses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increase per form 5500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Times New Roman" w:cs="Times New Roman" w:eastAsia="Times New Roman" w:hAnsi="Times New Roman"/>
          <w:sz w:val="18"/>
          <w:szCs w:val="18"/>
          <w:b w:val="1"/>
          <w:bCs w:val="1"/>
          <w:color w:val="auto"/>
        </w:rPr>
        <w:t>Twelve Months</w:t>
      </w:r>
    </w:p>
    <w:p>
      <w:pPr>
        <w:ind w:left="741"/>
        <w:spacing w:after="0" w:line="219" w:lineRule="auto"/>
        <w:rPr>
          <w:sz w:val="20"/>
          <w:szCs w:val="20"/>
          <w:color w:val="auto"/>
        </w:rPr>
      </w:pPr>
      <w:r>
        <w:rPr>
          <w:rFonts w:ascii="Times New Roman" w:cs="Times New Roman" w:eastAsia="Times New Roman" w:hAnsi="Times New Roman"/>
          <w:sz w:val="18"/>
          <w:szCs w:val="18"/>
          <w:b w:val="1"/>
          <w:bCs w:val="1"/>
          <w:color w:val="auto"/>
        </w:rPr>
        <w:t>Ended</w:t>
      </w:r>
    </w:p>
    <w:p>
      <w:pPr>
        <w:ind w:left="301"/>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32" w:lineRule="exact"/>
        <w:rPr>
          <w:sz w:val="20"/>
          <w:szCs w:val="20"/>
          <w:color w:val="auto"/>
        </w:rPr>
      </w:pPr>
    </w:p>
    <w:p>
      <w:pPr>
        <w:ind w:left="1081" w:hanging="1081"/>
        <w:spacing w:after="0"/>
        <w:tabs>
          <w:tab w:leader="none" w:pos="10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169,138,922</w:t>
      </w:r>
    </w:p>
    <w:p>
      <w:pPr>
        <w:spacing w:after="0" w:line="27" w:lineRule="exact"/>
        <w:rPr>
          <w:rFonts w:ascii="Times New Roman" w:cs="Times New Roman" w:eastAsia="Times New Roman" w:hAnsi="Times New Roman"/>
          <w:sz w:val="18"/>
          <w:szCs w:val="18"/>
          <w:color w:val="auto"/>
        </w:rPr>
      </w:pPr>
    </w:p>
    <w:p>
      <w:pPr>
        <w:ind w:left="1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3,785,092</w:t>
      </w:r>
    </w:p>
    <w:p>
      <w:pPr>
        <w:spacing w:after="0" w:line="22" w:lineRule="exact"/>
        <w:rPr>
          <w:rFonts w:ascii="Times New Roman" w:cs="Times New Roman" w:eastAsia="Times New Roman" w:hAnsi="Times New Roman"/>
          <w:sz w:val="18"/>
          <w:szCs w:val="18"/>
          <w:color w:val="auto"/>
        </w:rPr>
      </w:pPr>
    </w:p>
    <w:p>
      <w:pPr>
        <w:ind w:left="15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(1,737)</w:t>
      </w:r>
    </w:p>
    <w:p>
      <w:pPr>
        <w:spacing w:after="0" w:line="27" w:lineRule="exact"/>
        <w:rPr>
          <w:sz w:val="20"/>
          <w:szCs w:val="20"/>
          <w:color w:val="auto"/>
        </w:rPr>
      </w:pPr>
    </w:p>
    <w:p>
      <w:pPr>
        <w:ind w:left="1081" w:hanging="1081"/>
        <w:spacing w:after="0"/>
        <w:tabs>
          <w:tab w:leader="none" w:pos="108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172,922,277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13201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050" w:lineRule="exact"/>
        <w:rPr>
          <w:sz w:val="20"/>
          <w:szCs w:val="20"/>
          <w:color w:val="auto"/>
        </w:rPr>
      </w:pPr>
    </w:p>
    <w:p>
      <w:pPr>
        <w:sectPr>
          <w:pgSz w:w="11900" w:h="16838" w:orient="portrait"/>
          <w:cols w:equalWidth="0" w:num="2">
            <w:col w:w="8459" w:space="720"/>
            <w:col w:w="2061"/>
          </w:cols>
          <w:pgMar w:left="320" w:top="798" w:right="339" w:bottom="1440" w:gutter="0" w:footer="0" w:header="0"/>
        </w:sectPr>
      </w:pPr>
    </w:p>
    <w:p>
      <w:pPr>
        <w:spacing w:after="0" w:line="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for potential recognition or disclosure in the financial statements through June 24, 2026, the date the financials were issued. No other events have occurred that require adjustment to or disclosure in the financial statements of the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NEWELL BRANDS EMPLOYEE SAVINGS PLAN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(HELD AT END OF YEAR)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EIN #36-1953130 PLAN #012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w:t>
            </w:r>
          </w:p>
        </w:tc>
        <w:tc>
          <w:tcPr>
            <w:tcW w:w="4680" w:type="dxa"/>
            <w:vAlign w:val="bottom"/>
            <w:tcBorders>
              <w:bottom w:val="single" w:sz="8" w:color="auto"/>
            </w:tcBorders>
            <w:shd w:val="clear" w:color="auto" w:fill="CCEEFF"/>
          </w:tcPr>
          <w:p>
            <w:pPr>
              <w:ind w:left="2620"/>
              <w:spacing w:after="0"/>
              <w:rPr>
                <w:sz w:val="20"/>
                <w:szCs w:val="20"/>
                <w:color w:val="auto"/>
              </w:rPr>
            </w:pPr>
            <w:r>
              <w:rPr>
                <w:rFonts w:ascii="Times New Roman" w:cs="Times New Roman" w:eastAsia="Times New Roman" w:hAnsi="Times New Roman"/>
                <w:sz w:val="18"/>
                <w:szCs w:val="18"/>
                <w:b w:val="1"/>
                <w:bCs w:val="1"/>
                <w:color w:val="auto"/>
              </w:rPr>
              <w:t>(B)</w:t>
            </w:r>
          </w:p>
        </w:tc>
        <w:tc>
          <w:tcPr>
            <w:tcW w:w="3660" w:type="dxa"/>
            <w:vAlign w:val="bottom"/>
            <w:tcBorders>
              <w:bottom w:val="single" w:sz="8" w:color="auto"/>
            </w:tcBorders>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(C)</w:t>
            </w:r>
          </w:p>
        </w:tc>
        <w:tc>
          <w:tcPr>
            <w:tcW w:w="80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w:t>
            </w:r>
          </w:p>
        </w:tc>
        <w:tc>
          <w:tcPr>
            <w:tcW w:w="15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23"/>
        </w:trPr>
        <w:tc>
          <w:tcPr>
            <w:tcW w:w="4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Identity of Issuer</w:t>
            </w:r>
          </w:p>
        </w:tc>
        <w:tc>
          <w:tcPr>
            <w:tcW w:w="36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Current Value</w:t>
            </w:r>
          </w:p>
        </w:tc>
      </w:tr>
      <w:tr>
        <w:trPr>
          <w:trHeight w:val="223"/>
        </w:trPr>
        <w:tc>
          <w:tcPr>
            <w:tcW w:w="420" w:type="dxa"/>
            <w:vAlign w:val="bottom"/>
            <w:shd w:val="clear" w:color="auto" w:fill="CCEEFF"/>
          </w:tcPr>
          <w:p>
            <w:pPr>
              <w:spacing w:after="0"/>
              <w:rPr>
                <w:sz w:val="19"/>
                <w:szCs w:val="19"/>
                <w:color w:val="auto"/>
              </w:rPr>
            </w:pPr>
          </w:p>
        </w:tc>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 Rowe Price Small-Cap Stock Fund I Class</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Mutual Fund</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33,654,480</w:t>
            </w:r>
          </w:p>
        </w:tc>
      </w:tr>
      <w:tr>
        <w:trPr>
          <w:trHeight w:val="230"/>
        </w:trPr>
        <w:tc>
          <w:tcPr>
            <w:tcW w:w="5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Fidelity Government Money Market Fund - Premium</w:t>
            </w:r>
          </w:p>
        </w:tc>
        <w:tc>
          <w:tcPr>
            <w:tcW w:w="36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Mutual Fund</w:t>
            </w:r>
          </w:p>
        </w:tc>
        <w:tc>
          <w:tcPr>
            <w:tcW w:w="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647,980</w:t>
            </w:r>
          </w:p>
        </w:tc>
      </w:tr>
      <w:tr>
        <w:trPr>
          <w:trHeight w:val="223"/>
        </w:trPr>
        <w:tc>
          <w:tcPr>
            <w:tcW w:w="42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Mutual Fund</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34,302,460</w:t>
            </w:r>
          </w:p>
        </w:tc>
      </w:tr>
      <w:tr>
        <w:trPr>
          <w:trHeight w:val="270"/>
        </w:trPr>
        <w:tc>
          <w:tcPr>
            <w:tcW w:w="5100" w:type="dxa"/>
            <w:vAlign w:val="bottom"/>
            <w:gridSpan w:val="2"/>
          </w:tcPr>
          <w:p>
            <w:pPr>
              <w:spacing w:after="0"/>
              <w:rPr>
                <w:sz w:val="23"/>
                <w:szCs w:val="23"/>
                <w:color w:val="auto"/>
              </w:rPr>
            </w:pPr>
          </w:p>
        </w:tc>
        <w:tc>
          <w:tcPr>
            <w:tcW w:w="3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0"/>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FIAM CORE PLUS CL N</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37,675,019</w:t>
            </w:r>
          </w:p>
        </w:tc>
      </w:tr>
      <w:tr>
        <w:trPr>
          <w:trHeight w:val="229"/>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BLD RET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7,200,231</w:t>
            </w:r>
          </w:p>
        </w:tc>
      </w:tr>
      <w:tr>
        <w:trPr>
          <w:trHeight w:val="229"/>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FID FRDM BLND 2010 B</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8,325,605</w:t>
            </w:r>
          </w:p>
        </w:tc>
      </w:tr>
      <w:tr>
        <w:trPr>
          <w:trHeight w:val="23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BLND 2015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21,367,161</w:t>
            </w:r>
          </w:p>
        </w:tc>
      </w:tr>
      <w:tr>
        <w:trPr>
          <w:trHeight w:val="229"/>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FID FRDM BLND 2020 B</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52,865,910</w:t>
            </w:r>
          </w:p>
        </w:tc>
      </w:tr>
      <w:tr>
        <w:trPr>
          <w:trHeight w:val="23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BLND 2025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123,954,835</w:t>
            </w:r>
          </w:p>
        </w:tc>
      </w:tr>
      <w:tr>
        <w:trPr>
          <w:trHeight w:val="229"/>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FID FRDM BLND 2030 B</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204,736,509</w:t>
            </w:r>
          </w:p>
        </w:tc>
      </w:tr>
      <w:tr>
        <w:trPr>
          <w:trHeight w:val="229"/>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BLND 2035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228,638,639</w:t>
            </w:r>
          </w:p>
        </w:tc>
      </w:tr>
      <w:tr>
        <w:trPr>
          <w:trHeight w:val="230"/>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FID FRDM BLND 2040 B</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179,629,640</w:t>
            </w:r>
          </w:p>
        </w:tc>
      </w:tr>
      <w:tr>
        <w:trPr>
          <w:trHeight w:val="229"/>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BLND 2045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160,586,094</w:t>
            </w:r>
          </w:p>
        </w:tc>
      </w:tr>
      <w:tr>
        <w:trPr>
          <w:trHeight w:val="229"/>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FID FRDM BLND 2050 B</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106,096,892</w:t>
            </w:r>
          </w:p>
        </w:tc>
      </w:tr>
      <w:tr>
        <w:trPr>
          <w:trHeight w:val="23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BLND 2055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81,950,503</w:t>
            </w:r>
          </w:p>
        </w:tc>
      </w:tr>
      <w:tr>
        <w:trPr>
          <w:trHeight w:val="229"/>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FID FRDM BLND 2060 B</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58,361,332</w:t>
            </w:r>
          </w:p>
        </w:tc>
      </w:tr>
      <w:tr>
        <w:trPr>
          <w:trHeight w:val="23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FID FRDM BLND 2065 B</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8,343,677</w:t>
            </w:r>
          </w:p>
        </w:tc>
      </w:tr>
      <w:tr>
        <w:trPr>
          <w:trHeight w:val="230"/>
        </w:trPr>
        <w:tc>
          <w:tcPr>
            <w:tcW w:w="5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MIP II Class 3 (Stable Value Fund)</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103,499,304</w:t>
            </w:r>
          </w:p>
        </w:tc>
      </w:tr>
      <w:tr>
        <w:trPr>
          <w:trHeight w:val="230"/>
        </w:trPr>
        <w:tc>
          <w:tcPr>
            <w:tcW w:w="420" w:type="dxa"/>
            <w:vAlign w:val="bottom"/>
          </w:tcPr>
          <w:p>
            <w:pPr>
              <w:spacing w:after="0"/>
              <w:rPr>
                <w:sz w:val="19"/>
                <w:szCs w:val="19"/>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CG EUPAC TRUST U4</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18,249,552</w:t>
            </w:r>
          </w:p>
        </w:tc>
      </w:tr>
      <w:tr>
        <w:trPr>
          <w:trHeight w:val="229"/>
        </w:trPr>
        <w:tc>
          <w:tcPr>
            <w:tcW w:w="420" w:type="dxa"/>
            <w:vAlign w:val="bottom"/>
            <w:shd w:val="clear" w:color="auto" w:fill="CCEEFF"/>
          </w:tcPr>
          <w:p>
            <w:pPr>
              <w:spacing w:after="0"/>
              <w:rPr>
                <w:sz w:val="19"/>
                <w:szCs w:val="19"/>
                <w:color w:val="auto"/>
              </w:rPr>
            </w:pPr>
          </w:p>
        </w:tc>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SS GACEQ EXUS IDX X</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58,674,018</w:t>
            </w:r>
          </w:p>
        </w:tc>
      </w:tr>
      <w:tr>
        <w:trPr>
          <w:trHeight w:val="230"/>
        </w:trPr>
        <w:tc>
          <w:tcPr>
            <w:tcW w:w="420" w:type="dxa"/>
            <w:vAlign w:val="bottom"/>
          </w:tcPr>
          <w:p>
            <w:pPr>
              <w:spacing w:after="0"/>
              <w:rPr>
                <w:sz w:val="19"/>
                <w:szCs w:val="19"/>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SS S&amp;P 500 INDEX X</w:t>
            </w: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282,650,099</w:t>
            </w:r>
          </w:p>
        </w:tc>
      </w:tr>
      <w:tr>
        <w:trPr>
          <w:trHeight w:val="230"/>
        </w:trPr>
        <w:tc>
          <w:tcPr>
            <w:tcW w:w="420" w:type="dxa"/>
            <w:vAlign w:val="bottom"/>
            <w:shd w:val="clear" w:color="auto" w:fill="CCEEFF"/>
          </w:tcPr>
          <w:p>
            <w:pPr>
              <w:spacing w:after="0"/>
              <w:rPr>
                <w:sz w:val="19"/>
                <w:szCs w:val="19"/>
                <w:color w:val="auto"/>
              </w:rPr>
            </w:pPr>
          </w:p>
        </w:tc>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SS US BOND INDEX X</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17,143,915</w:t>
            </w:r>
          </w:p>
        </w:tc>
      </w:tr>
      <w:tr>
        <w:trPr>
          <w:trHeight w:val="230"/>
        </w:trPr>
        <w:tc>
          <w:tcPr>
            <w:tcW w:w="4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SS US EXT MARKET X</w:t>
            </w:r>
          </w:p>
        </w:tc>
        <w:tc>
          <w:tcPr>
            <w:tcW w:w="366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Common/Collective Trust</w:t>
            </w:r>
          </w:p>
        </w:tc>
        <w:tc>
          <w:tcPr>
            <w:tcW w:w="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52,668,263</w:t>
            </w:r>
          </w:p>
        </w:tc>
      </w:tr>
      <w:tr>
        <w:trPr>
          <w:trHeight w:val="223"/>
        </w:trPr>
        <w:tc>
          <w:tcPr>
            <w:tcW w:w="42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Common/Collective Trust</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1,812,617,198</w:t>
            </w:r>
          </w:p>
        </w:tc>
      </w:tr>
      <w:tr>
        <w:trPr>
          <w:trHeight w:val="270"/>
        </w:trPr>
        <w:tc>
          <w:tcPr>
            <w:tcW w:w="4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0"/>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Newell Brands Inc.</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 Stock</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4,707,943</w:t>
            </w:r>
          </w:p>
        </w:tc>
      </w:tr>
      <w:tr>
        <w:trPr>
          <w:trHeight w:val="270"/>
        </w:trPr>
        <w:tc>
          <w:tcPr>
            <w:tcW w:w="4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29"/>
        </w:trPr>
        <w:tc>
          <w:tcPr>
            <w:tcW w:w="420" w:type="dxa"/>
            <w:vAlign w:val="bottom"/>
            <w:shd w:val="clear" w:color="auto" w:fill="CCEEFF"/>
          </w:tcPr>
          <w:p>
            <w:pPr>
              <w:spacing w:after="0"/>
              <w:rPr>
                <w:sz w:val="19"/>
                <w:szCs w:val="19"/>
                <w:color w:val="auto"/>
              </w:rPr>
            </w:pPr>
          </w:p>
        </w:tc>
        <w:tc>
          <w:tcPr>
            <w:tcW w:w="4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36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Brokerage</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63,071,521</w:t>
            </w:r>
          </w:p>
        </w:tc>
      </w:tr>
      <w:tr>
        <w:trPr>
          <w:trHeight w:val="223"/>
        </w:trPr>
        <w:tc>
          <w:tcPr>
            <w:tcW w:w="4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1,914,699,122</w:t>
            </w:r>
          </w:p>
        </w:tc>
      </w:tr>
      <w:tr>
        <w:trPr>
          <w:trHeight w:val="270"/>
        </w:trPr>
        <w:tc>
          <w:tcPr>
            <w:tcW w:w="5100" w:type="dxa"/>
            <w:vAlign w:val="bottom"/>
            <w:gridSpan w:val="2"/>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176"/>
        </w:trPr>
        <w:tc>
          <w:tcPr>
            <w:tcW w:w="510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  Notes receivable from participants</w:t>
            </w:r>
          </w:p>
        </w:tc>
        <w:tc>
          <w:tcPr>
            <w:tcW w:w="3660" w:type="dxa"/>
            <w:vAlign w:val="bottom"/>
          </w:tcPr>
          <w:p>
            <w:pPr>
              <w:ind w:left="760"/>
              <w:spacing w:after="0" w:line="176" w:lineRule="exact"/>
              <w:rPr>
                <w:sz w:val="20"/>
                <w:szCs w:val="20"/>
                <w:color w:val="auto"/>
              </w:rPr>
            </w:pPr>
            <w:r>
              <w:rPr>
                <w:rFonts w:ascii="Times New Roman" w:cs="Times New Roman" w:eastAsia="Times New Roman" w:hAnsi="Times New Roman"/>
                <w:sz w:val="18"/>
                <w:szCs w:val="18"/>
                <w:color w:val="auto"/>
              </w:rPr>
              <w:t>Various maturities, interest rates from</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4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3.25% to 10%</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16,741,763</w:t>
            </w:r>
          </w:p>
        </w:tc>
      </w:tr>
      <w:tr>
        <w:trPr>
          <w:trHeight w:val="250"/>
        </w:trPr>
        <w:tc>
          <w:tcPr>
            <w:tcW w:w="420" w:type="dxa"/>
            <w:vAlign w:val="bottom"/>
            <w:tcBorders>
              <w:top w:val="single" w:sz="8" w:color="CCEEFF"/>
            </w:tcBorders>
            <w:shd w:val="clear" w:color="auto" w:fill="CCEEFF"/>
          </w:tcPr>
          <w:p>
            <w:pPr>
              <w:spacing w:after="0"/>
              <w:rPr>
                <w:sz w:val="21"/>
                <w:szCs w:val="21"/>
                <w:color w:val="auto"/>
              </w:rPr>
            </w:pPr>
          </w:p>
        </w:tc>
        <w:tc>
          <w:tcPr>
            <w:tcW w:w="4680" w:type="dxa"/>
            <w:vAlign w:val="bottom"/>
            <w:tcBorders>
              <w:top w:val="single" w:sz="8" w:color="CCEEFF"/>
            </w:tcBorders>
            <w:shd w:val="clear" w:color="auto" w:fill="CCEEFF"/>
          </w:tcPr>
          <w:p>
            <w:pPr>
              <w:spacing w:after="0"/>
              <w:rPr>
                <w:sz w:val="21"/>
                <w:szCs w:val="21"/>
                <w:color w:val="auto"/>
              </w:rPr>
            </w:pPr>
          </w:p>
        </w:tc>
        <w:tc>
          <w:tcPr>
            <w:tcW w:w="36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r>
      <w:tr>
        <w:trPr>
          <w:trHeight w:val="229"/>
        </w:trPr>
        <w:tc>
          <w:tcPr>
            <w:tcW w:w="4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6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1,931,440,885</w:t>
            </w:r>
          </w:p>
        </w:tc>
      </w:tr>
      <w:tr>
        <w:trPr>
          <w:trHeight w:val="21"/>
        </w:trPr>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Denotes a party-in-interest.</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Cost not required for participant directed.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 w:name="page13"/>
    <w:bookmarkEnd w:id="12"/>
    <w:p>
      <w:pPr>
        <w:jc w:val="right"/>
        <w:ind w:right="419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a part of this annual report:</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0000FF"/>
        </w:rPr>
        <w:t>Exhibit 23.1 -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as amended, the Plan has duly caused this annual report to be signed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by the undersigned hereunto duly authorized.</w:t>
      </w:r>
    </w:p>
    <w:p>
      <w:pPr>
        <w:spacing w:after="0" w:line="200" w:lineRule="exact"/>
        <w:rPr>
          <w:sz w:val="20"/>
          <w:szCs w:val="20"/>
          <w:color w:val="auto"/>
        </w:rPr>
      </w:pPr>
    </w:p>
    <w:p>
      <w:pPr>
        <w:spacing w:after="0" w:line="3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NEWELL BRANDS EMPLOYEE SAVINGS PLAN</w:t>
      </w:r>
    </w:p>
    <w:p>
      <w:pPr>
        <w:spacing w:after="0" w:line="295"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Scott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18415</wp:posOffset>
            </wp:positionV>
            <wp:extent cx="3857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Scott Smith</w:t>
      </w:r>
    </w:p>
    <w:p>
      <w:pPr>
        <w:ind w:left="5180"/>
        <w:spacing w:after="0" w:line="219" w:lineRule="auto"/>
        <w:rPr>
          <w:sz w:val="20"/>
          <w:szCs w:val="20"/>
          <w:color w:val="auto"/>
        </w:rPr>
      </w:pPr>
      <w:r>
        <w:rPr>
          <w:rFonts w:ascii="Times New Roman" w:cs="Times New Roman" w:eastAsia="Times New Roman" w:hAnsi="Times New Roman"/>
          <w:sz w:val="18"/>
          <w:szCs w:val="18"/>
          <w:color w:val="auto"/>
        </w:rPr>
        <w:t>Newell Operating Company</w:t>
      </w:r>
    </w:p>
    <w:p>
      <w:pPr>
        <w:ind w:left="5180"/>
        <w:spacing w:after="0"/>
        <w:rPr>
          <w:sz w:val="20"/>
          <w:szCs w:val="20"/>
          <w:color w:val="auto"/>
        </w:rPr>
      </w:pPr>
      <w:r>
        <w:rPr>
          <w:rFonts w:ascii="Times New Roman" w:cs="Times New Roman" w:eastAsia="Times New Roman" w:hAnsi="Times New Roman"/>
          <w:sz w:val="18"/>
          <w:szCs w:val="18"/>
          <w:color w:val="auto"/>
        </w:rPr>
        <w:t>U.S. Benefits Administration Committee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00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 333-105178, as amended by Post-Effective Amendment No. 1 to Form S-8, and Form S-8 No. 333-125144) pertaining to the Newell Brands Employee Savings Plan of our report dated June 24, 2026, with respect to the financial statements and supplemental schedule of the Newell Brands Employee Savings Plan included in this Annual Report on Form 11-K as of December 31, 2025 and 2024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FORVIS MAZARS,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2026-06-24T15:15:11Z</dcterms:created>
  <dcterms:modified xsi:type="dcterms:W3CDTF">2026-06-24T15:15:11Z</dcterms:modified>
</cp:coreProperties>
</file>