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NEWELL BRANDS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3220" w:type="dxa"/>
            <w:vAlign w:val="bottom"/>
          </w:tcPr>
          <w:p>
            <w:pPr>
              <w:jc w:val="center"/>
              <w:ind w:left="5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80" w:type="dxa"/>
            <w:vAlign w:val="bottom"/>
            <w:gridSpan w:val="3"/>
          </w:tcPr>
          <w:p>
            <w:pPr>
              <w:jc w:val="right"/>
              <w:ind w:right="1281"/>
              <w:spacing w:after="0"/>
              <w:rPr>
                <w:sz w:val="20"/>
                <w:szCs w:val="20"/>
                <w:color w:val="auto"/>
              </w:rPr>
            </w:pPr>
            <w:r>
              <w:rPr>
                <w:rFonts w:ascii="Times New Roman" w:cs="Times New Roman" w:eastAsia="Times New Roman" w:hAnsi="Times New Roman"/>
                <w:sz w:val="18"/>
                <w:szCs w:val="18"/>
                <w:b w:val="1"/>
                <w:bCs w:val="1"/>
                <w:color w:val="auto"/>
              </w:rPr>
              <w:t>1-9608</w:t>
            </w:r>
          </w:p>
        </w:tc>
        <w:tc>
          <w:tcPr>
            <w:tcW w:w="100" w:type="dxa"/>
            <w:vAlign w:val="bottom"/>
          </w:tcPr>
          <w:p>
            <w:pPr>
              <w:spacing w:after="0"/>
              <w:rPr>
                <w:sz w:val="20"/>
                <w:szCs w:val="20"/>
                <w:color w:val="auto"/>
              </w:rPr>
            </w:pPr>
          </w:p>
        </w:tc>
        <w:tc>
          <w:tcPr>
            <w:tcW w:w="3800" w:type="dxa"/>
            <w:vAlign w:val="bottom"/>
          </w:tcPr>
          <w:p>
            <w:pPr>
              <w:jc w:val="center"/>
              <w:ind w:left="81"/>
              <w:spacing w:after="0"/>
              <w:rPr>
                <w:sz w:val="20"/>
                <w:szCs w:val="20"/>
                <w:color w:val="auto"/>
              </w:rPr>
            </w:pPr>
            <w:r>
              <w:rPr>
                <w:rFonts w:ascii="Times New Roman" w:cs="Times New Roman" w:eastAsia="Times New Roman" w:hAnsi="Times New Roman"/>
                <w:sz w:val="18"/>
                <w:szCs w:val="18"/>
                <w:b w:val="1"/>
                <w:bCs w:val="1"/>
                <w:color w:val="auto"/>
              </w:rPr>
              <w:t>36-3514169</w:t>
            </w:r>
          </w:p>
        </w:tc>
      </w:tr>
      <w:tr>
        <w:trPr>
          <w:trHeight w:val="178"/>
        </w:trPr>
        <w:tc>
          <w:tcPr>
            <w:tcW w:w="3220" w:type="dxa"/>
            <w:vAlign w:val="bottom"/>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380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20" w:type="dxa"/>
            <w:vAlign w:val="bottom"/>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80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87"/>
        </w:trPr>
        <w:tc>
          <w:tcPr>
            <w:tcW w:w="3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2"/>
          </w:tcPr>
          <w:p>
            <w:pPr>
              <w:jc w:val="center"/>
              <w:ind w:left="61"/>
              <w:spacing w:after="0"/>
              <w:rPr>
                <w:sz w:val="20"/>
                <w:szCs w:val="20"/>
                <w:color w:val="auto"/>
              </w:rPr>
            </w:pPr>
            <w:r>
              <w:rPr>
                <w:rFonts w:ascii="Times New Roman" w:cs="Times New Roman" w:eastAsia="Times New Roman" w:hAnsi="Times New Roman"/>
                <w:sz w:val="18"/>
                <w:szCs w:val="18"/>
                <w:b w:val="1"/>
                <w:bCs w:val="1"/>
                <w:color w:val="auto"/>
                <w:w w:val="99"/>
              </w:rPr>
              <w:t>6655 Peachtree Dunwoody Road,</w:t>
            </w:r>
          </w:p>
        </w:tc>
        <w:tc>
          <w:tcPr>
            <w:tcW w:w="3800" w:type="dxa"/>
            <w:vAlign w:val="bottom"/>
          </w:tcPr>
          <w:p>
            <w:pPr>
              <w:spacing w:after="0"/>
              <w:rPr>
                <w:sz w:val="24"/>
                <w:szCs w:val="24"/>
                <w:color w:val="auto"/>
              </w:rPr>
            </w:pPr>
          </w:p>
        </w:tc>
      </w:tr>
      <w:tr>
        <w:trPr>
          <w:trHeight w:val="214"/>
        </w:trPr>
        <w:tc>
          <w:tcPr>
            <w:tcW w:w="3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gridSpan w:val="2"/>
          </w:tcPr>
          <w:p>
            <w:pPr>
              <w:jc w:val="center"/>
              <w:ind w:left="61"/>
              <w:spacing w:after="0"/>
              <w:rPr>
                <w:sz w:val="20"/>
                <w:szCs w:val="20"/>
                <w:color w:val="auto"/>
              </w:rPr>
            </w:pPr>
            <w:r>
              <w:rPr>
                <w:rFonts w:ascii="Times New Roman" w:cs="Times New Roman" w:eastAsia="Times New Roman" w:hAnsi="Times New Roman"/>
                <w:sz w:val="18"/>
                <w:szCs w:val="18"/>
                <w:b w:val="1"/>
                <w:bCs w:val="1"/>
                <w:color w:val="auto"/>
                <w:w w:val="99"/>
              </w:rPr>
              <w:t>Atlanta, Georgia 30328</w:t>
            </w:r>
          </w:p>
        </w:tc>
        <w:tc>
          <w:tcPr>
            <w:tcW w:w="3800" w:type="dxa"/>
            <w:vAlign w:val="bottom"/>
          </w:tcPr>
          <w:p>
            <w:pPr>
              <w:spacing w:after="0"/>
              <w:rPr>
                <w:sz w:val="18"/>
                <w:szCs w:val="18"/>
                <w:color w:val="auto"/>
              </w:rPr>
            </w:pPr>
          </w:p>
        </w:tc>
      </w:tr>
      <w:tr>
        <w:trPr>
          <w:trHeight w:val="190"/>
        </w:trPr>
        <w:tc>
          <w:tcPr>
            <w:tcW w:w="3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2"/>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800" w:type="dxa"/>
            <w:vAlign w:val="bottom"/>
          </w:tcPr>
          <w:p>
            <w:pPr>
              <w:spacing w:after="0"/>
              <w:rPr>
                <w:sz w:val="16"/>
                <w:szCs w:val="16"/>
                <w:color w:val="auto"/>
              </w:rPr>
            </w:pPr>
          </w:p>
        </w:tc>
      </w:tr>
      <w:tr>
        <w:trPr>
          <w:trHeight w:val="417"/>
        </w:trPr>
        <w:tc>
          <w:tcPr>
            <w:tcW w:w="3220" w:type="dxa"/>
            <w:vAlign w:val="bottom"/>
          </w:tcPr>
          <w:p>
            <w:pPr>
              <w:spacing w:after="0"/>
              <w:rPr>
                <w:sz w:val="24"/>
                <w:szCs w:val="24"/>
                <w:color w:val="auto"/>
              </w:rPr>
            </w:pPr>
          </w:p>
        </w:tc>
        <w:tc>
          <w:tcPr>
            <w:tcW w:w="40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(770) 418-7000</w:t>
            </w: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0"/>
        </w:trPr>
        <w:tc>
          <w:tcPr>
            <w:tcW w:w="3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2"/>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800" w:type="dxa"/>
            <w:vAlign w:val="bottom"/>
          </w:tcPr>
          <w:p>
            <w:pPr>
              <w:spacing w:after="0"/>
              <w:rPr>
                <w:sz w:val="16"/>
                <w:szCs w:val="16"/>
                <w:color w:val="auto"/>
              </w:rPr>
            </w:pPr>
          </w:p>
        </w:tc>
      </w:tr>
      <w:tr>
        <w:trPr>
          <w:trHeight w:val="348"/>
        </w:trPr>
        <w:tc>
          <w:tcPr>
            <w:tcW w:w="3220" w:type="dxa"/>
            <w:vAlign w:val="bottom"/>
          </w:tcPr>
          <w:p>
            <w:pPr>
              <w:spacing w:after="0"/>
              <w:rPr>
                <w:sz w:val="24"/>
                <w:szCs w:val="24"/>
                <w:color w:val="auto"/>
              </w:rPr>
            </w:pPr>
          </w:p>
        </w:tc>
        <w:tc>
          <w:tcPr>
            <w:tcW w:w="7980" w:type="dxa"/>
            <w:vAlign w:val="bottom"/>
            <w:gridSpan w:val="5"/>
          </w:tcPr>
          <w:p>
            <w:pPr>
              <w:jc w:val="center"/>
              <w:ind w:right="3141"/>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40"/>
        </w:trPr>
        <w:tc>
          <w:tcPr>
            <w:tcW w:w="3220" w:type="dxa"/>
            <w:vAlign w:val="bottom"/>
          </w:tcPr>
          <w:p>
            <w:pPr>
              <w:jc w:val="center"/>
              <w:ind w:left="28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2"/>
          </w:tcPr>
          <w:p>
            <w:pPr>
              <w:ind w:left="106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7"/>
        </w:trPr>
        <w:tc>
          <w:tcPr>
            <w:tcW w:w="3220" w:type="dxa"/>
            <w:vAlign w:val="bottom"/>
            <w:tcBorders>
              <w:top w:val="single" w:sz="8" w:color="auto"/>
            </w:tcBorders>
          </w:tcPr>
          <w:p>
            <w:pPr>
              <w:jc w:val="center"/>
              <w:ind w:left="281"/>
              <w:spacing w:after="0"/>
              <w:rPr>
                <w:sz w:val="20"/>
                <w:szCs w:val="20"/>
                <w:color w:val="auto"/>
              </w:rPr>
            </w:pPr>
            <w:r>
              <w:rPr>
                <w:rFonts w:ascii="Times New Roman" w:cs="Times New Roman" w:eastAsia="Times New Roman" w:hAnsi="Times New Roman"/>
                <w:sz w:val="16"/>
                <w:szCs w:val="16"/>
                <w:color w:val="auto"/>
              </w:rPr>
              <w:t>Common stock, $1 par value per share</w:t>
            </w: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Borders>
              <w:top w:val="single" w:sz="8" w:color="auto"/>
            </w:tcBorders>
          </w:tcPr>
          <w:p>
            <w:pPr>
              <w:ind w:left="1620"/>
              <w:spacing w:after="0"/>
              <w:rPr>
                <w:sz w:val="20"/>
                <w:szCs w:val="20"/>
                <w:color w:val="auto"/>
              </w:rPr>
            </w:pPr>
            <w:r>
              <w:rPr>
                <w:rFonts w:ascii="Times New Roman" w:cs="Times New Roman" w:eastAsia="Times New Roman" w:hAnsi="Times New Roman"/>
                <w:sz w:val="16"/>
                <w:szCs w:val="16"/>
                <w:color w:val="auto"/>
              </w:rPr>
              <w:t>NWL</w:t>
            </w:r>
          </w:p>
        </w:tc>
        <w:tc>
          <w:tcPr>
            <w:tcW w:w="100" w:type="dxa"/>
            <w:vAlign w:val="bottom"/>
          </w:tcPr>
          <w:p>
            <w:pPr>
              <w:spacing w:after="0"/>
              <w:rPr>
                <w:sz w:val="17"/>
                <w:szCs w:val="17"/>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bl>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38" w:lineRule="exact"/>
        <w:rPr>
          <w:sz w:val="24"/>
          <w:szCs w:val="24"/>
          <w:color w:val="auto"/>
        </w:rPr>
      </w:pPr>
    </w:p>
    <w:p>
      <w:pPr>
        <w:ind w:left="720" w:hanging="694"/>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720" w:hanging="694"/>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720" w:hanging="694"/>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720" w:hanging="694"/>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5"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61" w:lineRule="exact"/>
        <w:rPr>
          <w:sz w:val="24"/>
          <w:szCs w:val="24"/>
          <w:color w:val="auto"/>
        </w:rPr>
      </w:pPr>
    </w:p>
    <w:p>
      <w:pPr>
        <w:ind w:right="56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520065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22"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Segment Change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its previously disclosed restructuring and savings initiative, Project Phoenix, Newell Brands Inc. (the “Company”) consolidated the operating results of its Commercial Solutions, Home Appliances and Home Solutions segments into one operating segment, Home &amp; Commercial Solutions. Learning &amp; Development and Outdoor &amp; Recreation remain as the Company’s other two operating segments. Reporting under this new operating segment structure commenced effective January 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Accounting Method</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elected to change its method of accounting for certain inventory in the U.S. from the last-in, first-out (“LIFO”) method to the first-in, first-out (“FIFO”) method. The change to FIFO is preferable because it conforms the Company's entire inventory to a single method of accounting and improves comparability with the Company's peers.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Revision of Previously Issued Financial Statements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fourth quarter of 2022, the Company identified that it changed the designation to a new functional currency incorrectly for one of its legal entities at the beginning of 2022. Consequently, the Company should have recorded mark to market adjustments for certain account balances in Other (income) expense, net in the Condensed Consolidated Statement of Operations. The impact of this change resulted in additional expense of $6 million, $13 million and $16 million for the three months ended March 31, 2022, June 30, 2022 and September 30, 2022, respectively. The Company concluded the above referenced effects were not material to its previously issued Condensed Consolidated Statements of Operations for the three months ended March 31, 2022, June 30, 2022 and September 30, 2022, respectively, and the Condensed Consolidated Balance Sheets at March 31, 2022, June 30, 2022 and September 30, 2022, respectively, included in the Company’s Quarterly Reports on Form 10-Q filed with the SEC on April 29, 2022, July 29, 2022 and October 28, 2022. The adjustments did not result in a change to net cash provided by operating activities in the Company’s Condensed Consolidated Statement of Cash Flows for the three, six and nine months ended March 31, 2022, June 30, 2022 and September 30, 2022, respectively. During the fourth quarter of 2022, the Company recorded mark to market income of $20 million for this item in Other (income) expense, net in the Condensed Consolidated Statement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Supplementary Financial Information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prepared supplementary financial information attached hereto as Exhibit 99.1, to provide investors comparative financial results for each of the three operating segments in prior periods. The Company has recasted its Sales, Operating Income (Loss) and Adjusted Operating Income (Loss) by operating segment for each quarter of 2022 and 2021, including the impact of the change from LIFO to FIFO. In addition, the Company has recasted its unaudited Condensed Consolidated Statements of Operations for each quarter of 2022 and 2021 to reflect the impact of the change from LIFO to FIFO and for each quarter of 2022 the recast associated with the functional currency revisions.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for these items shall not be deemed “filed” for purposes of Section 18 of the Securities Exchange Act of 1934 or otherwise subject to the liabilities of that section, nor shall it be deemed incorporated by reference in any filing under the Securities Act of 1933, regardless of any general incorporation language in such filing.</w:t>
      </w:r>
    </w:p>
    <w:p>
      <w:pPr>
        <w:spacing w:after="0" w:line="28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67"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7620" w:type="dxa"/>
            <w:vAlign w:val="bottom"/>
          </w:tcPr>
          <w:p>
            <w:pPr>
              <w:spacing w:after="0"/>
              <w:rPr>
                <w:sz w:val="15"/>
                <w:szCs w:val="15"/>
                <w:color w:val="auto"/>
              </w:rPr>
            </w:pPr>
          </w:p>
        </w:tc>
      </w:tr>
      <w:tr>
        <w:trPr>
          <w:trHeight w:val="217"/>
        </w:trPr>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r>
      <w:tr>
        <w:trPr>
          <w:trHeight w:val="223"/>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Supplementary Financial Information</w:t>
            </w:r>
          </w:p>
        </w:tc>
        <w:tc>
          <w:tcPr>
            <w:tcW w:w="7620" w:type="dxa"/>
            <w:vAlign w:val="bottom"/>
          </w:tcPr>
          <w:p>
            <w:pPr>
              <w:spacing w:after="0"/>
              <w:rPr>
                <w:sz w:val="19"/>
                <w:szCs w:val="19"/>
                <w:color w:val="auto"/>
              </w:rPr>
            </w:pPr>
          </w:p>
        </w:tc>
      </w:tr>
      <w:tr>
        <w:trPr>
          <w:trHeight w:val="250"/>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ind w:left="900" w:hanging="87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as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NEWELL BRANDS INC.</w:t>
      </w:r>
    </w:p>
    <w:p>
      <w:pPr>
        <w:spacing w:after="0" w:line="189"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8"/>
          <w:szCs w:val="18"/>
          <w:color w:val="auto"/>
        </w:rPr>
        <w:t>Dated: February 10, 2023</w:t>
      </w:r>
      <w:r>
        <w:rPr>
          <w:sz w:val="20"/>
          <w:szCs w:val="20"/>
          <w:color w:val="auto"/>
        </w:rPr>
        <w:tab/>
      </w:r>
      <w:r>
        <w:rPr>
          <w:rFonts w:ascii="Times New Roman" w:cs="Times New Roman" w:eastAsia="Times New Roman" w:hAnsi="Times New Roman"/>
          <w:sz w:val="18"/>
          <w:szCs w:val="18"/>
          <w:color w:val="auto"/>
        </w:rPr>
        <w:t>By: /s/ Mark J. Erceg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34290</wp:posOffset>
            </wp:positionV>
            <wp:extent cx="3377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4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Mark J. Erceg</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61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FINANCIAL WORKSHEET - SEGMENT REPORTING</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(Amounts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7"/>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As Reported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As Adjusted</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040" w:type="dxa"/>
            <w:vAlign w:val="bottom"/>
          </w:tcPr>
          <w:p>
            <w:pPr>
              <w:spacing w:after="0"/>
              <w:rPr>
                <w:sz w:val="17"/>
                <w:szCs w:val="17"/>
                <w:color w:val="auto"/>
              </w:rPr>
            </w:pP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Operating</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Impact of</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Operating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Adjusted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Operating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Normalized</w:t>
            </w:r>
          </w:p>
        </w:tc>
      </w:tr>
      <w:tr>
        <w:trPr>
          <w:trHeight w:val="211"/>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Income</w:t>
            </w:r>
          </w:p>
        </w:tc>
        <w:tc>
          <w:tcPr>
            <w:tcW w:w="120" w:type="dxa"/>
            <w:vAlign w:val="bottom"/>
          </w:tcPr>
          <w:p>
            <w:pPr>
              <w:spacing w:after="0"/>
              <w:rPr>
                <w:sz w:val="18"/>
                <w:szCs w:val="18"/>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Change to</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Operating</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4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r>
      <w:tr>
        <w:trPr>
          <w:trHeight w:val="227"/>
        </w:trPr>
        <w:tc>
          <w:tcPr>
            <w:tcW w:w="3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7"/>
              </w:rPr>
              <w:t>(Loss)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line="227" w:lineRule="exact"/>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[2]</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(Loss)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Margin</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9"/>
              <w:spacing w:after="0" w:line="227" w:lineRule="exact"/>
              <w:rPr>
                <w:sz w:val="20"/>
                <w:szCs w:val="20"/>
                <w:color w:val="auto"/>
              </w:rPr>
            </w:pPr>
            <w:r>
              <w:rPr>
                <w:rFonts w:ascii="Times New Roman" w:cs="Times New Roman" w:eastAsia="Times New Roman" w:hAnsi="Times New Roman"/>
                <w:sz w:val="16"/>
                <w:szCs w:val="16"/>
                <w:color w:val="auto"/>
                <w:w w:val="92"/>
              </w:rPr>
              <w:t xml:space="preserve">Items </w:t>
            </w:r>
            <w:r>
              <w:rPr>
                <w:rFonts w:ascii="Times New Roman" w:cs="Times New Roman" w:eastAsia="Times New Roman" w:hAnsi="Times New Roman"/>
                <w:sz w:val="21"/>
                <w:szCs w:val="21"/>
                <w:color w:val="auto"/>
                <w:w w:val="92"/>
                <w:vertAlign w:val="superscript"/>
              </w:rPr>
              <w:t>[3]</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(Loss)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Margin</w:t>
            </w:r>
          </w:p>
        </w:tc>
      </w:tr>
      <w:tr>
        <w:trPr>
          <w:trHeight w:val="209"/>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9.8 % </w:t>
            </w: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10.6 %</w:t>
            </w:r>
          </w:p>
        </w:tc>
      </w:tr>
      <w:tr>
        <w:trPr>
          <w:trHeight w:val="214"/>
        </w:trPr>
        <w:tc>
          <w:tcPr>
            <w:tcW w:w="3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HOME APPLIANCES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(4.1)%</w:t>
            </w:r>
          </w:p>
        </w:tc>
      </w:tr>
      <w:tr>
        <w:trPr>
          <w:trHeight w:val="218"/>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HOME SOLUTIONS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11.4 %</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13.6 %</w:t>
            </w:r>
          </w:p>
        </w:tc>
      </w:tr>
      <w:tr>
        <w:trPr>
          <w:trHeight w:val="210"/>
        </w:trPr>
        <w:tc>
          <w:tcPr>
            <w:tcW w:w="33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HOME AND COMMERCIAL SOLUTIONS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6.6 %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8.0 %</w:t>
            </w:r>
          </w:p>
        </w:tc>
      </w:tr>
      <w:tr>
        <w:trPr>
          <w:trHeight w:val="148"/>
        </w:trPr>
        <w:tc>
          <w:tcPr>
            <w:tcW w:w="3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1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LEARNING AND DEVELOPMENT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21.2 %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22.3 %</w:t>
            </w:r>
          </w:p>
        </w:tc>
      </w:tr>
      <w:tr>
        <w:trPr>
          <w:trHeight w:val="21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OUTDOOR AND RECREATION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11.9 %</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12.9 %</w:t>
            </w:r>
          </w:p>
        </w:tc>
      </w:tr>
      <w:tr>
        <w:trPr>
          <w:trHeight w:val="214"/>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r>
      <w:tr>
        <w:trPr>
          <w:trHeight w:val="218"/>
        </w:trPr>
        <w:tc>
          <w:tcPr>
            <w:tcW w:w="3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2,388</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9.1 %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10.6 %</w:t>
            </w:r>
          </w:p>
        </w:tc>
      </w:tr>
      <w:tr>
        <w:trPr>
          <w:trHeight w:val="348"/>
        </w:trPr>
        <w:tc>
          <w:tcPr>
            <w:tcW w:w="3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7"/>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As Reported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As Adjusted</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040" w:type="dxa"/>
            <w:vAlign w:val="bottom"/>
          </w:tcPr>
          <w:p>
            <w:pPr>
              <w:spacing w:after="0"/>
              <w:rPr>
                <w:sz w:val="17"/>
                <w:szCs w:val="17"/>
                <w:color w:val="auto"/>
              </w:rPr>
            </w:pP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Operating</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Impact of</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Operating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Adjusted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Operating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Normalized</w:t>
            </w:r>
          </w:p>
        </w:tc>
      </w:tr>
      <w:tr>
        <w:trPr>
          <w:trHeight w:val="211"/>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Income</w:t>
            </w:r>
          </w:p>
        </w:tc>
        <w:tc>
          <w:tcPr>
            <w:tcW w:w="120" w:type="dxa"/>
            <w:vAlign w:val="bottom"/>
          </w:tcPr>
          <w:p>
            <w:pPr>
              <w:spacing w:after="0"/>
              <w:rPr>
                <w:sz w:val="18"/>
                <w:szCs w:val="18"/>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Change to</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Operating</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4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r>
      <w:tr>
        <w:trPr>
          <w:trHeight w:val="227"/>
        </w:trPr>
        <w:tc>
          <w:tcPr>
            <w:tcW w:w="3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7"/>
              </w:rPr>
              <w:t>(Loss)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line="227" w:lineRule="exact"/>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[2]</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(Loss)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Margin</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9"/>
              <w:spacing w:after="0" w:line="227" w:lineRule="exact"/>
              <w:rPr>
                <w:sz w:val="20"/>
                <w:szCs w:val="20"/>
                <w:color w:val="auto"/>
              </w:rPr>
            </w:pPr>
            <w:r>
              <w:rPr>
                <w:rFonts w:ascii="Times New Roman" w:cs="Times New Roman" w:eastAsia="Times New Roman" w:hAnsi="Times New Roman"/>
                <w:sz w:val="16"/>
                <w:szCs w:val="16"/>
                <w:color w:val="auto"/>
                <w:w w:val="92"/>
              </w:rPr>
              <w:t xml:space="preserve">Items </w:t>
            </w:r>
            <w:r>
              <w:rPr>
                <w:rFonts w:ascii="Times New Roman" w:cs="Times New Roman" w:eastAsia="Times New Roman" w:hAnsi="Times New Roman"/>
                <w:sz w:val="21"/>
                <w:szCs w:val="21"/>
                <w:color w:val="auto"/>
                <w:w w:val="92"/>
                <w:vertAlign w:val="superscript"/>
              </w:rPr>
              <w:t>[4]</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(Loss)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Margin</w:t>
            </w:r>
          </w:p>
        </w:tc>
      </w:tr>
      <w:tr>
        <w:trPr>
          <w:trHeight w:val="210"/>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11.0 % </w:t>
            </w: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11.2 %</w:t>
            </w:r>
          </w:p>
        </w:tc>
      </w:tr>
      <w:tr>
        <w:trPr>
          <w:trHeight w:val="214"/>
        </w:trPr>
        <w:tc>
          <w:tcPr>
            <w:tcW w:w="3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HOME APPLIANCES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4.9 %</w:t>
            </w:r>
          </w:p>
        </w:tc>
      </w:tr>
      <w:tr>
        <w:trPr>
          <w:trHeight w:val="218"/>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HOME SOLUTIONS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2.6 %</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4.7 %</w:t>
            </w:r>
          </w:p>
        </w:tc>
      </w:tr>
      <w:tr>
        <w:trPr>
          <w:trHeight w:val="210"/>
        </w:trPr>
        <w:tc>
          <w:tcPr>
            <w:tcW w:w="33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HOME AND COMMERCIAL SOLUTIONS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6.0 %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7.0 %</w:t>
            </w:r>
          </w:p>
        </w:tc>
      </w:tr>
      <w:tr>
        <w:trPr>
          <w:trHeight w:val="149"/>
        </w:trPr>
        <w:tc>
          <w:tcPr>
            <w:tcW w:w="3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1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LEARNING AND DEVELOPMENT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28.3 %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28.7 %</w:t>
            </w:r>
          </w:p>
        </w:tc>
      </w:tr>
      <w:tr>
        <w:trPr>
          <w:trHeight w:val="21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OUTDOOR AND RECREATION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11.2 %</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12.6 %</w:t>
            </w:r>
          </w:p>
        </w:tc>
      </w:tr>
      <w:tr>
        <w:trPr>
          <w:trHeight w:val="214"/>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r>
      <w:tr>
        <w:trPr>
          <w:trHeight w:val="218"/>
        </w:trPr>
        <w:tc>
          <w:tcPr>
            <w:tcW w:w="3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2,534</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12.9 %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14.0 %</w:t>
            </w:r>
          </w:p>
        </w:tc>
      </w:tr>
      <w:tr>
        <w:trPr>
          <w:trHeight w:val="348"/>
        </w:trPr>
        <w:tc>
          <w:tcPr>
            <w:tcW w:w="3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2022</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7"/>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As Reported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As Adjusted</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040" w:type="dxa"/>
            <w:vAlign w:val="bottom"/>
          </w:tcPr>
          <w:p>
            <w:pPr>
              <w:spacing w:after="0"/>
              <w:rPr>
                <w:sz w:val="17"/>
                <w:szCs w:val="17"/>
                <w:color w:val="auto"/>
              </w:rPr>
            </w:pP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Operating</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Impact of</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Operating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Adjusted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Operating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Normalized</w:t>
            </w:r>
          </w:p>
        </w:tc>
      </w:tr>
      <w:tr>
        <w:trPr>
          <w:trHeight w:val="211"/>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Income</w:t>
            </w:r>
          </w:p>
        </w:tc>
        <w:tc>
          <w:tcPr>
            <w:tcW w:w="120" w:type="dxa"/>
            <w:vAlign w:val="bottom"/>
          </w:tcPr>
          <w:p>
            <w:pPr>
              <w:spacing w:after="0"/>
              <w:rPr>
                <w:sz w:val="18"/>
                <w:szCs w:val="18"/>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Change to</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Operating</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4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r>
      <w:tr>
        <w:trPr>
          <w:trHeight w:val="227"/>
        </w:trPr>
        <w:tc>
          <w:tcPr>
            <w:tcW w:w="3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7"/>
              </w:rPr>
              <w:t>(Loss)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line="227" w:lineRule="exact"/>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[2]</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(Loss)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Margin</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9"/>
              <w:spacing w:after="0" w:line="227" w:lineRule="exact"/>
              <w:rPr>
                <w:sz w:val="20"/>
                <w:szCs w:val="20"/>
                <w:color w:val="auto"/>
              </w:rPr>
            </w:pPr>
            <w:r>
              <w:rPr>
                <w:rFonts w:ascii="Times New Roman" w:cs="Times New Roman" w:eastAsia="Times New Roman" w:hAnsi="Times New Roman"/>
                <w:sz w:val="16"/>
                <w:szCs w:val="16"/>
                <w:color w:val="auto"/>
                <w:w w:val="92"/>
              </w:rPr>
              <w:t xml:space="preserve">Items </w:t>
            </w:r>
            <w:r>
              <w:rPr>
                <w:rFonts w:ascii="Times New Roman" w:cs="Times New Roman" w:eastAsia="Times New Roman" w:hAnsi="Times New Roman"/>
                <w:sz w:val="21"/>
                <w:szCs w:val="21"/>
                <w:color w:val="auto"/>
                <w:w w:val="92"/>
                <w:vertAlign w:val="superscript"/>
              </w:rPr>
              <w:t>[5]</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(Loss)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Margin</w:t>
            </w:r>
          </w:p>
        </w:tc>
      </w:tr>
      <w:tr>
        <w:trPr>
          <w:trHeight w:val="210"/>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7.8 % </w:t>
            </w: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8.6 %</w:t>
            </w:r>
          </w:p>
        </w:tc>
      </w:tr>
      <w:tr>
        <w:trPr>
          <w:trHeight w:val="214"/>
        </w:trPr>
        <w:tc>
          <w:tcPr>
            <w:tcW w:w="3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HOME APPLIANCES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w:t>
            </w:r>
          </w:p>
        </w:tc>
      </w:tr>
      <w:tr>
        <w:trPr>
          <w:trHeight w:val="218"/>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HOME SOLUTIONS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(16.9)%</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6.3 %</w:t>
            </w:r>
          </w:p>
        </w:tc>
      </w:tr>
      <w:tr>
        <w:trPr>
          <w:trHeight w:val="210"/>
        </w:trPr>
        <w:tc>
          <w:tcPr>
            <w:tcW w:w="33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HOME AND COMMERCIAL SOLUTIONS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5.2 %</w:t>
            </w:r>
          </w:p>
        </w:tc>
      </w:tr>
      <w:tr>
        <w:trPr>
          <w:trHeight w:val="148"/>
        </w:trPr>
        <w:tc>
          <w:tcPr>
            <w:tcW w:w="3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1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LEARNING AND DEVELOPMENT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16.2 %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20.0 %</w:t>
            </w:r>
          </w:p>
        </w:tc>
      </w:tr>
      <w:tr>
        <w:trPr>
          <w:trHeight w:val="21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OUTDOOR AND RECREATION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2.1 %</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5.5 %</w:t>
            </w:r>
          </w:p>
        </w:tc>
      </w:tr>
      <w:tr>
        <w:trPr>
          <w:trHeight w:val="214"/>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r>
      <w:tr>
        <w:trPr>
          <w:trHeight w:val="218"/>
        </w:trPr>
        <w:tc>
          <w:tcPr>
            <w:tcW w:w="3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2,252</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10.4 %</w:t>
            </w:r>
          </w:p>
        </w:tc>
      </w:tr>
    </w:tbl>
    <w:p>
      <w:pPr>
        <w:sectPr>
          <w:pgSz w:w="11900" w:h="16838" w:orient="portrait"/>
          <w:cols w:equalWidth="0" w:num="1">
            <w:col w:w="10800"/>
          </w:cols>
          <w:pgMar w:left="540" w:top="446" w:right="559" w:bottom="1440" w:gutter="0" w:footer="0" w:header="0"/>
        </w:sectPr>
      </w:pPr>
    </w:p>
    <w:bookmarkStart w:id="4" w:name="page5"/>
    <w:bookmarkEnd w:id="4"/>
    <w:p>
      <w:pPr>
        <w:jc w:val="center"/>
        <w:ind w:right="-196"/>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32" w:lineRule="exact"/>
        <w:rPr>
          <w:sz w:val="20"/>
          <w:szCs w:val="20"/>
          <w:color w:val="auto"/>
        </w:rPr>
      </w:pPr>
    </w:p>
    <w:p>
      <w:pPr>
        <w:jc w:val="center"/>
        <w:ind w:right="-196"/>
        <w:spacing w:after="0"/>
        <w:rPr>
          <w:sz w:val="20"/>
          <w:szCs w:val="20"/>
          <w:color w:val="auto"/>
        </w:rPr>
      </w:pPr>
      <w:r>
        <w:rPr>
          <w:rFonts w:ascii="Times New Roman" w:cs="Times New Roman" w:eastAsia="Times New Roman" w:hAnsi="Times New Roman"/>
          <w:sz w:val="22"/>
          <w:szCs w:val="22"/>
          <w:color w:val="auto"/>
        </w:rPr>
        <w:t>FINANCIAL WORKSHEET - SEGMENT REPORTING</w:t>
      </w:r>
    </w:p>
    <w:p>
      <w:pPr>
        <w:spacing w:after="0" w:line="4" w:lineRule="exact"/>
        <w:rPr>
          <w:sz w:val="20"/>
          <w:szCs w:val="20"/>
          <w:color w:val="auto"/>
        </w:rPr>
      </w:pPr>
    </w:p>
    <w:p>
      <w:pPr>
        <w:jc w:val="center"/>
        <w:ind w:right="-196"/>
        <w:spacing w:after="0"/>
        <w:rPr>
          <w:sz w:val="20"/>
          <w:szCs w:val="20"/>
          <w:color w:val="auto"/>
        </w:rPr>
      </w:pPr>
      <w:r>
        <w:rPr>
          <w:rFonts w:ascii="Times New Roman" w:cs="Times New Roman" w:eastAsia="Times New Roman" w:hAnsi="Times New Roman"/>
          <w:sz w:val="22"/>
          <w:szCs w:val="22"/>
          <w:i w:val="1"/>
          <w:iCs w:val="1"/>
          <w:color w:val="auto"/>
        </w:rPr>
        <w:t>(Amounts in millions)</w:t>
      </w:r>
    </w:p>
    <w:p>
      <w:pPr>
        <w:spacing w:after="0" w:line="32" w:lineRule="exact"/>
        <w:rPr>
          <w:sz w:val="20"/>
          <w:szCs w:val="20"/>
          <w:color w:val="auto"/>
        </w:rPr>
      </w:pPr>
    </w:p>
    <w:tbl>
      <w:tblPr>
        <w:tblLayout w:type="fixed"/>
        <w:tblInd w:w="217"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6"/>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December 31, 2022</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color w:val="auto"/>
              </w:rPr>
              <w:t>As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Computed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As Reported</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Under LIFO</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c>
          <w:tcPr>
            <w:tcW w:w="12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Impact of</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Operating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Adjusted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Operating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0" w:type="dxa"/>
            <w:vAlign w:val="bottom"/>
          </w:tcPr>
          <w:p>
            <w:pPr>
              <w:spacing w:after="0"/>
              <w:rPr>
                <w:sz w:val="1"/>
                <w:szCs w:val="1"/>
                <w:color w:val="auto"/>
              </w:rPr>
            </w:pPr>
          </w:p>
        </w:tc>
      </w:tr>
      <w:tr>
        <w:trPr>
          <w:trHeight w:val="211"/>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Income</w:t>
            </w:r>
          </w:p>
        </w:tc>
        <w:tc>
          <w:tcPr>
            <w:tcW w:w="12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Change to</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Income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40" w:type="dxa"/>
            <w:vAlign w:val="bottom"/>
          </w:tcPr>
          <w:p>
            <w:pPr>
              <w:spacing w:after="0"/>
              <w:rPr>
                <w:sz w:val="18"/>
                <w:szCs w:val="18"/>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Income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c>
          <w:tcPr>
            <w:tcW w:w="0" w:type="dxa"/>
            <w:vAlign w:val="bottom"/>
          </w:tcPr>
          <w:p>
            <w:pPr>
              <w:spacing w:after="0"/>
              <w:rPr>
                <w:sz w:val="1"/>
                <w:szCs w:val="1"/>
                <w:color w:val="auto"/>
              </w:rPr>
            </w:pPr>
          </w:p>
        </w:tc>
      </w:tr>
      <w:tr>
        <w:trPr>
          <w:trHeight w:val="227"/>
        </w:trPr>
        <w:tc>
          <w:tcPr>
            <w:tcW w:w="3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9"/>
              <w:spacing w:after="0" w:line="227" w:lineRule="exact"/>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[2]</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(Loss)</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Margin</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39"/>
              <w:spacing w:after="0" w:line="227" w:lineRule="exact"/>
              <w:rPr>
                <w:sz w:val="20"/>
                <w:szCs w:val="20"/>
                <w:color w:val="auto"/>
              </w:rPr>
            </w:pPr>
            <w:r>
              <w:rPr>
                <w:rFonts w:ascii="Times New Roman" w:cs="Times New Roman" w:eastAsia="Times New Roman" w:hAnsi="Times New Roman"/>
                <w:sz w:val="16"/>
                <w:szCs w:val="16"/>
                <w:color w:val="auto"/>
                <w:w w:val="92"/>
              </w:rPr>
              <w:t xml:space="preserve">Items </w:t>
            </w:r>
            <w:r>
              <w:rPr>
                <w:rFonts w:ascii="Times New Roman" w:cs="Times New Roman" w:eastAsia="Times New Roman" w:hAnsi="Times New Roman"/>
                <w:sz w:val="21"/>
                <w:szCs w:val="21"/>
                <w:color w:val="auto"/>
                <w:w w:val="92"/>
                <w:vertAlign w:val="superscript"/>
              </w:rPr>
              <w:t>[6]</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(Loss)</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Margin</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4.2 % </w:t>
            </w: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4.5 %</w:t>
            </w:r>
          </w:p>
        </w:tc>
        <w:tc>
          <w:tcPr>
            <w:tcW w:w="0" w:type="dxa"/>
            <w:vAlign w:val="bottom"/>
          </w:tcPr>
          <w:p>
            <w:pPr>
              <w:spacing w:after="0"/>
              <w:rPr>
                <w:sz w:val="1"/>
                <w:szCs w:val="1"/>
                <w:color w:val="auto"/>
              </w:rPr>
            </w:pPr>
          </w:p>
        </w:tc>
      </w:tr>
      <w:tr>
        <w:trPr>
          <w:trHeight w:val="214"/>
        </w:trPr>
        <w:tc>
          <w:tcPr>
            <w:tcW w:w="3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HOME APPLIANCES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0.3 %</w:t>
            </w: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HOME SOLUTIONS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(45.8)%</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6.4 %</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HOME AND COMMERCIAL SOLUTIONS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4.2 %</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LEARNING AND DEVELOPMENT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12.9 %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14.3 %</w:t>
            </w: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OUTDOOR AND RECREATION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w:t>
            </w:r>
          </w:p>
        </w:tc>
        <w:tc>
          <w:tcPr>
            <w:tcW w:w="0" w:type="dxa"/>
            <w:vAlign w:val="bottom"/>
          </w:tcPr>
          <w:p>
            <w:pPr>
              <w:spacing w:after="0"/>
              <w:rPr>
                <w:sz w:val="1"/>
                <w:szCs w:val="1"/>
                <w:color w:val="auto"/>
              </w:rPr>
            </w:pPr>
          </w:p>
        </w:tc>
      </w:tr>
      <w:tr>
        <w:trPr>
          <w:trHeight w:val="214"/>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c>
          <w:tcPr>
            <w:tcW w:w="0" w:type="dxa"/>
            <w:vAlign w:val="bottom"/>
          </w:tcPr>
          <w:p>
            <w:pPr>
              <w:spacing w:after="0"/>
              <w:rPr>
                <w:sz w:val="1"/>
                <w:szCs w:val="1"/>
                <w:color w:val="auto"/>
              </w:rPr>
            </w:pPr>
          </w:p>
        </w:tc>
      </w:tr>
      <w:tr>
        <w:trPr>
          <w:trHeight w:val="218"/>
        </w:trPr>
        <w:tc>
          <w:tcPr>
            <w:tcW w:w="3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4.9 %</w:t>
            </w:r>
          </w:p>
        </w:tc>
        <w:tc>
          <w:tcPr>
            <w:tcW w:w="0" w:type="dxa"/>
            <w:vAlign w:val="bottom"/>
          </w:tcPr>
          <w:p>
            <w:pPr>
              <w:spacing w:after="0"/>
              <w:rPr>
                <w:sz w:val="1"/>
                <w:szCs w:val="1"/>
                <w:color w:val="auto"/>
              </w:rPr>
            </w:pPr>
          </w:p>
        </w:tc>
      </w:tr>
      <w:tr>
        <w:trPr>
          <w:trHeight w:val="348"/>
        </w:trPr>
        <w:tc>
          <w:tcPr>
            <w:tcW w:w="3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Twelve Months Ended December 31, 2022</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color w:val="auto"/>
              </w:rPr>
              <w:t>As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Computed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As Reported</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Under LIFO</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c>
          <w:tcPr>
            <w:tcW w:w="12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Impact of</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Operating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Adjusted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Operating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0" w:type="dxa"/>
            <w:vAlign w:val="bottom"/>
          </w:tcPr>
          <w:p>
            <w:pPr>
              <w:spacing w:after="0"/>
              <w:rPr>
                <w:sz w:val="1"/>
                <w:szCs w:val="1"/>
                <w:color w:val="auto"/>
              </w:rPr>
            </w:pPr>
          </w:p>
        </w:tc>
      </w:tr>
      <w:tr>
        <w:trPr>
          <w:trHeight w:val="211"/>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Income</w:t>
            </w:r>
          </w:p>
        </w:tc>
        <w:tc>
          <w:tcPr>
            <w:tcW w:w="12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Change to</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Income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40" w:type="dxa"/>
            <w:vAlign w:val="bottom"/>
          </w:tcPr>
          <w:p>
            <w:pPr>
              <w:spacing w:after="0"/>
              <w:rPr>
                <w:sz w:val="18"/>
                <w:szCs w:val="18"/>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Income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c>
          <w:tcPr>
            <w:tcW w:w="0" w:type="dxa"/>
            <w:vAlign w:val="bottom"/>
          </w:tcPr>
          <w:p>
            <w:pPr>
              <w:spacing w:after="0"/>
              <w:rPr>
                <w:sz w:val="1"/>
                <w:szCs w:val="1"/>
                <w:color w:val="auto"/>
              </w:rPr>
            </w:pPr>
          </w:p>
        </w:tc>
      </w:tr>
      <w:tr>
        <w:trPr>
          <w:trHeight w:val="227"/>
        </w:trPr>
        <w:tc>
          <w:tcPr>
            <w:tcW w:w="3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9"/>
              <w:spacing w:after="0" w:line="227" w:lineRule="exact"/>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[2]</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(Loss)</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Margin</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39"/>
              <w:spacing w:after="0" w:line="227" w:lineRule="exact"/>
              <w:rPr>
                <w:sz w:val="20"/>
                <w:szCs w:val="20"/>
                <w:color w:val="auto"/>
              </w:rPr>
            </w:pPr>
            <w:r>
              <w:rPr>
                <w:rFonts w:ascii="Times New Roman" w:cs="Times New Roman" w:eastAsia="Times New Roman" w:hAnsi="Times New Roman"/>
                <w:sz w:val="16"/>
                <w:szCs w:val="16"/>
                <w:color w:val="auto"/>
                <w:w w:val="92"/>
              </w:rPr>
              <w:t xml:space="preserve">Items </w:t>
            </w:r>
            <w:r>
              <w:rPr>
                <w:rFonts w:ascii="Times New Roman" w:cs="Times New Roman" w:eastAsia="Times New Roman" w:hAnsi="Times New Roman"/>
                <w:sz w:val="21"/>
                <w:szCs w:val="21"/>
                <w:color w:val="auto"/>
                <w:w w:val="92"/>
                <w:vertAlign w:val="superscript"/>
              </w:rPr>
              <w:t>[7]</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(Loss)</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Margin</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8.5 % </w:t>
            </w: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9.0 %</w:t>
            </w:r>
          </w:p>
        </w:tc>
        <w:tc>
          <w:tcPr>
            <w:tcW w:w="0" w:type="dxa"/>
            <w:vAlign w:val="bottom"/>
          </w:tcPr>
          <w:p>
            <w:pPr>
              <w:spacing w:after="0"/>
              <w:rPr>
                <w:sz w:val="1"/>
                <w:szCs w:val="1"/>
                <w:color w:val="auto"/>
              </w:rPr>
            </w:pPr>
          </w:p>
        </w:tc>
      </w:tr>
      <w:tr>
        <w:trPr>
          <w:trHeight w:val="214"/>
        </w:trPr>
        <w:tc>
          <w:tcPr>
            <w:tcW w:w="3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HOME APPLIANCES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0.1 %</w:t>
            </w: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HOME SOLUTIONS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(14.6)%</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7.7 %</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HOME AND COMMERCIAL SOLUTIONS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6.1 %</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LEARNING AND DEVELOPMENT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20.1 %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21.7 %</w:t>
            </w: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OUTDOOR AND RECREATION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6.5 %</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8.8 %</w:t>
            </w:r>
          </w:p>
        </w:tc>
        <w:tc>
          <w:tcPr>
            <w:tcW w:w="0" w:type="dxa"/>
            <w:vAlign w:val="bottom"/>
          </w:tcPr>
          <w:p>
            <w:pPr>
              <w:spacing w:after="0"/>
              <w:rPr>
                <w:sz w:val="1"/>
                <w:szCs w:val="1"/>
                <w:color w:val="auto"/>
              </w:rPr>
            </w:pPr>
          </w:p>
        </w:tc>
      </w:tr>
      <w:tr>
        <w:trPr>
          <w:trHeight w:val="214"/>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c>
          <w:tcPr>
            <w:tcW w:w="0" w:type="dxa"/>
            <w:vAlign w:val="bottom"/>
          </w:tcPr>
          <w:p>
            <w:pPr>
              <w:spacing w:after="0"/>
              <w:rPr>
                <w:sz w:val="1"/>
                <w:szCs w:val="1"/>
                <w:color w:val="auto"/>
              </w:rPr>
            </w:pPr>
          </w:p>
        </w:tc>
      </w:tr>
      <w:tr>
        <w:trPr>
          <w:trHeight w:val="218"/>
        </w:trPr>
        <w:tc>
          <w:tcPr>
            <w:tcW w:w="3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3.3 %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10.1 %</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17" w:right="120" w:hanging="317"/>
        <w:spacing w:after="0" w:line="267" w:lineRule="auto"/>
        <w:tabs>
          <w:tab w:leader="none" w:pos="31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2023, the Company will combine its previously reported Commercial Solutions, Home Appliances and Home Solutions segments into one operating segment, Home and Commercial Solutions.</w:t>
      </w:r>
    </w:p>
    <w:p>
      <w:pPr>
        <w:ind w:left="317" w:right="120" w:hanging="317"/>
        <w:spacing w:after="0" w:line="248" w:lineRule="auto"/>
        <w:tabs>
          <w:tab w:leader="none" w:pos="31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impact of the Company's election to change its method of accounting for certain inventory in the U.S. from the last-in, first-out (“LIFO”) method to first-in, first-out (“FIFO”) method.</w:t>
      </w:r>
    </w:p>
    <w:p>
      <w:pPr>
        <w:spacing w:after="0" w:line="1" w:lineRule="exact"/>
        <w:rPr>
          <w:rFonts w:ascii="Times New Roman" w:cs="Times New Roman" w:eastAsia="Times New Roman" w:hAnsi="Times New Roman"/>
          <w:sz w:val="16"/>
          <w:szCs w:val="16"/>
          <w:color w:val="auto"/>
        </w:rPr>
      </w:pPr>
    </w:p>
    <w:p>
      <w:pPr>
        <w:jc w:val="both"/>
        <w:ind w:left="317" w:right="120" w:hanging="317"/>
        <w:spacing w:after="0" w:line="256" w:lineRule="auto"/>
        <w:tabs>
          <w:tab w:leader="none" w:pos="31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March 31, 2022 normalized items consist of $18 million of acquisition amortization costs; $11 million of restructuring and restructuring-related charges; $4 million related to expenses for certain legal proceedings; $3 million of costs related to completed divestitures and $1 million related to Argentina hyperinflationary adjustment.</w:t>
      </w:r>
    </w:p>
    <w:p>
      <w:pPr>
        <w:spacing w:after="0" w:line="1" w:lineRule="exact"/>
        <w:rPr>
          <w:rFonts w:ascii="Times New Roman" w:cs="Times New Roman" w:eastAsia="Times New Roman" w:hAnsi="Times New Roman"/>
          <w:sz w:val="16"/>
          <w:szCs w:val="16"/>
          <w:color w:val="auto"/>
        </w:rPr>
      </w:pPr>
    </w:p>
    <w:p>
      <w:pPr>
        <w:jc w:val="both"/>
        <w:ind w:left="317" w:right="120" w:hanging="317"/>
        <w:spacing w:after="0" w:line="252" w:lineRule="auto"/>
        <w:tabs>
          <w:tab w:leader="none" w:pos="31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June 30, 2022 normalized items consist of $17 million of acquisition amortization costs; $6 million of restructuring and restructuring-related charges; $2 million related to expenses for certain legal proceedings; $1 million of costs related to completed divestitures and $1 million related to Argentina hyperinflationary adjustment.</w:t>
      </w:r>
    </w:p>
    <w:p>
      <w:pPr>
        <w:jc w:val="both"/>
        <w:ind w:left="317" w:right="120" w:hanging="317"/>
        <w:spacing w:after="0" w:line="252" w:lineRule="auto"/>
        <w:tabs>
          <w:tab w:leader="none" w:pos="31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September 30, 2022 normalized items consist of $148 million of non-cash impairment charges for indefinite-lived intangible assets; $16 million of acquisition amortization costs; $16 million related to expenses for certain legal proceedings; $12 million of restructuring and restructuring-related charges; $1 million of costs related to completed divestitures and $1 million related to Argentina hyperinflationary adjustment.</w:t>
      </w:r>
    </w:p>
    <w:p>
      <w:pPr>
        <w:jc w:val="both"/>
        <w:ind w:left="317" w:right="120" w:hanging="317"/>
        <w:spacing w:after="0" w:line="253" w:lineRule="auto"/>
        <w:tabs>
          <w:tab w:leader="none" w:pos="31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December 31, 2022 normalized items consist of $326 million of impairment of goodwill in the Home Solutions segment and indefinite-lived intangible assets in the Home Solutions and Learning and Development segments; $16 million of acquisition amortization costs; $15 million of prior year impact related to an indirect tax reserve for an international entity; $10 million of restructuring and restructuring-related charges; $9 million of bad debt reserve related to an international customer; $8 million related to expenses for certain legal proceedings; $1 million of costs related to completed divestitures and $1 million Argentina hyperinflationary adjustment.</w:t>
      </w:r>
    </w:p>
    <w:p>
      <w:pPr>
        <w:spacing w:after="0" w:line="2" w:lineRule="exact"/>
        <w:rPr>
          <w:rFonts w:ascii="Times New Roman" w:cs="Times New Roman" w:eastAsia="Times New Roman" w:hAnsi="Times New Roman"/>
          <w:sz w:val="16"/>
          <w:szCs w:val="16"/>
          <w:color w:val="auto"/>
        </w:rPr>
      </w:pPr>
    </w:p>
    <w:p>
      <w:pPr>
        <w:jc w:val="both"/>
        <w:ind w:left="317" w:right="120" w:hanging="317"/>
        <w:spacing w:after="0" w:line="258" w:lineRule="auto"/>
        <w:tabs>
          <w:tab w:leader="none" w:pos="31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twelve months ended December 31, 2022 normalized items consist of $474 million of impairment of goodwill in the Home Solutions segments and indefinite-lived intangible assets in the Home Appliances, Home Solutions and Learning and Development segments; $67 million of acquisition amortization; $39 million of restructuring and restructuring-related costs; $30 million related to expenses for certain legal proceedings; $15 million of prior year impact related to an indirect tax reserve for an international entity; $9 million of bad debt reserve related to an international customer; $6 million of costs related to completed divestitures and $4 million of Argentina hyperinflationary adjustment.</w:t>
      </w:r>
    </w:p>
    <w:p>
      <w:pPr>
        <w:sectPr>
          <w:pgSz w:w="11900" w:h="16838" w:orient="portrait"/>
          <w:cols w:equalWidth="0" w:num="1">
            <w:col w:w="11157"/>
          </w:cols>
          <w:pgMar w:left="263" w:top="446" w:right="4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FINANCIAL WORKSHEET - SEGMENT REPORTING</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(Amounts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 March 31, 2021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7"/>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As Reported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As Adjusted</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040" w:type="dxa"/>
            <w:vAlign w:val="bottom"/>
          </w:tcPr>
          <w:p>
            <w:pPr>
              <w:spacing w:after="0"/>
              <w:rPr>
                <w:sz w:val="17"/>
                <w:szCs w:val="17"/>
                <w:color w:val="auto"/>
              </w:rPr>
            </w:pP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Operating</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Impact of</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Operating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Adjusted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Operating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Normalized</w:t>
            </w:r>
          </w:p>
        </w:tc>
      </w:tr>
      <w:tr>
        <w:trPr>
          <w:trHeight w:val="211"/>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Income</w:t>
            </w:r>
          </w:p>
        </w:tc>
        <w:tc>
          <w:tcPr>
            <w:tcW w:w="120" w:type="dxa"/>
            <w:vAlign w:val="bottom"/>
          </w:tcPr>
          <w:p>
            <w:pPr>
              <w:spacing w:after="0"/>
              <w:rPr>
                <w:sz w:val="18"/>
                <w:szCs w:val="18"/>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Change to</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Operating</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4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r>
      <w:tr>
        <w:trPr>
          <w:trHeight w:val="227"/>
        </w:trPr>
        <w:tc>
          <w:tcPr>
            <w:tcW w:w="3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7"/>
              </w:rPr>
              <w:t>(Loss)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line="227" w:lineRule="exact"/>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[2]</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(Loss)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Margin</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9"/>
              <w:spacing w:after="0" w:line="227" w:lineRule="exact"/>
              <w:rPr>
                <w:sz w:val="20"/>
                <w:szCs w:val="20"/>
                <w:color w:val="auto"/>
              </w:rPr>
            </w:pPr>
            <w:r>
              <w:rPr>
                <w:rFonts w:ascii="Times New Roman" w:cs="Times New Roman" w:eastAsia="Times New Roman" w:hAnsi="Times New Roman"/>
                <w:sz w:val="16"/>
                <w:szCs w:val="16"/>
                <w:color w:val="auto"/>
                <w:w w:val="92"/>
              </w:rPr>
              <w:t xml:space="preserve">Items </w:t>
            </w:r>
            <w:r>
              <w:rPr>
                <w:rFonts w:ascii="Times New Roman" w:cs="Times New Roman" w:eastAsia="Times New Roman" w:hAnsi="Times New Roman"/>
                <w:sz w:val="21"/>
                <w:szCs w:val="21"/>
                <w:color w:val="auto"/>
                <w:w w:val="92"/>
                <w:vertAlign w:val="superscript"/>
              </w:rPr>
              <w:t>[3]</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(Loss)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Margin</w:t>
            </w:r>
          </w:p>
        </w:tc>
      </w:tr>
      <w:tr>
        <w:trPr>
          <w:trHeight w:val="209"/>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10.8 % </w:t>
            </w: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11.5 %</w:t>
            </w:r>
          </w:p>
        </w:tc>
      </w:tr>
      <w:tr>
        <w:trPr>
          <w:trHeight w:val="214"/>
        </w:trPr>
        <w:tc>
          <w:tcPr>
            <w:tcW w:w="3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HOME APPLIANCES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0.8 %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2.2 %</w:t>
            </w:r>
          </w:p>
        </w:tc>
      </w:tr>
      <w:tr>
        <w:trPr>
          <w:trHeight w:val="218"/>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HOME SOLUTIONS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13.1 %</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16.1 %</w:t>
            </w:r>
          </w:p>
        </w:tc>
      </w:tr>
      <w:tr>
        <w:trPr>
          <w:trHeight w:val="209"/>
        </w:trPr>
        <w:tc>
          <w:tcPr>
            <w:tcW w:w="33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HOME AND COMMERCIAL SOLUTIONS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9.0 %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10.7 %</w:t>
            </w:r>
          </w:p>
        </w:tc>
      </w:tr>
      <w:tr>
        <w:trPr>
          <w:trHeight w:val="148"/>
        </w:trPr>
        <w:tc>
          <w:tcPr>
            <w:tcW w:w="3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1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LEARNING AND DEVELOPMENT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17.7 %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18.3 %</w:t>
            </w:r>
          </w:p>
        </w:tc>
      </w:tr>
      <w:tr>
        <w:trPr>
          <w:trHeight w:val="21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OUTDOOR AND RECREATION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4.8 %</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6.3 %</w:t>
            </w:r>
          </w:p>
        </w:tc>
      </w:tr>
      <w:tr>
        <w:trPr>
          <w:trHeight w:val="214"/>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r>
      <w:tr>
        <w:trPr>
          <w:trHeight w:val="218"/>
        </w:trPr>
        <w:tc>
          <w:tcPr>
            <w:tcW w:w="3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2,288</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8.7 %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10.3 %</w:t>
            </w:r>
          </w:p>
        </w:tc>
      </w:tr>
      <w:tr>
        <w:trPr>
          <w:trHeight w:val="348"/>
        </w:trPr>
        <w:tc>
          <w:tcPr>
            <w:tcW w:w="3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7"/>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As Reported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As Adjusted</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040" w:type="dxa"/>
            <w:vAlign w:val="bottom"/>
          </w:tcPr>
          <w:p>
            <w:pPr>
              <w:spacing w:after="0"/>
              <w:rPr>
                <w:sz w:val="17"/>
                <w:szCs w:val="17"/>
                <w:color w:val="auto"/>
              </w:rPr>
            </w:pP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Operating</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Impact of</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Operating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Adjusted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Operating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Normalized</w:t>
            </w:r>
          </w:p>
        </w:tc>
      </w:tr>
      <w:tr>
        <w:trPr>
          <w:trHeight w:val="211"/>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Income</w:t>
            </w:r>
          </w:p>
        </w:tc>
        <w:tc>
          <w:tcPr>
            <w:tcW w:w="120" w:type="dxa"/>
            <w:vAlign w:val="bottom"/>
          </w:tcPr>
          <w:p>
            <w:pPr>
              <w:spacing w:after="0"/>
              <w:rPr>
                <w:sz w:val="18"/>
                <w:szCs w:val="18"/>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Change to</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Operating</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4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r>
      <w:tr>
        <w:trPr>
          <w:trHeight w:val="227"/>
        </w:trPr>
        <w:tc>
          <w:tcPr>
            <w:tcW w:w="3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7"/>
              </w:rPr>
              <w:t>(Loss)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line="227" w:lineRule="exact"/>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[2]</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(Loss)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Margin</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9"/>
              <w:spacing w:after="0" w:line="227" w:lineRule="exact"/>
              <w:rPr>
                <w:sz w:val="20"/>
                <w:szCs w:val="20"/>
                <w:color w:val="auto"/>
              </w:rPr>
            </w:pPr>
            <w:r>
              <w:rPr>
                <w:rFonts w:ascii="Times New Roman" w:cs="Times New Roman" w:eastAsia="Times New Roman" w:hAnsi="Times New Roman"/>
                <w:sz w:val="16"/>
                <w:szCs w:val="16"/>
                <w:color w:val="auto"/>
                <w:w w:val="92"/>
              </w:rPr>
              <w:t xml:space="preserve">Items </w:t>
            </w:r>
            <w:r>
              <w:rPr>
                <w:rFonts w:ascii="Times New Roman" w:cs="Times New Roman" w:eastAsia="Times New Roman" w:hAnsi="Times New Roman"/>
                <w:sz w:val="21"/>
                <w:szCs w:val="21"/>
                <w:color w:val="auto"/>
                <w:w w:val="92"/>
                <w:vertAlign w:val="superscript"/>
              </w:rPr>
              <w:t>[4]</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(Loss)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Margin</w:t>
            </w:r>
          </w:p>
        </w:tc>
      </w:tr>
      <w:tr>
        <w:trPr>
          <w:trHeight w:val="209"/>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12.6 % </w:t>
            </w: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13.4 %</w:t>
            </w:r>
          </w:p>
        </w:tc>
      </w:tr>
      <w:tr>
        <w:trPr>
          <w:trHeight w:val="214"/>
        </w:trPr>
        <w:tc>
          <w:tcPr>
            <w:tcW w:w="3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HOME APPLIANCES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3.3 %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4.8 %</w:t>
            </w:r>
          </w:p>
        </w:tc>
      </w:tr>
      <w:tr>
        <w:trPr>
          <w:trHeight w:val="218"/>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HOME SOLUTIONS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11.4 %</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13.5 %</w:t>
            </w:r>
          </w:p>
        </w:tc>
      </w:tr>
      <w:tr>
        <w:trPr>
          <w:trHeight w:val="210"/>
        </w:trPr>
        <w:tc>
          <w:tcPr>
            <w:tcW w:w="33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HOME AND COMMERCIAL SOLUTIONS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9.6 %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11.0 %</w:t>
            </w:r>
          </w:p>
        </w:tc>
      </w:tr>
      <w:tr>
        <w:trPr>
          <w:trHeight w:val="149"/>
        </w:trPr>
        <w:tc>
          <w:tcPr>
            <w:tcW w:w="3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1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LEARNING AND DEVELOPMENT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25.5 %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25.7 %</w:t>
            </w:r>
          </w:p>
        </w:tc>
      </w:tr>
      <w:tr>
        <w:trPr>
          <w:trHeight w:val="21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OUTDOOR AND RECREATION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10.6 %</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11.5 %</w:t>
            </w:r>
          </w:p>
        </w:tc>
      </w:tr>
      <w:tr>
        <w:trPr>
          <w:trHeight w:val="214"/>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r>
      <w:tr>
        <w:trPr>
          <w:trHeight w:val="218"/>
        </w:trPr>
        <w:tc>
          <w:tcPr>
            <w:tcW w:w="3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2,709</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12.1 %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13.5 %</w:t>
            </w:r>
          </w:p>
        </w:tc>
      </w:tr>
      <w:tr>
        <w:trPr>
          <w:trHeight w:val="348"/>
        </w:trPr>
        <w:tc>
          <w:tcPr>
            <w:tcW w:w="3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2021</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7"/>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As Reported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As Adjusted</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040" w:type="dxa"/>
            <w:vAlign w:val="bottom"/>
          </w:tcPr>
          <w:p>
            <w:pPr>
              <w:spacing w:after="0"/>
              <w:rPr>
                <w:sz w:val="17"/>
                <w:szCs w:val="17"/>
                <w:color w:val="auto"/>
              </w:rPr>
            </w:pP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Operating</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Impact of</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Operating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Adjusted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Operating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Normalized</w:t>
            </w:r>
          </w:p>
        </w:tc>
      </w:tr>
      <w:tr>
        <w:trPr>
          <w:trHeight w:val="211"/>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Income</w:t>
            </w:r>
          </w:p>
        </w:tc>
        <w:tc>
          <w:tcPr>
            <w:tcW w:w="120" w:type="dxa"/>
            <w:vAlign w:val="bottom"/>
          </w:tcPr>
          <w:p>
            <w:pPr>
              <w:spacing w:after="0"/>
              <w:rPr>
                <w:sz w:val="18"/>
                <w:szCs w:val="18"/>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Change to</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Operating</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4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r>
      <w:tr>
        <w:trPr>
          <w:trHeight w:val="227"/>
        </w:trPr>
        <w:tc>
          <w:tcPr>
            <w:tcW w:w="3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7"/>
              </w:rPr>
              <w:t>(Loss)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line="227" w:lineRule="exact"/>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[2]</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(Loss)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Margin</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9"/>
              <w:spacing w:after="0" w:line="227" w:lineRule="exact"/>
              <w:rPr>
                <w:sz w:val="20"/>
                <w:szCs w:val="20"/>
                <w:color w:val="auto"/>
              </w:rPr>
            </w:pPr>
            <w:r>
              <w:rPr>
                <w:rFonts w:ascii="Times New Roman" w:cs="Times New Roman" w:eastAsia="Times New Roman" w:hAnsi="Times New Roman"/>
                <w:sz w:val="16"/>
                <w:szCs w:val="16"/>
                <w:color w:val="auto"/>
                <w:w w:val="92"/>
              </w:rPr>
              <w:t xml:space="preserve">Items </w:t>
            </w:r>
            <w:r>
              <w:rPr>
                <w:rFonts w:ascii="Times New Roman" w:cs="Times New Roman" w:eastAsia="Times New Roman" w:hAnsi="Times New Roman"/>
                <w:sz w:val="21"/>
                <w:szCs w:val="21"/>
                <w:color w:val="auto"/>
                <w:w w:val="92"/>
                <w:vertAlign w:val="superscript"/>
              </w:rPr>
              <w:t>[5]</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(Loss)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Margin</w:t>
            </w:r>
          </w:p>
        </w:tc>
      </w:tr>
      <w:tr>
        <w:trPr>
          <w:trHeight w:val="210"/>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7.4 % </w:t>
            </w: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8.0 %</w:t>
            </w:r>
          </w:p>
        </w:tc>
      </w:tr>
      <w:tr>
        <w:trPr>
          <w:trHeight w:val="214"/>
        </w:trPr>
        <w:tc>
          <w:tcPr>
            <w:tcW w:w="3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HOME APPLIANCES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5.4 %</w:t>
            </w:r>
          </w:p>
        </w:tc>
      </w:tr>
      <w:tr>
        <w:trPr>
          <w:trHeight w:val="218"/>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HOME SOLUTIONS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14.5 %</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16.4 %</w:t>
            </w:r>
          </w:p>
        </w:tc>
      </w:tr>
      <w:tr>
        <w:trPr>
          <w:trHeight w:val="210"/>
        </w:trPr>
        <w:tc>
          <w:tcPr>
            <w:tcW w:w="33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HOME AND COMMERCIAL SOLUTIONS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9.3 %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10.5 %</w:t>
            </w:r>
          </w:p>
        </w:tc>
      </w:tr>
      <w:tr>
        <w:trPr>
          <w:trHeight w:val="148"/>
        </w:trPr>
        <w:tc>
          <w:tcPr>
            <w:tcW w:w="3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1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LEARNING AND DEVELOPMENT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23.0 %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23.2 %</w:t>
            </w:r>
          </w:p>
        </w:tc>
      </w:tr>
      <w:tr>
        <w:trPr>
          <w:trHeight w:val="21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OUTDOOR AND RECREATION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6.9 %</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8.7 %</w:t>
            </w:r>
          </w:p>
        </w:tc>
      </w:tr>
      <w:tr>
        <w:trPr>
          <w:trHeight w:val="214"/>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r>
      <w:tr>
        <w:trPr>
          <w:trHeight w:val="218"/>
        </w:trPr>
        <w:tc>
          <w:tcPr>
            <w:tcW w:w="3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2,787</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11.3 %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12.6 %</w:t>
            </w:r>
          </w:p>
        </w:tc>
      </w:tr>
    </w:tbl>
    <w:p>
      <w:pPr>
        <w:sectPr>
          <w:pgSz w:w="11900" w:h="16838" w:orient="portrait"/>
          <w:cols w:equalWidth="0" w:num="1">
            <w:col w:w="10800"/>
          </w:cols>
          <w:pgMar w:left="540" w:top="446" w:right="559" w:bottom="1440" w:gutter="0" w:footer="0" w:header="0"/>
        </w:sectPr>
      </w:pPr>
    </w:p>
    <w:bookmarkStart w:id="6" w:name="page7"/>
    <w:bookmarkEnd w:id="6"/>
    <w:p>
      <w:pPr>
        <w:jc w:val="center"/>
        <w:ind w:right="-196"/>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32" w:lineRule="exact"/>
        <w:rPr>
          <w:sz w:val="20"/>
          <w:szCs w:val="20"/>
          <w:color w:val="auto"/>
        </w:rPr>
      </w:pPr>
    </w:p>
    <w:p>
      <w:pPr>
        <w:jc w:val="center"/>
        <w:ind w:right="-196"/>
        <w:spacing w:after="0"/>
        <w:rPr>
          <w:sz w:val="20"/>
          <w:szCs w:val="20"/>
          <w:color w:val="auto"/>
        </w:rPr>
      </w:pPr>
      <w:r>
        <w:rPr>
          <w:rFonts w:ascii="Times New Roman" w:cs="Times New Roman" w:eastAsia="Times New Roman" w:hAnsi="Times New Roman"/>
          <w:sz w:val="22"/>
          <w:szCs w:val="22"/>
          <w:color w:val="auto"/>
        </w:rPr>
        <w:t>FINANCIAL WORKSHEET - SEGMENT REPORTING</w:t>
      </w:r>
    </w:p>
    <w:p>
      <w:pPr>
        <w:spacing w:after="0" w:line="4" w:lineRule="exact"/>
        <w:rPr>
          <w:sz w:val="20"/>
          <w:szCs w:val="20"/>
          <w:color w:val="auto"/>
        </w:rPr>
      </w:pPr>
    </w:p>
    <w:p>
      <w:pPr>
        <w:jc w:val="center"/>
        <w:ind w:right="-196"/>
        <w:spacing w:after="0"/>
        <w:rPr>
          <w:sz w:val="20"/>
          <w:szCs w:val="20"/>
          <w:color w:val="auto"/>
        </w:rPr>
      </w:pPr>
      <w:r>
        <w:rPr>
          <w:rFonts w:ascii="Times New Roman" w:cs="Times New Roman" w:eastAsia="Times New Roman" w:hAnsi="Times New Roman"/>
          <w:sz w:val="22"/>
          <w:szCs w:val="22"/>
          <w:i w:val="1"/>
          <w:iCs w:val="1"/>
          <w:color w:val="auto"/>
        </w:rPr>
        <w:t>(Amounts in millions)</w:t>
      </w:r>
    </w:p>
    <w:p>
      <w:pPr>
        <w:spacing w:after="0" w:line="32" w:lineRule="exact"/>
        <w:rPr>
          <w:sz w:val="20"/>
          <w:szCs w:val="20"/>
          <w:color w:val="auto"/>
        </w:rPr>
      </w:pPr>
    </w:p>
    <w:tbl>
      <w:tblPr>
        <w:tblLayout w:type="fixed"/>
        <w:tblInd w:w="217"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6"/>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December 31, 2021</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07"/>
        </w:trPr>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As Reported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As Adjusted</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080" w:type="dxa"/>
            <w:vAlign w:val="bottom"/>
          </w:tcPr>
          <w:p>
            <w:pPr>
              <w:spacing w:after="0"/>
              <w:rPr>
                <w:sz w:val="17"/>
                <w:szCs w:val="17"/>
                <w:color w:val="auto"/>
              </w:rPr>
            </w:pPr>
          </w:p>
        </w:tc>
      </w:tr>
      <w:tr>
        <w:trPr>
          <w:trHeight w:val="216"/>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Operating</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Impact of</w:t>
            </w:r>
          </w:p>
        </w:tc>
        <w:tc>
          <w:tcPr>
            <w:tcW w:w="12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Operating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Adjusted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Operating</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Normalized</w:t>
            </w:r>
          </w:p>
        </w:tc>
      </w:tr>
      <w:tr>
        <w:trPr>
          <w:trHeight w:val="211"/>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Pr>
          <w:p>
            <w:pPr>
              <w:spacing w:after="0"/>
              <w:rPr>
                <w:sz w:val="18"/>
                <w:szCs w:val="18"/>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Change to</w:t>
            </w:r>
          </w:p>
        </w:tc>
        <w:tc>
          <w:tcPr>
            <w:tcW w:w="12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Income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6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Income</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r>
      <w:tr>
        <w:trPr>
          <w:trHeight w:val="227"/>
        </w:trPr>
        <w:tc>
          <w:tcPr>
            <w:tcW w:w="3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line="227" w:lineRule="exact"/>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[2]</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(Loss)</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Margin</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9"/>
              <w:spacing w:after="0" w:line="227" w:lineRule="exact"/>
              <w:rPr>
                <w:sz w:val="20"/>
                <w:szCs w:val="20"/>
                <w:color w:val="auto"/>
              </w:rPr>
            </w:pPr>
            <w:r>
              <w:rPr>
                <w:rFonts w:ascii="Times New Roman" w:cs="Times New Roman" w:eastAsia="Times New Roman" w:hAnsi="Times New Roman"/>
                <w:sz w:val="16"/>
                <w:szCs w:val="16"/>
                <w:color w:val="auto"/>
                <w:w w:val="92"/>
              </w:rPr>
              <w:t xml:space="preserve">Items </w:t>
            </w:r>
            <w:r>
              <w:rPr>
                <w:rFonts w:ascii="Times New Roman" w:cs="Times New Roman" w:eastAsia="Times New Roman" w:hAnsi="Times New Roman"/>
                <w:sz w:val="21"/>
                <w:szCs w:val="21"/>
                <w:color w:val="auto"/>
                <w:w w:val="92"/>
                <w:vertAlign w:val="superscript"/>
              </w:rPr>
              <w:t>[6]</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7"/>
              </w:rPr>
              <w:t>(Loss)</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Margin</w:t>
            </w:r>
          </w:p>
        </w:tc>
      </w:tr>
      <w:tr>
        <w:trPr>
          <w:trHeight w:val="210"/>
        </w:trPr>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2.0 % </w:t>
            </w: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9.1 %</w:t>
            </w:r>
          </w:p>
        </w:tc>
      </w:tr>
      <w:tr>
        <w:trPr>
          <w:trHeight w:val="214"/>
        </w:trPr>
        <w:tc>
          <w:tcPr>
            <w:tcW w:w="3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HOME APPLIANCES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6.5 %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7.6 %</w:t>
            </w:r>
          </w:p>
        </w:tc>
      </w:tr>
      <w:tr>
        <w:trPr>
          <w:trHeight w:val="218"/>
        </w:trPr>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HOME SOLUTIONS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16.3 %</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17.5 %</w:t>
            </w:r>
          </w:p>
        </w:tc>
      </w:tr>
      <w:tr>
        <w:trPr>
          <w:trHeight w:val="209"/>
        </w:trPr>
        <w:tc>
          <w:tcPr>
            <w:tcW w:w="33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HOME AND COMMERCIAL SOLUTIONS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9.4 %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12.2 %</w:t>
            </w:r>
          </w:p>
        </w:tc>
      </w:tr>
      <w:tr>
        <w:trPr>
          <w:trHeight w:val="149"/>
        </w:trPr>
        <w:tc>
          <w:tcPr>
            <w:tcW w:w="3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14"/>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LEARNING AND DEVELOPMENT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10.9 %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15.3 %</w:t>
            </w:r>
          </w:p>
        </w:tc>
      </w:tr>
      <w:tr>
        <w:trPr>
          <w:trHeight w:val="21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OUTDOOR AND RECREATION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2.6 %</w:t>
            </w:r>
          </w:p>
        </w:tc>
      </w:tr>
      <w:tr>
        <w:trPr>
          <w:trHeight w:val="214"/>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r>
      <w:tr>
        <w:trPr>
          <w:trHeight w:val="218"/>
        </w:trPr>
        <w:tc>
          <w:tcPr>
            <w:tcW w:w="3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6.1 %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10.0 %</w:t>
            </w:r>
          </w:p>
        </w:tc>
      </w:tr>
      <w:tr>
        <w:trPr>
          <w:trHeight w:val="348"/>
        </w:trPr>
        <w:tc>
          <w:tcPr>
            <w:tcW w:w="3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6"/>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Twelve Months Ended December 31, 2021</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07"/>
        </w:trPr>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As Reported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As Adjusted</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080" w:type="dxa"/>
            <w:vAlign w:val="bottom"/>
          </w:tcPr>
          <w:p>
            <w:pPr>
              <w:spacing w:after="0"/>
              <w:rPr>
                <w:sz w:val="17"/>
                <w:szCs w:val="17"/>
                <w:color w:val="auto"/>
              </w:rPr>
            </w:pPr>
          </w:p>
        </w:tc>
      </w:tr>
      <w:tr>
        <w:trPr>
          <w:trHeight w:val="216"/>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Operating</w:t>
            </w: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Impact of</w:t>
            </w:r>
          </w:p>
        </w:tc>
        <w:tc>
          <w:tcPr>
            <w:tcW w:w="12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Operating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Adjusted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Operating</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Normalized</w:t>
            </w:r>
          </w:p>
        </w:tc>
      </w:tr>
      <w:tr>
        <w:trPr>
          <w:trHeight w:val="211"/>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Pr>
          <w:p>
            <w:pPr>
              <w:spacing w:after="0"/>
              <w:rPr>
                <w:sz w:val="18"/>
                <w:szCs w:val="18"/>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Change to</w:t>
            </w:r>
          </w:p>
        </w:tc>
        <w:tc>
          <w:tcPr>
            <w:tcW w:w="12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Income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Normalized</w:t>
            </w:r>
          </w:p>
        </w:tc>
        <w:tc>
          <w:tcPr>
            <w:tcW w:w="16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Income</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Operating</w:t>
            </w:r>
          </w:p>
        </w:tc>
      </w:tr>
      <w:tr>
        <w:trPr>
          <w:trHeight w:val="227"/>
        </w:trPr>
        <w:tc>
          <w:tcPr>
            <w:tcW w:w="3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line="227" w:lineRule="exact"/>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[2]</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(Loss)</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Margin</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9"/>
              <w:spacing w:after="0" w:line="227" w:lineRule="exact"/>
              <w:rPr>
                <w:sz w:val="20"/>
                <w:szCs w:val="20"/>
                <w:color w:val="auto"/>
              </w:rPr>
            </w:pPr>
            <w:r>
              <w:rPr>
                <w:rFonts w:ascii="Times New Roman" w:cs="Times New Roman" w:eastAsia="Times New Roman" w:hAnsi="Times New Roman"/>
                <w:sz w:val="16"/>
                <w:szCs w:val="16"/>
                <w:color w:val="auto"/>
                <w:w w:val="92"/>
              </w:rPr>
              <w:t xml:space="preserve">Items </w:t>
            </w:r>
            <w:r>
              <w:rPr>
                <w:rFonts w:ascii="Times New Roman" w:cs="Times New Roman" w:eastAsia="Times New Roman" w:hAnsi="Times New Roman"/>
                <w:sz w:val="21"/>
                <w:szCs w:val="21"/>
                <w:color w:val="auto"/>
                <w:w w:val="92"/>
                <w:vertAlign w:val="superscript"/>
              </w:rPr>
              <w:t>[7]</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7"/>
              </w:rPr>
              <w:t>(Loss)</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Margin</w:t>
            </w:r>
          </w:p>
        </w:tc>
      </w:tr>
      <w:tr>
        <w:trPr>
          <w:trHeight w:val="209"/>
        </w:trPr>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8.1 % </w:t>
            </w: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10.5 %</w:t>
            </w:r>
          </w:p>
        </w:tc>
      </w:tr>
      <w:tr>
        <w:trPr>
          <w:trHeight w:val="214"/>
        </w:trPr>
        <w:tc>
          <w:tcPr>
            <w:tcW w:w="3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HOME APPLIANCES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5.3 %</w:t>
            </w:r>
          </w:p>
        </w:tc>
      </w:tr>
      <w:tr>
        <w:trPr>
          <w:trHeight w:val="218"/>
        </w:trPr>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HOME SOLUTIONS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14.1 %</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16.1 %</w:t>
            </w:r>
          </w:p>
        </w:tc>
      </w:tr>
      <w:tr>
        <w:trPr>
          <w:trHeight w:val="209"/>
        </w:trPr>
        <w:tc>
          <w:tcPr>
            <w:tcW w:w="33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HOME AND COMMERCIAL SOLUTIONS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9.3 %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11.2 %</w:t>
            </w:r>
          </w:p>
        </w:tc>
      </w:tr>
      <w:tr>
        <w:trPr>
          <w:trHeight w:val="148"/>
        </w:trPr>
        <w:tc>
          <w:tcPr>
            <w:tcW w:w="3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14"/>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LEARNING AND DEVELOPMENT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19.8 %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21.1 %</w:t>
            </w:r>
          </w:p>
        </w:tc>
      </w:tr>
      <w:tr>
        <w:trPr>
          <w:trHeight w:val="21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OUTDOOR AND RECREATION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6.1 %</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7.7 %</w:t>
            </w:r>
          </w:p>
        </w:tc>
      </w:tr>
      <w:tr>
        <w:trPr>
          <w:trHeight w:val="214"/>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r>
      <w:tr>
        <w:trPr>
          <w:trHeight w:val="218"/>
        </w:trPr>
        <w:tc>
          <w:tcPr>
            <w:tcW w:w="3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10,589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9.6 %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11.7 %</w:t>
            </w:r>
          </w:p>
        </w:tc>
      </w:tr>
    </w:tbl>
    <w:p>
      <w:pPr>
        <w:spacing w:after="0" w:line="310" w:lineRule="exact"/>
        <w:rPr>
          <w:sz w:val="20"/>
          <w:szCs w:val="20"/>
          <w:color w:val="auto"/>
        </w:rPr>
      </w:pPr>
    </w:p>
    <w:p>
      <w:pPr>
        <w:ind w:left="317" w:right="120" w:hanging="317"/>
        <w:spacing w:after="0" w:line="267" w:lineRule="auto"/>
        <w:tabs>
          <w:tab w:leader="none" w:pos="31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2023, the Company will combine its previously reported Commercial Solutions, Home Appliances and Home Solutions segments into one operating segment, Home and Commercial Solutions.</w:t>
      </w:r>
    </w:p>
    <w:p>
      <w:pPr>
        <w:ind w:left="317" w:right="120" w:hanging="317"/>
        <w:spacing w:after="0" w:line="248" w:lineRule="auto"/>
        <w:tabs>
          <w:tab w:leader="none" w:pos="31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impact of the Company's election to change its method of accounting for certain inventory in the U.S. from the last-in, first-out (“LIFO”) method to first-in, first-out (“FIFO”) method.</w:t>
      </w:r>
    </w:p>
    <w:p>
      <w:pPr>
        <w:spacing w:after="0" w:line="1" w:lineRule="exact"/>
        <w:rPr>
          <w:rFonts w:ascii="Times New Roman" w:cs="Times New Roman" w:eastAsia="Times New Roman" w:hAnsi="Times New Roman"/>
          <w:sz w:val="16"/>
          <w:szCs w:val="16"/>
          <w:color w:val="auto"/>
        </w:rPr>
      </w:pPr>
    </w:p>
    <w:p>
      <w:pPr>
        <w:jc w:val="both"/>
        <w:ind w:left="317" w:right="120" w:hanging="317"/>
        <w:spacing w:after="0" w:line="256" w:lineRule="auto"/>
        <w:tabs>
          <w:tab w:leader="none" w:pos="31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March 31, 2021 normalized items consist of $21 million of acquisition amortization costs; $13 million of restructuring and restructuring-related charges; $3 million of expenses for certain legal proceedings and divestiture costs related to completed divestitures and $1 million related to Argentina hyperinflationary adjustment.</w:t>
      </w:r>
    </w:p>
    <w:p>
      <w:pPr>
        <w:spacing w:after="0" w:line="1" w:lineRule="exact"/>
        <w:rPr>
          <w:rFonts w:ascii="Times New Roman" w:cs="Times New Roman" w:eastAsia="Times New Roman" w:hAnsi="Times New Roman"/>
          <w:sz w:val="16"/>
          <w:szCs w:val="16"/>
          <w:color w:val="auto"/>
        </w:rPr>
      </w:pPr>
    </w:p>
    <w:p>
      <w:pPr>
        <w:jc w:val="both"/>
        <w:ind w:left="317" w:right="120" w:hanging="317"/>
        <w:spacing w:after="0" w:line="252" w:lineRule="auto"/>
        <w:tabs>
          <w:tab w:leader="none" w:pos="31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June 30, 2021 normalized items consist of $19 million of acquisition amortization costs; $8 million of restructuring and restructuring-related charges; $6 million of expenses for certain legal proceedings; $2 million of costs releated to completed divestitures and $1 million related to Argentina hyperinflationary adjustment.</w:t>
      </w:r>
    </w:p>
    <w:p>
      <w:pPr>
        <w:ind w:left="317" w:right="120" w:hanging="317"/>
        <w:spacing w:after="0" w:line="255" w:lineRule="auto"/>
        <w:tabs>
          <w:tab w:leader="none" w:pos="31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September 30, 2021 normalized items consist of $19 million of acquisition amortization costs; $13 million of restructuring and restructuring-related charges; $3 million of expenses for certain legal proceedings and $1 million related to Argentina hyperinflationary adjustment.</w:t>
      </w:r>
    </w:p>
    <w:p>
      <w:pPr>
        <w:jc w:val="both"/>
        <w:ind w:left="317" w:right="120" w:hanging="317"/>
        <w:spacing w:after="0" w:line="252" w:lineRule="auto"/>
        <w:tabs>
          <w:tab w:leader="none" w:pos="31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December 31, 2021 normalized items consist of $60 million of non-cash impairment charges for indefinite-lived intangible assets in the Commercial Solutions and Learning and Development segments; $19 million of acquisition amortization costs; $12 million of restructuring and restructuring-related charges; $18 million of costs related to completed divestitures and $2 million of expenses for certain legal proceedings.</w:t>
      </w:r>
    </w:p>
    <w:p>
      <w:pPr>
        <w:jc w:val="both"/>
        <w:ind w:left="317" w:right="120" w:hanging="317"/>
        <w:spacing w:after="0" w:line="256" w:lineRule="auto"/>
        <w:tabs>
          <w:tab w:leader="none" w:pos="31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twelve months ended December 31, 2021 normalized items consist of $78 million of acquisition amortization costs; $60 million of non-cash impairment charges for indefinite-lived intangible assets in the Commercial Solutions and Learning and Development segments; $46 million of restructuring and restructuring-related charges; $21 million of costs related to completed divestitures; $14 million of expenses for certain legal proceedings and $2 million related to Argentina hyperinflationary adjustment.</w:t>
      </w:r>
    </w:p>
    <w:p>
      <w:pPr>
        <w:sectPr>
          <w:pgSz w:w="11900" w:h="16838" w:orient="portrait"/>
          <w:cols w:equalWidth="0" w:num="1">
            <w:col w:w="11157"/>
          </w:cols>
          <w:pgMar w:left="263" w:top="446" w:right="4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 OF OPERATIONS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(Amounts in millions, except per share data)</w:t>
      </w:r>
    </w:p>
    <w:p>
      <w:pPr>
        <w:spacing w:after="0" w:line="25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b w:val="1"/>
          <w:bCs w:val="1"/>
          <w:color w:val="auto"/>
        </w:rPr>
        <w:t>For the three months ended March 31,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As Reported</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Impact of</w:t>
            </w: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As</w:t>
            </w:r>
          </w:p>
        </w:tc>
        <w:tc>
          <w:tcPr>
            <w:tcW w:w="3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color w:val="auto"/>
              </w:rPr>
              <w:t>Non-GAAP</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Under</w:t>
            </w:r>
          </w:p>
        </w:tc>
        <w:tc>
          <w:tcPr>
            <w:tcW w:w="14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Impact of</w:t>
            </w:r>
          </w:p>
        </w:tc>
        <w:tc>
          <w:tcPr>
            <w:tcW w:w="14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Change to</w:t>
            </w:r>
          </w:p>
        </w:tc>
        <w:tc>
          <w:tcPr>
            <w:tcW w:w="16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Adjusted</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Normalization</w:t>
            </w:r>
          </w:p>
        </w:tc>
        <w:tc>
          <w:tcPr>
            <w:tcW w:w="160" w:type="dxa"/>
            <w:vAlign w:val="bottom"/>
          </w:tcPr>
          <w:p>
            <w:pPr>
              <w:spacing w:after="0"/>
              <w:rPr>
                <w:sz w:val="18"/>
                <w:szCs w:val="18"/>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6"/>
                <w:szCs w:val="16"/>
                <w:color w:val="auto"/>
              </w:rPr>
              <w:t>Measure</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2"/>
              </w:rPr>
              <w:t xml:space="preserve">LIFO </w:t>
            </w:r>
            <w:r>
              <w:rPr>
                <w:rFonts w:ascii="Times New Roman" w:cs="Times New Roman" w:eastAsia="Times New Roman" w:hAnsi="Times New Roman"/>
                <w:sz w:val="21"/>
                <w:szCs w:val="21"/>
                <w:color w:val="auto"/>
                <w:w w:val="92"/>
                <w:vertAlign w:val="superscript"/>
              </w:rPr>
              <w:t>[1]</w:t>
            </w:r>
          </w:p>
        </w:tc>
        <w:tc>
          <w:tcPr>
            <w:tcW w:w="14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w w:val="95"/>
              </w:rPr>
              <w:t xml:space="preserve">Revision </w:t>
            </w:r>
            <w:r>
              <w:rPr>
                <w:rFonts w:ascii="Times New Roman" w:cs="Times New Roman" w:eastAsia="Times New Roman" w:hAnsi="Times New Roman"/>
                <w:sz w:val="21"/>
                <w:szCs w:val="21"/>
                <w:color w:val="auto"/>
                <w:w w:val="95"/>
                <w:vertAlign w:val="superscript"/>
              </w:rPr>
              <w:t>[2]</w:t>
            </w:r>
          </w:p>
        </w:tc>
        <w:tc>
          <w:tcPr>
            <w:tcW w:w="140" w:type="dxa"/>
            <w:vAlign w:val="bottom"/>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[3]</w:t>
            </w:r>
          </w:p>
        </w:tc>
        <w:tc>
          <w:tcPr>
            <w:tcW w:w="160" w:type="dxa"/>
            <w:vAlign w:val="bottom"/>
          </w:tcPr>
          <w:p>
            <w:pPr>
              <w:spacing w:after="0"/>
              <w:rPr>
                <w:sz w:val="14"/>
                <w:szCs w:val="14"/>
                <w:color w:val="auto"/>
              </w:rPr>
            </w:pPr>
          </w:p>
        </w:tc>
        <w:tc>
          <w:tcPr>
            <w:tcW w:w="1020" w:type="dxa"/>
            <w:vAlign w:val="bottom"/>
            <w:gridSpan w:val="2"/>
          </w:tcPr>
          <w:p>
            <w:pPr>
              <w:jc w:val="center"/>
              <w:ind w:right="340"/>
              <w:spacing w:after="0" w:line="168" w:lineRule="exact"/>
              <w:rPr>
                <w:sz w:val="20"/>
                <w:szCs w:val="20"/>
                <w:color w:val="auto"/>
              </w:rPr>
            </w:pPr>
            <w:r>
              <w:rPr>
                <w:rFonts w:ascii="Times New Roman" w:cs="Times New Roman" w:eastAsia="Times New Roman" w:hAnsi="Times New Roman"/>
                <w:sz w:val="16"/>
                <w:szCs w:val="16"/>
                <w:color w:val="auto"/>
              </w:rPr>
              <w:t>GAAP</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[5]</w:t>
            </w:r>
          </w:p>
        </w:tc>
        <w:tc>
          <w:tcPr>
            <w:tcW w:w="160" w:type="dxa"/>
            <w:vAlign w:val="bottom"/>
          </w:tcPr>
          <w:p>
            <w:pPr>
              <w:spacing w:after="0"/>
              <w:rPr>
                <w:sz w:val="14"/>
                <w:szCs w:val="14"/>
                <w:color w:val="auto"/>
              </w:rPr>
            </w:pPr>
          </w:p>
        </w:tc>
        <w:tc>
          <w:tcPr>
            <w:tcW w:w="1000" w:type="dxa"/>
            <w:vAlign w:val="bottom"/>
            <w:vMerge w:val="restart"/>
          </w:tcPr>
          <w:p>
            <w:pPr>
              <w:jc w:val="center"/>
              <w:ind w:right="58"/>
              <w:spacing w:after="0"/>
              <w:rPr>
                <w:sz w:val="20"/>
                <w:szCs w:val="20"/>
                <w:color w:val="auto"/>
              </w:rPr>
            </w:pPr>
            <w:r>
              <w:rPr>
                <w:rFonts w:ascii="Times New Roman" w:cs="Times New Roman" w:eastAsia="Times New Roman" w:hAnsi="Times New Roman"/>
                <w:sz w:val="16"/>
                <w:szCs w:val="16"/>
                <w:color w:val="auto"/>
              </w:rPr>
              <w:t>Normalized</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Measure</w:t>
            </w:r>
          </w:p>
        </w:tc>
        <w:tc>
          <w:tcPr>
            <w:tcW w:w="120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2,388</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2,388</w:t>
            </w: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2,388</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Cost of products sold</w:t>
            </w:r>
          </w:p>
        </w:tc>
        <w:tc>
          <w:tcPr>
            <w:tcW w:w="160" w:type="dxa"/>
            <w:vAlign w:val="bottom"/>
          </w:tcPr>
          <w:p>
            <w:pPr>
              <w:spacing w:after="0"/>
              <w:rPr>
                <w:sz w:val="23"/>
                <w:szCs w:val="23"/>
                <w:color w:val="auto"/>
              </w:rPr>
            </w:pPr>
          </w:p>
        </w:tc>
        <w:tc>
          <w:tcPr>
            <w:tcW w:w="100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rPr>
              <w:t>1,648</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1,648</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1,642</w:t>
            </w:r>
          </w:p>
        </w:tc>
        <w:tc>
          <w:tcPr>
            <w:tcW w:w="0" w:type="dxa"/>
            <w:vAlign w:val="bottom"/>
          </w:tcPr>
          <w:p>
            <w:pPr>
              <w:spacing w:after="0"/>
              <w:rPr>
                <w:sz w:val="1"/>
                <w:szCs w:val="1"/>
                <w:color w:val="auto"/>
              </w:rPr>
            </w:pPr>
          </w:p>
        </w:tc>
      </w:tr>
      <w:tr>
        <w:trPr>
          <w:trHeight w:val="26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740</w:t>
            </w: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740</w:t>
            </w:r>
          </w:p>
        </w:tc>
        <w:tc>
          <w:tcPr>
            <w:tcW w:w="1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746</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31.0 %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31.2 %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Selling, general and administrative expenses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518</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518</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492</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21.7 %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20.6 %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Restructuring costs,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5</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income</w:t>
            </w: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22"/>
                <w:szCs w:val="22"/>
                <w:b w:val="1"/>
                <w:bCs w:val="1"/>
                <w:color w:val="auto"/>
              </w:rPr>
              <w:t>217</w:t>
            </w:r>
          </w:p>
        </w:tc>
        <w:tc>
          <w:tcPr>
            <w:tcW w:w="1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22"/>
                <w:szCs w:val="22"/>
                <w:b w:val="1"/>
                <w:bCs w:val="1"/>
                <w:color w:val="auto"/>
              </w:rPr>
              <w:t>—</w:t>
            </w:r>
          </w:p>
        </w:tc>
        <w:tc>
          <w:tcPr>
            <w:tcW w:w="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217</w:t>
            </w:r>
          </w:p>
        </w:tc>
        <w:tc>
          <w:tcPr>
            <w:tcW w:w="1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37</w:t>
            </w:r>
          </w:p>
        </w:tc>
        <w:tc>
          <w:tcPr>
            <w:tcW w:w="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254</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0070C0"/>
              </w:rPr>
              <w:t>9.1 %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0070C0"/>
              </w:rPr>
              <w:t>10.6 %</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Non-operating expenses: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Interest expense, net</w:t>
            </w:r>
          </w:p>
        </w:tc>
        <w:tc>
          <w:tcPr>
            <w:tcW w:w="160" w:type="dxa"/>
            <w:vAlign w:val="bottom"/>
          </w:tcPr>
          <w:p>
            <w:pPr>
              <w:spacing w:after="0"/>
              <w:rPr>
                <w:sz w:val="23"/>
                <w:szCs w:val="23"/>
                <w:color w:val="auto"/>
              </w:rPr>
            </w:pPr>
          </w:p>
        </w:tc>
        <w:tc>
          <w:tcPr>
            <w:tcW w:w="100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rPr>
              <w:t>59</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59</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Other (income) expense,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22"/>
                <w:szCs w:val="22"/>
                <w:color w:val="auto"/>
              </w:rPr>
              <w:t>(124)</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(118)</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129</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64"/>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Income (loss) before income taxes</w:t>
            </w: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22"/>
                <w:szCs w:val="22"/>
                <w:b w:val="1"/>
                <w:bCs w:val="1"/>
                <w:color w:val="auto"/>
              </w:rPr>
              <w:t>282</w:t>
            </w:r>
          </w:p>
        </w:tc>
        <w:tc>
          <w:tcPr>
            <w:tcW w:w="1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w:t>
            </w: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22"/>
                <w:szCs w:val="22"/>
                <w:b w:val="1"/>
                <w:bCs w:val="1"/>
                <w:color w:val="auto"/>
              </w:rPr>
              <w:t>—</w:t>
            </w:r>
          </w:p>
        </w:tc>
        <w:tc>
          <w:tcPr>
            <w:tcW w:w="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276</w:t>
            </w:r>
          </w:p>
        </w:tc>
        <w:tc>
          <w:tcPr>
            <w:tcW w:w="1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(92)</w:t>
            </w:r>
          </w:p>
        </w:tc>
        <w:tc>
          <w:tcPr>
            <w:tcW w:w="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184</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Income tax provision (benefit) </w:t>
            </w:r>
            <w:r>
              <w:rPr>
                <w:rFonts w:ascii="Times New Roman" w:cs="Times New Roman" w:eastAsia="Times New Roman" w:hAnsi="Times New Roman"/>
                <w:sz w:val="28"/>
                <w:szCs w:val="28"/>
                <w:color w:val="auto"/>
                <w:vertAlign w:val="superscript"/>
              </w:rPr>
              <w:t>[4]</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48</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6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22"/>
                <w:szCs w:val="22"/>
                <w:b w:val="1"/>
                <w:bCs w:val="1"/>
                <w:color w:val="auto"/>
              </w:rPr>
              <w:t>234</w:t>
            </w:r>
          </w:p>
        </w:tc>
        <w:tc>
          <w:tcPr>
            <w:tcW w:w="1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w:t>
            </w:r>
          </w:p>
        </w:tc>
        <w:tc>
          <w:tcPr>
            <w:tcW w:w="1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22"/>
                <w:szCs w:val="22"/>
                <w:b w:val="1"/>
                <w:bCs w:val="1"/>
                <w:color w:val="auto"/>
              </w:rPr>
              <w:t>—</w:t>
            </w: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228</w:t>
            </w:r>
          </w:p>
        </w:tc>
        <w:tc>
          <w:tcPr>
            <w:tcW w:w="18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(79)</w:t>
            </w: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149</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Weighted average common shares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outstanding:</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421.9</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421.9</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421.9</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tcPr>
          <w:p>
            <w:pPr>
              <w:spacing w:after="0"/>
              <w:rPr>
                <w:sz w:val="23"/>
                <w:szCs w:val="23"/>
                <w:color w:val="auto"/>
              </w:rPr>
            </w:pPr>
          </w:p>
        </w:tc>
        <w:tc>
          <w:tcPr>
            <w:tcW w:w="100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rPr>
              <w:t>424.7</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424.7</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424.7</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Earnings (loss) per share:</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0.55</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0.54</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0.35</w:t>
            </w:r>
          </w:p>
        </w:tc>
        <w:tc>
          <w:tcPr>
            <w:tcW w:w="0" w:type="dxa"/>
            <w:vAlign w:val="bottom"/>
          </w:tcPr>
          <w:p>
            <w:pPr>
              <w:spacing w:after="0"/>
              <w:rPr>
                <w:sz w:val="1"/>
                <w:szCs w:val="1"/>
                <w:color w:val="auto"/>
              </w:rPr>
            </w:pPr>
          </w:p>
        </w:tc>
      </w:tr>
      <w:tr>
        <w:trPr>
          <w:trHeight w:val="282"/>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rPr>
              <w:t>0.55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0.35</w:t>
            </w:r>
          </w:p>
        </w:tc>
        <w:tc>
          <w:tcPr>
            <w:tcW w:w="0" w:type="dxa"/>
            <w:vAlign w:val="bottom"/>
          </w:tcPr>
          <w:p>
            <w:pPr>
              <w:spacing w:after="0"/>
              <w:rPr>
                <w:sz w:val="1"/>
                <w:szCs w:val="1"/>
                <w:color w:val="auto"/>
              </w:rPr>
            </w:pPr>
          </w:p>
        </w:tc>
      </w:tr>
    </w:tbl>
    <w:p>
      <w:pPr>
        <w:sectPr>
          <w:pgSz w:w="11900" w:h="16838" w:orient="portrait"/>
          <w:cols w:equalWidth="0" w:num="1">
            <w:col w:w="11200"/>
          </w:cols>
          <w:pgMar w:left="340" w:top="770"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 OF OPERATIONS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(Amounts in millions, except per share data)</w:t>
      </w:r>
    </w:p>
    <w:p>
      <w:pPr>
        <w:spacing w:after="0" w:line="25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For the three months ended June 30,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As Reported</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Impact of</w:t>
            </w: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As</w:t>
            </w:r>
          </w:p>
        </w:tc>
        <w:tc>
          <w:tcPr>
            <w:tcW w:w="3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color w:val="auto"/>
              </w:rPr>
              <w:t>Non-GAAP</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Under</w:t>
            </w:r>
          </w:p>
        </w:tc>
        <w:tc>
          <w:tcPr>
            <w:tcW w:w="14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Impact of</w:t>
            </w:r>
          </w:p>
        </w:tc>
        <w:tc>
          <w:tcPr>
            <w:tcW w:w="14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Change to</w:t>
            </w:r>
          </w:p>
        </w:tc>
        <w:tc>
          <w:tcPr>
            <w:tcW w:w="16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Adjusted</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Normalization</w:t>
            </w:r>
          </w:p>
        </w:tc>
        <w:tc>
          <w:tcPr>
            <w:tcW w:w="160" w:type="dxa"/>
            <w:vAlign w:val="bottom"/>
          </w:tcPr>
          <w:p>
            <w:pPr>
              <w:spacing w:after="0"/>
              <w:rPr>
                <w:sz w:val="18"/>
                <w:szCs w:val="18"/>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6"/>
                <w:szCs w:val="16"/>
                <w:color w:val="auto"/>
              </w:rPr>
              <w:t>Measure</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2"/>
              </w:rPr>
              <w:t xml:space="preserve">LIFO </w:t>
            </w:r>
            <w:r>
              <w:rPr>
                <w:rFonts w:ascii="Times New Roman" w:cs="Times New Roman" w:eastAsia="Times New Roman" w:hAnsi="Times New Roman"/>
                <w:sz w:val="21"/>
                <w:szCs w:val="21"/>
                <w:color w:val="auto"/>
                <w:w w:val="92"/>
                <w:vertAlign w:val="superscript"/>
              </w:rPr>
              <w:t>[1]</w:t>
            </w:r>
          </w:p>
        </w:tc>
        <w:tc>
          <w:tcPr>
            <w:tcW w:w="14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w w:val="95"/>
              </w:rPr>
              <w:t xml:space="preserve">Revision </w:t>
            </w:r>
            <w:r>
              <w:rPr>
                <w:rFonts w:ascii="Times New Roman" w:cs="Times New Roman" w:eastAsia="Times New Roman" w:hAnsi="Times New Roman"/>
                <w:sz w:val="21"/>
                <w:szCs w:val="21"/>
                <w:color w:val="auto"/>
                <w:w w:val="95"/>
                <w:vertAlign w:val="superscript"/>
              </w:rPr>
              <w:t>[2]</w:t>
            </w:r>
          </w:p>
        </w:tc>
        <w:tc>
          <w:tcPr>
            <w:tcW w:w="140" w:type="dxa"/>
            <w:vAlign w:val="bottom"/>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[3]</w:t>
            </w:r>
          </w:p>
        </w:tc>
        <w:tc>
          <w:tcPr>
            <w:tcW w:w="160" w:type="dxa"/>
            <w:vAlign w:val="bottom"/>
          </w:tcPr>
          <w:p>
            <w:pPr>
              <w:spacing w:after="0"/>
              <w:rPr>
                <w:sz w:val="14"/>
                <w:szCs w:val="14"/>
                <w:color w:val="auto"/>
              </w:rPr>
            </w:pPr>
          </w:p>
        </w:tc>
        <w:tc>
          <w:tcPr>
            <w:tcW w:w="1020" w:type="dxa"/>
            <w:vAlign w:val="bottom"/>
            <w:gridSpan w:val="2"/>
          </w:tcPr>
          <w:p>
            <w:pPr>
              <w:jc w:val="center"/>
              <w:ind w:right="340"/>
              <w:spacing w:after="0" w:line="168" w:lineRule="exact"/>
              <w:rPr>
                <w:sz w:val="20"/>
                <w:szCs w:val="20"/>
                <w:color w:val="auto"/>
              </w:rPr>
            </w:pPr>
            <w:r>
              <w:rPr>
                <w:rFonts w:ascii="Times New Roman" w:cs="Times New Roman" w:eastAsia="Times New Roman" w:hAnsi="Times New Roman"/>
                <w:sz w:val="16"/>
                <w:szCs w:val="16"/>
                <w:color w:val="auto"/>
              </w:rPr>
              <w:t>GAAP</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[6]</w:t>
            </w:r>
          </w:p>
        </w:tc>
        <w:tc>
          <w:tcPr>
            <w:tcW w:w="160" w:type="dxa"/>
            <w:vAlign w:val="bottom"/>
          </w:tcPr>
          <w:p>
            <w:pPr>
              <w:spacing w:after="0"/>
              <w:rPr>
                <w:sz w:val="14"/>
                <w:szCs w:val="14"/>
                <w:color w:val="auto"/>
              </w:rPr>
            </w:pPr>
          </w:p>
        </w:tc>
        <w:tc>
          <w:tcPr>
            <w:tcW w:w="1000" w:type="dxa"/>
            <w:vAlign w:val="bottom"/>
            <w:vMerge w:val="restart"/>
          </w:tcPr>
          <w:p>
            <w:pPr>
              <w:jc w:val="center"/>
              <w:ind w:right="58"/>
              <w:spacing w:after="0"/>
              <w:rPr>
                <w:sz w:val="20"/>
                <w:szCs w:val="20"/>
                <w:color w:val="auto"/>
              </w:rPr>
            </w:pPr>
            <w:r>
              <w:rPr>
                <w:rFonts w:ascii="Times New Roman" w:cs="Times New Roman" w:eastAsia="Times New Roman" w:hAnsi="Times New Roman"/>
                <w:sz w:val="16"/>
                <w:szCs w:val="16"/>
                <w:color w:val="auto"/>
              </w:rPr>
              <w:t>Normalized</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Measure</w:t>
            </w:r>
          </w:p>
        </w:tc>
        <w:tc>
          <w:tcPr>
            <w:tcW w:w="120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2,534</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gridSpan w:val="2"/>
            <w:shd w:val="clear" w:color="auto" w:fill="CCEEFF"/>
          </w:tcPr>
          <w:p>
            <w:pPr>
              <w:jc w:val="center"/>
              <w:ind w:left="196"/>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2,534</w:t>
            </w: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2,534</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Cost of products sold</w:t>
            </w:r>
          </w:p>
        </w:tc>
        <w:tc>
          <w:tcPr>
            <w:tcW w:w="160" w:type="dxa"/>
            <w:vAlign w:val="bottom"/>
          </w:tcPr>
          <w:p>
            <w:pPr>
              <w:spacing w:after="0"/>
              <w:rPr>
                <w:sz w:val="23"/>
                <w:szCs w:val="23"/>
                <w:color w:val="auto"/>
              </w:rPr>
            </w:pPr>
          </w:p>
        </w:tc>
        <w:tc>
          <w:tcPr>
            <w:tcW w:w="100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rPr>
              <w:t>1,709</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center"/>
              <w:ind w:left="196"/>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1,698</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1,694</w:t>
            </w:r>
          </w:p>
        </w:tc>
        <w:tc>
          <w:tcPr>
            <w:tcW w:w="0" w:type="dxa"/>
            <w:vAlign w:val="bottom"/>
          </w:tcPr>
          <w:p>
            <w:pPr>
              <w:spacing w:after="0"/>
              <w:rPr>
                <w:sz w:val="1"/>
                <w:szCs w:val="1"/>
                <w:color w:val="auto"/>
              </w:rPr>
            </w:pPr>
          </w:p>
        </w:tc>
      </w:tr>
      <w:tr>
        <w:trPr>
          <w:trHeight w:val="26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825</w:t>
            </w: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center"/>
              <w:ind w:left="376"/>
              <w:spacing w:after="0"/>
              <w:rPr>
                <w:sz w:val="20"/>
                <w:szCs w:val="20"/>
                <w:color w:val="auto"/>
              </w:rPr>
            </w:pPr>
            <w:r>
              <w:rPr>
                <w:rFonts w:ascii="Times New Roman" w:cs="Times New Roman" w:eastAsia="Times New Roman" w:hAnsi="Times New Roman"/>
                <w:sz w:val="22"/>
                <w:szCs w:val="22"/>
                <w:color w:val="auto"/>
                <w:w w:val="99"/>
              </w:rPr>
              <w:t>—</w:t>
            </w:r>
          </w:p>
        </w:tc>
        <w:tc>
          <w:tcPr>
            <w:tcW w:w="1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836</w:t>
            </w:r>
          </w:p>
        </w:tc>
        <w:tc>
          <w:tcPr>
            <w:tcW w:w="1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840</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32.6 %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33.1 %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Selling, general and administrative expenses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504</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left="196"/>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504</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485</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19.9 %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19.1 %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Restructuring costs,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4</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left="196"/>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income</w:t>
            </w: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22"/>
                <w:szCs w:val="22"/>
                <w:b w:val="1"/>
                <w:bCs w:val="1"/>
                <w:color w:val="auto"/>
              </w:rPr>
              <w:t>317</w:t>
            </w:r>
          </w:p>
        </w:tc>
        <w:tc>
          <w:tcPr>
            <w:tcW w:w="1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center"/>
              <w:ind w:left="376"/>
              <w:spacing w:after="0"/>
              <w:rPr>
                <w:sz w:val="20"/>
                <w:szCs w:val="20"/>
                <w:color w:val="auto"/>
              </w:rPr>
            </w:pPr>
            <w:r>
              <w:rPr>
                <w:rFonts w:ascii="Times New Roman" w:cs="Times New Roman" w:eastAsia="Times New Roman" w:hAnsi="Times New Roman"/>
                <w:sz w:val="22"/>
                <w:szCs w:val="22"/>
                <w:b w:val="1"/>
                <w:bCs w:val="1"/>
                <w:color w:val="auto"/>
                <w:w w:val="99"/>
              </w:rPr>
              <w:t>—</w:t>
            </w: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w:t>
            </w:r>
          </w:p>
        </w:tc>
        <w:tc>
          <w:tcPr>
            <w:tcW w:w="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328</w:t>
            </w:r>
          </w:p>
        </w:tc>
        <w:tc>
          <w:tcPr>
            <w:tcW w:w="1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27</w:t>
            </w:r>
          </w:p>
        </w:tc>
        <w:tc>
          <w:tcPr>
            <w:tcW w:w="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355</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0070C0"/>
              </w:rPr>
              <w:t>12.5 %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0070C0"/>
              </w:rPr>
              <w:t>14.0 %</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Non-operating expenses: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Interest expense, net</w:t>
            </w:r>
          </w:p>
        </w:tc>
        <w:tc>
          <w:tcPr>
            <w:tcW w:w="160" w:type="dxa"/>
            <w:vAlign w:val="bottom"/>
          </w:tcPr>
          <w:p>
            <w:pPr>
              <w:spacing w:after="0"/>
              <w:rPr>
                <w:sz w:val="23"/>
                <w:szCs w:val="23"/>
                <w:color w:val="auto"/>
              </w:rPr>
            </w:pPr>
          </w:p>
        </w:tc>
        <w:tc>
          <w:tcPr>
            <w:tcW w:w="100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rPr>
              <w:t>55</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center"/>
              <w:ind w:left="196"/>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Other (income) expense,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8</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22"/>
                <w:szCs w:val="22"/>
                <w:color w:val="auto"/>
                <w:w w:val="99"/>
              </w:rPr>
              <w:t>13</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64"/>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Income (loss) before income taxes</w:t>
            </w: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22"/>
                <w:szCs w:val="22"/>
                <w:b w:val="1"/>
                <w:bCs w:val="1"/>
                <w:color w:val="auto"/>
              </w:rPr>
              <w:t>254</w:t>
            </w:r>
          </w:p>
        </w:tc>
        <w:tc>
          <w:tcPr>
            <w:tcW w:w="1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center"/>
              <w:ind w:left="356"/>
              <w:spacing w:after="0"/>
              <w:rPr>
                <w:sz w:val="20"/>
                <w:szCs w:val="20"/>
                <w:color w:val="auto"/>
              </w:rPr>
            </w:pPr>
            <w:r>
              <w:rPr>
                <w:rFonts w:ascii="Times New Roman" w:cs="Times New Roman" w:eastAsia="Times New Roman" w:hAnsi="Times New Roman"/>
                <w:sz w:val="22"/>
                <w:szCs w:val="22"/>
                <w:b w:val="1"/>
                <w:bCs w:val="1"/>
                <w:color w:val="auto"/>
                <w:w w:val="98"/>
              </w:rPr>
              <w:t>(13)</w:t>
            </w: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w:t>
            </w:r>
          </w:p>
        </w:tc>
        <w:tc>
          <w:tcPr>
            <w:tcW w:w="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252</w:t>
            </w:r>
          </w:p>
        </w:tc>
        <w:tc>
          <w:tcPr>
            <w:tcW w:w="1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24</w:t>
            </w:r>
          </w:p>
        </w:tc>
        <w:tc>
          <w:tcPr>
            <w:tcW w:w="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276</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Income tax provision (benefit) </w:t>
            </w:r>
            <w:r>
              <w:rPr>
                <w:rFonts w:ascii="Times New Roman" w:cs="Times New Roman" w:eastAsia="Times New Roman" w:hAnsi="Times New Roman"/>
                <w:sz w:val="28"/>
                <w:szCs w:val="28"/>
                <w:color w:val="auto"/>
                <w:vertAlign w:val="superscript"/>
              </w:rPr>
              <w:t>[4]</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50</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left="196"/>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6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22"/>
                <w:szCs w:val="22"/>
                <w:b w:val="1"/>
                <w:bCs w:val="1"/>
                <w:color w:val="auto"/>
              </w:rPr>
              <w:t>204</w:t>
            </w:r>
          </w:p>
        </w:tc>
        <w:tc>
          <w:tcPr>
            <w:tcW w:w="1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60" w:type="dxa"/>
            <w:vAlign w:val="bottom"/>
            <w:tcBorders>
              <w:top w:val="single" w:sz="8" w:color="auto"/>
              <w:bottom w:val="single" w:sz="8" w:color="auto"/>
            </w:tcBorders>
          </w:tcPr>
          <w:p>
            <w:pPr>
              <w:jc w:val="center"/>
              <w:ind w:left="356"/>
              <w:spacing w:after="0"/>
              <w:rPr>
                <w:sz w:val="20"/>
                <w:szCs w:val="20"/>
                <w:color w:val="auto"/>
              </w:rPr>
            </w:pPr>
            <w:r>
              <w:rPr>
                <w:rFonts w:ascii="Times New Roman" w:cs="Times New Roman" w:eastAsia="Times New Roman" w:hAnsi="Times New Roman"/>
                <w:sz w:val="22"/>
                <w:szCs w:val="22"/>
                <w:b w:val="1"/>
                <w:bCs w:val="1"/>
                <w:color w:val="auto"/>
                <w:w w:val="98"/>
              </w:rPr>
              <w:t>(13)</w:t>
            </w:r>
          </w:p>
        </w:tc>
        <w:tc>
          <w:tcPr>
            <w:tcW w:w="1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8</w:t>
            </w: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199</w:t>
            </w:r>
          </w:p>
        </w:tc>
        <w:tc>
          <w:tcPr>
            <w:tcW w:w="18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33</w:t>
            </w: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232</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Weighted average common shares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outstanding:</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413.8</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413.8</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413.8</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tcPr>
          <w:p>
            <w:pPr>
              <w:spacing w:after="0"/>
              <w:rPr>
                <w:sz w:val="23"/>
                <w:szCs w:val="23"/>
                <w:color w:val="auto"/>
              </w:rPr>
            </w:pPr>
          </w:p>
        </w:tc>
        <w:tc>
          <w:tcPr>
            <w:tcW w:w="100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rPr>
              <w:t>415.7</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415.7</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415.7</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Earnings (loss) per share:</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0.49</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0.48</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0.56</w:t>
            </w:r>
          </w:p>
        </w:tc>
        <w:tc>
          <w:tcPr>
            <w:tcW w:w="0" w:type="dxa"/>
            <w:vAlign w:val="bottom"/>
          </w:tcPr>
          <w:p>
            <w:pPr>
              <w:spacing w:after="0"/>
              <w:rPr>
                <w:sz w:val="1"/>
                <w:szCs w:val="1"/>
                <w:color w:val="auto"/>
              </w:rPr>
            </w:pPr>
          </w:p>
        </w:tc>
      </w:tr>
      <w:tr>
        <w:trPr>
          <w:trHeight w:val="282"/>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rPr>
              <w:t>0.49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0.48</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0.56</w:t>
            </w:r>
          </w:p>
        </w:tc>
        <w:tc>
          <w:tcPr>
            <w:tcW w:w="0" w:type="dxa"/>
            <w:vAlign w:val="bottom"/>
          </w:tcPr>
          <w:p>
            <w:pPr>
              <w:spacing w:after="0"/>
              <w:rPr>
                <w:sz w:val="1"/>
                <w:szCs w:val="1"/>
                <w:color w:val="auto"/>
              </w:rPr>
            </w:pPr>
          </w:p>
        </w:tc>
      </w:tr>
    </w:tbl>
    <w:p>
      <w:pPr>
        <w:sectPr>
          <w:pgSz w:w="11900" w:h="16838" w:orient="portrait"/>
          <w:cols w:equalWidth="0" w:num="1">
            <w:col w:w="11200"/>
          </w:cols>
          <w:pgMar w:left="340" w:top="770"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 OF OPERATIONS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(Amounts in millions, except per share data)</w:t>
      </w:r>
    </w:p>
    <w:p>
      <w:pPr>
        <w:spacing w:after="0" w:line="25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b w:val="1"/>
          <w:bCs w:val="1"/>
          <w:color w:val="auto"/>
        </w:rPr>
        <w:t>For the three months ended September 30,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As Reported</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Impact of</w:t>
            </w: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As</w:t>
            </w: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color w:val="auto"/>
              </w:rPr>
              <w:t>Non-GAAP</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Under</w:t>
            </w:r>
          </w:p>
        </w:tc>
        <w:tc>
          <w:tcPr>
            <w:tcW w:w="14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Impact of</w:t>
            </w:r>
          </w:p>
        </w:tc>
        <w:tc>
          <w:tcPr>
            <w:tcW w:w="14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Change to</w:t>
            </w:r>
          </w:p>
        </w:tc>
        <w:tc>
          <w:tcPr>
            <w:tcW w:w="16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Adjusted</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Normalization</w:t>
            </w:r>
          </w:p>
        </w:tc>
        <w:tc>
          <w:tcPr>
            <w:tcW w:w="160" w:type="dxa"/>
            <w:vAlign w:val="bottom"/>
          </w:tcPr>
          <w:p>
            <w:pPr>
              <w:spacing w:after="0"/>
              <w:rPr>
                <w:sz w:val="18"/>
                <w:szCs w:val="18"/>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6"/>
                <w:szCs w:val="16"/>
                <w:color w:val="auto"/>
              </w:rPr>
              <w:t>Measure</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2"/>
              </w:rPr>
              <w:t xml:space="preserve">LIFO </w:t>
            </w:r>
            <w:r>
              <w:rPr>
                <w:rFonts w:ascii="Times New Roman" w:cs="Times New Roman" w:eastAsia="Times New Roman" w:hAnsi="Times New Roman"/>
                <w:sz w:val="21"/>
                <w:szCs w:val="21"/>
                <w:color w:val="auto"/>
                <w:w w:val="92"/>
                <w:vertAlign w:val="superscript"/>
              </w:rPr>
              <w:t>[1]</w:t>
            </w:r>
          </w:p>
        </w:tc>
        <w:tc>
          <w:tcPr>
            <w:tcW w:w="14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w w:val="95"/>
              </w:rPr>
              <w:t xml:space="preserve">Revision </w:t>
            </w:r>
            <w:r>
              <w:rPr>
                <w:rFonts w:ascii="Times New Roman" w:cs="Times New Roman" w:eastAsia="Times New Roman" w:hAnsi="Times New Roman"/>
                <w:sz w:val="21"/>
                <w:szCs w:val="21"/>
                <w:color w:val="auto"/>
                <w:w w:val="95"/>
                <w:vertAlign w:val="superscript"/>
              </w:rPr>
              <w:t>[2]</w:t>
            </w:r>
          </w:p>
        </w:tc>
        <w:tc>
          <w:tcPr>
            <w:tcW w:w="140" w:type="dxa"/>
            <w:vAlign w:val="bottom"/>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[3]</w:t>
            </w:r>
          </w:p>
        </w:tc>
        <w:tc>
          <w:tcPr>
            <w:tcW w:w="160" w:type="dxa"/>
            <w:vAlign w:val="bottom"/>
          </w:tcPr>
          <w:p>
            <w:pPr>
              <w:spacing w:after="0"/>
              <w:rPr>
                <w:sz w:val="14"/>
                <w:szCs w:val="14"/>
                <w:color w:val="auto"/>
              </w:rPr>
            </w:pPr>
          </w:p>
        </w:tc>
        <w:tc>
          <w:tcPr>
            <w:tcW w:w="1020" w:type="dxa"/>
            <w:vAlign w:val="bottom"/>
            <w:gridSpan w:val="2"/>
          </w:tcPr>
          <w:p>
            <w:pPr>
              <w:jc w:val="center"/>
              <w:ind w:right="340"/>
              <w:spacing w:after="0" w:line="168" w:lineRule="exact"/>
              <w:rPr>
                <w:sz w:val="20"/>
                <w:szCs w:val="20"/>
                <w:color w:val="auto"/>
              </w:rPr>
            </w:pPr>
            <w:r>
              <w:rPr>
                <w:rFonts w:ascii="Times New Roman" w:cs="Times New Roman" w:eastAsia="Times New Roman" w:hAnsi="Times New Roman"/>
                <w:sz w:val="16"/>
                <w:szCs w:val="16"/>
                <w:color w:val="auto"/>
              </w:rPr>
              <w:t>GAAP</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[7]</w:t>
            </w:r>
          </w:p>
        </w:tc>
        <w:tc>
          <w:tcPr>
            <w:tcW w:w="160" w:type="dxa"/>
            <w:vAlign w:val="bottom"/>
          </w:tcPr>
          <w:p>
            <w:pPr>
              <w:spacing w:after="0"/>
              <w:rPr>
                <w:sz w:val="14"/>
                <w:szCs w:val="14"/>
                <w:color w:val="auto"/>
              </w:rPr>
            </w:pPr>
          </w:p>
        </w:tc>
        <w:tc>
          <w:tcPr>
            <w:tcW w:w="1000" w:type="dxa"/>
            <w:vAlign w:val="bottom"/>
            <w:vMerge w:val="restart"/>
          </w:tcPr>
          <w:p>
            <w:pPr>
              <w:jc w:val="center"/>
              <w:ind w:right="58"/>
              <w:spacing w:after="0"/>
              <w:rPr>
                <w:sz w:val="20"/>
                <w:szCs w:val="20"/>
                <w:color w:val="auto"/>
              </w:rPr>
            </w:pPr>
            <w:r>
              <w:rPr>
                <w:rFonts w:ascii="Times New Roman" w:cs="Times New Roman" w:eastAsia="Times New Roman" w:hAnsi="Times New Roman"/>
                <w:sz w:val="16"/>
                <w:szCs w:val="16"/>
                <w:color w:val="auto"/>
              </w:rPr>
              <w:t>Normalized</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Measure</w:t>
            </w:r>
          </w:p>
        </w:tc>
        <w:tc>
          <w:tcPr>
            <w:tcW w:w="120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2,252</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gridSpan w:val="2"/>
            <w:shd w:val="clear" w:color="auto" w:fill="CCEEFF"/>
          </w:tcPr>
          <w:p>
            <w:pPr>
              <w:jc w:val="center"/>
              <w:ind w:left="196"/>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2,252</w:t>
            </w: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2,252</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Cost of products sold</w:t>
            </w:r>
          </w:p>
        </w:tc>
        <w:tc>
          <w:tcPr>
            <w:tcW w:w="160" w:type="dxa"/>
            <w:vAlign w:val="bottom"/>
          </w:tcPr>
          <w:p>
            <w:pPr>
              <w:spacing w:after="0"/>
              <w:rPr>
                <w:sz w:val="23"/>
                <w:szCs w:val="23"/>
                <w:color w:val="auto"/>
              </w:rPr>
            </w:pPr>
          </w:p>
        </w:tc>
        <w:tc>
          <w:tcPr>
            <w:tcW w:w="100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rPr>
              <w:t>1,599</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center"/>
              <w:ind w:left="196"/>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1,594</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1,586</w:t>
            </w:r>
          </w:p>
        </w:tc>
        <w:tc>
          <w:tcPr>
            <w:tcW w:w="0" w:type="dxa"/>
            <w:vAlign w:val="bottom"/>
          </w:tcPr>
          <w:p>
            <w:pPr>
              <w:spacing w:after="0"/>
              <w:rPr>
                <w:sz w:val="1"/>
                <w:szCs w:val="1"/>
                <w:color w:val="auto"/>
              </w:rPr>
            </w:pPr>
          </w:p>
        </w:tc>
      </w:tr>
      <w:tr>
        <w:trPr>
          <w:trHeight w:val="26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653</w:t>
            </w: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center"/>
              <w:ind w:left="376"/>
              <w:spacing w:after="0"/>
              <w:rPr>
                <w:sz w:val="20"/>
                <w:szCs w:val="20"/>
                <w:color w:val="auto"/>
              </w:rPr>
            </w:pPr>
            <w:r>
              <w:rPr>
                <w:rFonts w:ascii="Times New Roman" w:cs="Times New Roman" w:eastAsia="Times New Roman" w:hAnsi="Times New Roman"/>
                <w:sz w:val="22"/>
                <w:szCs w:val="22"/>
                <w:color w:val="auto"/>
                <w:w w:val="99"/>
              </w:rPr>
              <w:t>—</w:t>
            </w:r>
          </w:p>
        </w:tc>
        <w:tc>
          <w:tcPr>
            <w:tcW w:w="1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658</w:t>
            </w:r>
          </w:p>
        </w:tc>
        <w:tc>
          <w:tcPr>
            <w:tcW w:w="1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666</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0070C0"/>
              </w:rPr>
              <w:t>29.0 %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i w:val="1"/>
                <w:iCs w:val="1"/>
                <w:color w:val="0070C0"/>
                <w:w w:val="97"/>
              </w:rPr>
              <w:t>29.6 %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Selling, general and administrative expenses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467</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left="196"/>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467</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432</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0070C0"/>
              </w:rPr>
              <w:t>20.7 %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i w:val="1"/>
                <w:iCs w:val="1"/>
                <w:color w:val="0070C0"/>
                <w:w w:val="97"/>
              </w:rPr>
              <w:t>19.2 %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Restructuring costs,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3</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left="196"/>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Impairment of goodwill, intangibles and</w:t>
            </w:r>
          </w:p>
        </w:tc>
        <w:tc>
          <w:tcPr>
            <w:tcW w:w="160" w:type="dxa"/>
            <w:vAlign w:val="bottom"/>
          </w:tcPr>
          <w:p>
            <w:pPr>
              <w:spacing w:after="0"/>
              <w:rPr>
                <w:sz w:val="17"/>
                <w:szCs w:val="17"/>
                <w:color w:val="auto"/>
              </w:rPr>
            </w:pPr>
          </w:p>
        </w:tc>
        <w:tc>
          <w:tcPr>
            <w:tcW w:w="1000" w:type="dxa"/>
            <w:vAlign w:val="bottom"/>
            <w:vMerge w:val="restart"/>
          </w:tcPr>
          <w:p>
            <w:pPr>
              <w:jc w:val="right"/>
              <w:ind w:right="138"/>
              <w:spacing w:after="0"/>
              <w:rPr>
                <w:sz w:val="20"/>
                <w:szCs w:val="20"/>
                <w:color w:val="auto"/>
              </w:rPr>
            </w:pPr>
            <w:r>
              <w:rPr>
                <w:rFonts w:ascii="Times New Roman" w:cs="Times New Roman" w:eastAsia="Times New Roman" w:hAnsi="Times New Roman"/>
                <w:sz w:val="22"/>
                <w:szCs w:val="22"/>
                <w:color w:val="auto"/>
              </w:rPr>
              <w:t>148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restart"/>
          </w:tcPr>
          <w:p>
            <w:pPr>
              <w:jc w:val="center"/>
              <w:ind w:left="196"/>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tcPr>
          <w:p>
            <w:pPr>
              <w:spacing w:after="0"/>
              <w:rPr>
                <w:sz w:val="17"/>
                <w:szCs w:val="17"/>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148</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(148)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assets</w:t>
            </w:r>
          </w:p>
        </w:tc>
        <w:tc>
          <w:tcPr>
            <w:tcW w:w="1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income</w:t>
            </w: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b w:val="1"/>
                <w:bCs w:val="1"/>
                <w:color w:val="auto"/>
              </w:rPr>
              <w:t>35</w:t>
            </w: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center"/>
              <w:ind w:left="376"/>
              <w:spacing w:after="0"/>
              <w:rPr>
                <w:sz w:val="20"/>
                <w:szCs w:val="20"/>
                <w:color w:val="auto"/>
              </w:rPr>
            </w:pPr>
            <w:r>
              <w:rPr>
                <w:rFonts w:ascii="Times New Roman" w:cs="Times New Roman" w:eastAsia="Times New Roman" w:hAnsi="Times New Roman"/>
                <w:sz w:val="22"/>
                <w:szCs w:val="22"/>
                <w:b w:val="1"/>
                <w:bCs w:val="1"/>
                <w:color w:val="auto"/>
                <w:w w:val="99"/>
              </w:rPr>
              <w:t>—</w:t>
            </w:r>
          </w:p>
        </w:tc>
        <w:tc>
          <w:tcPr>
            <w:tcW w:w="1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40</w:t>
            </w:r>
          </w:p>
        </w:tc>
        <w:tc>
          <w:tcPr>
            <w:tcW w:w="1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194</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234</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1.6 %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i w:val="1"/>
                <w:iCs w:val="1"/>
                <w:color w:val="0070C0"/>
                <w:w w:val="97"/>
              </w:rPr>
              <w:t>10.4 %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Non-operating expenses:</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Interest expense,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57</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left="196"/>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Other (income) expense, net</w:t>
            </w:r>
          </w:p>
        </w:tc>
        <w:tc>
          <w:tcPr>
            <w:tcW w:w="160" w:type="dxa"/>
            <w:vAlign w:val="bottom"/>
          </w:tcPr>
          <w:p>
            <w:pPr>
              <w:spacing w:after="0"/>
              <w:rPr>
                <w:sz w:val="23"/>
                <w:szCs w:val="23"/>
                <w:color w:val="auto"/>
              </w:rPr>
            </w:pPr>
          </w:p>
        </w:tc>
        <w:tc>
          <w:tcPr>
            <w:tcW w:w="100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rPr>
              <w:t>8</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center"/>
              <w:ind w:left="376"/>
              <w:spacing w:after="0"/>
              <w:rPr>
                <w:sz w:val="20"/>
                <w:szCs w:val="20"/>
                <w:color w:val="auto"/>
              </w:rPr>
            </w:pPr>
            <w:r>
              <w:rPr>
                <w:rFonts w:ascii="Times New Roman" w:cs="Times New Roman" w:eastAsia="Times New Roman" w:hAnsi="Times New Roman"/>
                <w:sz w:val="22"/>
                <w:szCs w:val="22"/>
                <w:color w:val="auto"/>
                <w:w w:val="99"/>
              </w:rPr>
              <w:t>16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6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Income (loss) before income taxes</w:t>
            </w: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22"/>
                <w:szCs w:val="22"/>
                <w:b w:val="1"/>
                <w:bCs w:val="1"/>
                <w:color w:val="auto"/>
              </w:rPr>
              <w:t>(30)</w:t>
            </w: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22"/>
                <w:szCs w:val="22"/>
                <w:b w:val="1"/>
                <w:bCs w:val="1"/>
                <w:color w:val="auto"/>
                <w:w w:val="98"/>
              </w:rPr>
              <w:t>(16)</w:t>
            </w:r>
          </w:p>
        </w:tc>
        <w:tc>
          <w:tcPr>
            <w:tcW w:w="1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(41)</w:t>
            </w:r>
          </w:p>
        </w:tc>
        <w:tc>
          <w:tcPr>
            <w:tcW w:w="1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192</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151</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Income tax provision (benefit) </w:t>
            </w:r>
            <w:r>
              <w:rPr>
                <w:rFonts w:ascii="Times New Roman" w:cs="Times New Roman" w:eastAsia="Times New Roman" w:hAnsi="Times New Roman"/>
                <w:sz w:val="28"/>
                <w:szCs w:val="28"/>
                <w:color w:val="auto"/>
                <w:vertAlign w:val="superscript"/>
              </w:rPr>
              <w:t>[4]</w:t>
            </w:r>
          </w:p>
        </w:tc>
        <w:tc>
          <w:tcPr>
            <w:tcW w:w="160" w:type="dxa"/>
            <w:vAlign w:val="bottom"/>
          </w:tcPr>
          <w:p>
            <w:pPr>
              <w:spacing w:after="0"/>
              <w:rPr>
                <w:sz w:val="23"/>
                <w:szCs w:val="23"/>
                <w:color w:val="auto"/>
              </w:rPr>
            </w:pPr>
          </w:p>
        </w:tc>
        <w:tc>
          <w:tcPr>
            <w:tcW w:w="10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(61)</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center"/>
              <w:ind w:left="196"/>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89"/>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b w:val="1"/>
                <w:bCs w:val="1"/>
                <w:color w:val="auto"/>
              </w:rPr>
              <w:t>31</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60" w:type="dxa"/>
            <w:vAlign w:val="bottom"/>
            <w:tcBorders>
              <w:top w:val="single" w:sz="8" w:color="auto"/>
              <w:bottom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22"/>
                <w:szCs w:val="22"/>
                <w:b w:val="1"/>
                <w:bCs w:val="1"/>
                <w:color w:val="auto"/>
                <w:w w:val="98"/>
              </w:rPr>
              <w:t>(16)</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19</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189</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208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22"/>
                <w:szCs w:val="22"/>
                <w:color w:val="auto"/>
              </w:rPr>
              <w:t>Weighted average common shares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outstanding:</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60" w:type="dxa"/>
            <w:vAlign w:val="bottom"/>
          </w:tcPr>
          <w:p>
            <w:pPr>
              <w:spacing w:after="0"/>
              <w:rPr>
                <w:sz w:val="23"/>
                <w:szCs w:val="23"/>
                <w:color w:val="auto"/>
              </w:rPr>
            </w:pPr>
          </w:p>
        </w:tc>
        <w:tc>
          <w:tcPr>
            <w:tcW w:w="100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rPr>
              <w:t>413.6</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413.6</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413.6</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414.6</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414.6</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414.6</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Earnings (loss) per share:</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rPr>
              <w:t>0.07</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0.05</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0.50</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22"/>
                <w:szCs w:val="22"/>
                <w:color w:val="auto"/>
              </w:rPr>
              <w:t>0.07</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0.05</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0.50</w:t>
            </w:r>
          </w:p>
        </w:tc>
        <w:tc>
          <w:tcPr>
            <w:tcW w:w="0" w:type="dxa"/>
            <w:vAlign w:val="bottom"/>
          </w:tcPr>
          <w:p>
            <w:pPr>
              <w:spacing w:after="0"/>
              <w:rPr>
                <w:sz w:val="1"/>
                <w:szCs w:val="1"/>
                <w:color w:val="auto"/>
              </w:rPr>
            </w:pPr>
          </w:p>
        </w:tc>
      </w:tr>
    </w:tbl>
    <w:p>
      <w:pPr>
        <w:sectPr>
          <w:pgSz w:w="11900" w:h="16838" w:orient="portrait"/>
          <w:cols w:equalWidth="0" w:num="1">
            <w:col w:w="11200"/>
          </w:cols>
          <w:pgMar w:left="340" w:top="770"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 OF OPERATIONS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(Amounts in millions, except per share data)</w:t>
      </w:r>
    </w:p>
    <w:p>
      <w:pPr>
        <w:spacing w:after="0" w:line="25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b w:val="1"/>
          <w:bCs w:val="1"/>
          <w:color w:val="auto"/>
        </w:rPr>
        <w:t>For the three months ended December 31,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As Computed</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Impact of</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As</w:t>
            </w: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right="58"/>
              <w:spacing w:after="0"/>
              <w:rPr>
                <w:sz w:val="20"/>
                <w:szCs w:val="20"/>
                <w:color w:val="auto"/>
              </w:rPr>
            </w:pPr>
            <w:r>
              <w:rPr>
                <w:rFonts w:ascii="Times New Roman" w:cs="Times New Roman" w:eastAsia="Times New Roman" w:hAnsi="Times New Roman"/>
                <w:sz w:val="16"/>
                <w:szCs w:val="16"/>
                <w:color w:val="auto"/>
              </w:rPr>
              <w:t>Non-GAAP</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Under</w:t>
            </w:r>
          </w:p>
        </w:tc>
        <w:tc>
          <w:tcPr>
            <w:tcW w:w="12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Impact of</w:t>
            </w:r>
          </w:p>
        </w:tc>
        <w:tc>
          <w:tcPr>
            <w:tcW w:w="1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Change to</w:t>
            </w:r>
          </w:p>
        </w:tc>
        <w:tc>
          <w:tcPr>
            <w:tcW w:w="18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8"/>
              </w:rPr>
              <w:t>Reported</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Normalization</w:t>
            </w:r>
          </w:p>
        </w:tc>
        <w:tc>
          <w:tcPr>
            <w:tcW w:w="160" w:type="dxa"/>
            <w:vAlign w:val="bottom"/>
          </w:tcPr>
          <w:p>
            <w:pPr>
              <w:spacing w:after="0"/>
              <w:rPr>
                <w:sz w:val="18"/>
                <w:szCs w:val="18"/>
                <w:color w:val="auto"/>
              </w:rPr>
            </w:pPr>
          </w:p>
        </w:tc>
        <w:tc>
          <w:tcPr>
            <w:tcW w:w="980" w:type="dxa"/>
            <w:vAlign w:val="bottom"/>
          </w:tcPr>
          <w:p>
            <w:pPr>
              <w:jc w:val="center"/>
              <w:ind w:right="38"/>
              <w:spacing w:after="0"/>
              <w:rPr>
                <w:sz w:val="20"/>
                <w:szCs w:val="20"/>
                <w:color w:val="auto"/>
              </w:rPr>
            </w:pPr>
            <w:r>
              <w:rPr>
                <w:rFonts w:ascii="Times New Roman" w:cs="Times New Roman" w:eastAsia="Times New Roman" w:hAnsi="Times New Roman"/>
                <w:sz w:val="16"/>
                <w:szCs w:val="16"/>
                <w:color w:val="auto"/>
              </w:rPr>
              <w:t>Measure</w:t>
            </w:r>
          </w:p>
        </w:tc>
        <w:tc>
          <w:tcPr>
            <w:tcW w:w="0" w:type="dxa"/>
            <w:vAlign w:val="bottom"/>
          </w:tcPr>
          <w:p>
            <w:pPr>
              <w:spacing w:after="0"/>
              <w:rPr>
                <w:sz w:val="1"/>
                <w:szCs w:val="1"/>
                <w:color w:val="auto"/>
              </w:rPr>
            </w:pPr>
          </w:p>
        </w:tc>
      </w:tr>
      <w:tr>
        <w:trPr>
          <w:trHeight w:val="168"/>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w w:val="96"/>
              </w:rPr>
              <w:t xml:space="preserve">LIFO </w:t>
            </w:r>
            <w:r>
              <w:rPr>
                <w:rFonts w:ascii="Times New Roman" w:cs="Times New Roman" w:eastAsia="Times New Roman" w:hAnsi="Times New Roman"/>
                <w:sz w:val="21"/>
                <w:szCs w:val="21"/>
                <w:color w:val="auto"/>
                <w:w w:val="96"/>
                <w:vertAlign w:val="superscript"/>
              </w:rPr>
              <w:t>[1]</w:t>
            </w:r>
          </w:p>
        </w:tc>
        <w:tc>
          <w:tcPr>
            <w:tcW w:w="12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Revision </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[3]</w:t>
            </w:r>
          </w:p>
        </w:tc>
        <w:tc>
          <w:tcPr>
            <w:tcW w:w="180" w:type="dxa"/>
            <w:vAlign w:val="bottom"/>
          </w:tcPr>
          <w:p>
            <w:pPr>
              <w:spacing w:after="0"/>
              <w:rPr>
                <w:sz w:val="14"/>
                <w:szCs w:val="14"/>
                <w:color w:val="auto"/>
              </w:rPr>
            </w:pPr>
          </w:p>
        </w:tc>
        <w:tc>
          <w:tcPr>
            <w:tcW w:w="1000" w:type="dxa"/>
            <w:vAlign w:val="bottom"/>
            <w:gridSpan w:val="2"/>
          </w:tcPr>
          <w:p>
            <w:pPr>
              <w:jc w:val="center"/>
              <w:ind w:right="360"/>
              <w:spacing w:after="0" w:line="168" w:lineRule="exact"/>
              <w:rPr>
                <w:sz w:val="20"/>
                <w:szCs w:val="20"/>
                <w:color w:val="auto"/>
              </w:rPr>
            </w:pPr>
            <w:r>
              <w:rPr>
                <w:rFonts w:ascii="Times New Roman" w:cs="Times New Roman" w:eastAsia="Times New Roman" w:hAnsi="Times New Roman"/>
                <w:sz w:val="16"/>
                <w:szCs w:val="16"/>
                <w:color w:val="auto"/>
              </w:rPr>
              <w:t>GAAP</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[8]</w:t>
            </w:r>
          </w:p>
        </w:tc>
        <w:tc>
          <w:tcPr>
            <w:tcW w:w="160" w:type="dxa"/>
            <w:vAlign w:val="bottom"/>
          </w:tcPr>
          <w:p>
            <w:pPr>
              <w:spacing w:after="0"/>
              <w:rPr>
                <w:sz w:val="14"/>
                <w:szCs w:val="14"/>
                <w:color w:val="auto"/>
              </w:rPr>
            </w:pPr>
          </w:p>
        </w:tc>
        <w:tc>
          <w:tcPr>
            <w:tcW w:w="980" w:type="dxa"/>
            <w:vAlign w:val="bottom"/>
            <w:vMerge w:val="restart"/>
          </w:tcPr>
          <w:p>
            <w:pPr>
              <w:jc w:val="center"/>
              <w:ind w:right="38"/>
              <w:spacing w:after="0"/>
              <w:rPr>
                <w:sz w:val="20"/>
                <w:szCs w:val="20"/>
                <w:color w:val="auto"/>
              </w:rPr>
            </w:pPr>
            <w:r>
              <w:rPr>
                <w:rFonts w:ascii="Times New Roman" w:cs="Times New Roman" w:eastAsia="Times New Roman" w:hAnsi="Times New Roman"/>
                <w:sz w:val="16"/>
                <w:szCs w:val="16"/>
                <w:color w:val="auto"/>
              </w:rPr>
              <w:t>Normalized</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7"/>
              </w:rPr>
              <w:t>Measure</w:t>
            </w:r>
          </w:p>
        </w:tc>
        <w:tc>
          <w:tcPr>
            <w:tcW w:w="122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2,285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2,285</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2,285</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Cost of products sold</w:t>
            </w:r>
          </w:p>
        </w:tc>
        <w:tc>
          <w:tcPr>
            <w:tcW w:w="120" w:type="dxa"/>
            <w:vAlign w:val="bottom"/>
          </w:tcPr>
          <w:p>
            <w:pPr>
              <w:spacing w:after="0"/>
              <w:rPr>
                <w:sz w:val="23"/>
                <w:szCs w:val="23"/>
                <w:color w:val="auto"/>
              </w:rPr>
            </w:pPr>
          </w:p>
        </w:tc>
        <w:tc>
          <w:tcPr>
            <w:tcW w:w="102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1,681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1,685</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1,677</w:t>
            </w:r>
          </w:p>
        </w:tc>
        <w:tc>
          <w:tcPr>
            <w:tcW w:w="0" w:type="dxa"/>
            <w:vAlign w:val="bottom"/>
          </w:tcPr>
          <w:p>
            <w:pPr>
              <w:spacing w:after="0"/>
              <w:rPr>
                <w:sz w:val="1"/>
                <w:szCs w:val="1"/>
                <w:color w:val="auto"/>
              </w:rPr>
            </w:pPr>
          </w:p>
        </w:tc>
      </w:tr>
      <w:tr>
        <w:trPr>
          <w:trHeight w:val="26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604</w:t>
            </w: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1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600</w:t>
            </w:r>
          </w:p>
        </w:tc>
        <w:tc>
          <w:tcPr>
            <w:tcW w:w="1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608</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26.4 %</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26.6 %</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Selling, general and administrative expenses</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544</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544</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(49)</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495</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23.8 %</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21.7 %</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Restructuring costs, net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3</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Impairment of goodwill, intangibles and</w:t>
            </w:r>
          </w:p>
        </w:tc>
        <w:tc>
          <w:tcPr>
            <w:tcW w:w="120" w:type="dxa"/>
            <w:vAlign w:val="bottom"/>
          </w:tcPr>
          <w:p>
            <w:pPr>
              <w:spacing w:after="0"/>
              <w:rPr>
                <w:sz w:val="17"/>
                <w:szCs w:val="17"/>
                <w:color w:val="auto"/>
              </w:rPr>
            </w:pPr>
          </w:p>
        </w:tc>
        <w:tc>
          <w:tcPr>
            <w:tcW w:w="1020" w:type="dxa"/>
            <w:vAlign w:val="bottom"/>
            <w:vMerge w:val="restart"/>
          </w:tcPr>
          <w:p>
            <w:pPr>
              <w:jc w:val="right"/>
              <w:ind w:right="118"/>
              <w:spacing w:after="0"/>
              <w:rPr>
                <w:sz w:val="20"/>
                <w:szCs w:val="20"/>
                <w:color w:val="auto"/>
              </w:rPr>
            </w:pPr>
            <w:r>
              <w:rPr>
                <w:rFonts w:ascii="Times New Roman" w:cs="Times New Roman" w:eastAsia="Times New Roman" w:hAnsi="Times New Roman"/>
                <w:sz w:val="22"/>
                <w:szCs w:val="22"/>
                <w:color w:val="auto"/>
              </w:rPr>
              <w:t>326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restart"/>
          </w:tcPr>
          <w:p>
            <w:pPr>
              <w:ind w:left="5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326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(326)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4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assets</w:t>
            </w:r>
          </w:p>
        </w:tc>
        <w:tc>
          <w:tcPr>
            <w:tcW w:w="1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income (loss)</w:t>
            </w: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22"/>
                <w:szCs w:val="22"/>
                <w:b w:val="1"/>
                <w:bCs w:val="1"/>
                <w:color w:val="auto"/>
              </w:rPr>
              <w:t>(269)</w:t>
            </w: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22"/>
                <w:szCs w:val="22"/>
                <w:b w:val="1"/>
                <w:bCs w:val="1"/>
                <w:color w:val="auto"/>
              </w:rPr>
              <w:t>—</w:t>
            </w:r>
          </w:p>
        </w:tc>
        <w:tc>
          <w:tcPr>
            <w:tcW w:w="1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w:t>
            </w:r>
          </w:p>
        </w:tc>
        <w:tc>
          <w:tcPr>
            <w:tcW w:w="1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(273)</w:t>
            </w:r>
          </w:p>
        </w:tc>
        <w:tc>
          <w:tcPr>
            <w:tcW w:w="1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386</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113</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(11.8)%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4.9 %</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Non-operating expenses:</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Interest expense, net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64</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64</w:t>
            </w:r>
          </w:p>
        </w:tc>
        <w:tc>
          <w:tcPr>
            <w:tcW w:w="0" w:type="dxa"/>
            <w:vAlign w:val="bottom"/>
          </w:tcPr>
          <w:p>
            <w:pPr>
              <w:spacing w:after="0"/>
              <w:rPr>
                <w:sz w:val="1"/>
                <w:szCs w:val="1"/>
                <w:color w:val="auto"/>
              </w:rPr>
            </w:pPr>
          </w:p>
        </w:tc>
      </w:tr>
      <w:tr>
        <w:trPr>
          <w:trHeight w:val="270"/>
        </w:trPr>
        <w:tc>
          <w:tcPr>
            <w:tcW w:w="4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Loss on extinguishment of debt</w:t>
            </w:r>
          </w:p>
        </w:tc>
        <w:tc>
          <w:tcPr>
            <w:tcW w:w="120" w:type="dxa"/>
            <w:vAlign w:val="bottom"/>
          </w:tcPr>
          <w:p>
            <w:pPr>
              <w:spacing w:after="0"/>
              <w:rPr>
                <w:sz w:val="23"/>
                <w:szCs w:val="23"/>
                <w:color w:val="auto"/>
              </w:rPr>
            </w:pPr>
          </w:p>
        </w:tc>
        <w:tc>
          <w:tcPr>
            <w:tcW w:w="102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Other (income) expense, net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22"/>
                <w:szCs w:val="22"/>
                <w:color w:val="auto"/>
              </w:rPr>
              <w:t>(8)</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63"/>
        </w:trPr>
        <w:tc>
          <w:tcPr>
            <w:tcW w:w="4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Income (loss) before income taxes</w:t>
            </w: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22"/>
                <w:szCs w:val="22"/>
                <w:b w:val="1"/>
                <w:bCs w:val="1"/>
                <w:color w:val="auto"/>
              </w:rPr>
              <w:t>(326)</w:t>
            </w:r>
          </w:p>
        </w:tc>
        <w:tc>
          <w:tcPr>
            <w:tcW w:w="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22"/>
                <w:szCs w:val="22"/>
                <w:b w:val="1"/>
                <w:bCs w:val="1"/>
                <w:color w:val="auto"/>
              </w:rPr>
              <w:t>—</w:t>
            </w: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w:t>
            </w:r>
          </w:p>
        </w:tc>
        <w:tc>
          <w:tcPr>
            <w:tcW w:w="1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(330)</w:t>
            </w:r>
          </w:p>
        </w:tc>
        <w:tc>
          <w:tcPr>
            <w:tcW w:w="1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390</w:t>
            </w:r>
          </w:p>
        </w:tc>
        <w:tc>
          <w:tcPr>
            <w:tcW w:w="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60</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Income tax provision (benefit) </w:t>
            </w:r>
            <w:r>
              <w:rPr>
                <w:rFonts w:ascii="Times New Roman" w:cs="Times New Roman" w:eastAsia="Times New Roman" w:hAnsi="Times New Roman"/>
                <w:sz w:val="28"/>
                <w:szCs w:val="28"/>
                <w:color w:val="auto"/>
                <w:vertAlign w:val="superscript"/>
              </w:rPr>
              <w:t>[4]</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22"/>
                <w:szCs w:val="22"/>
                <w:color w:val="auto"/>
              </w:rPr>
              <w:t>(80)</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63"/>
        </w:trPr>
        <w:tc>
          <w:tcPr>
            <w:tcW w:w="4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22"/>
                <w:szCs w:val="22"/>
                <w:b w:val="1"/>
                <w:bCs w:val="1"/>
                <w:color w:val="auto"/>
              </w:rPr>
              <w:t>(246)</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22"/>
                <w:szCs w:val="22"/>
                <w:b w:val="1"/>
                <w:bCs w:val="1"/>
                <w:color w:val="auto"/>
              </w:rPr>
              <w:t>—</w:t>
            </w:r>
          </w:p>
        </w:tc>
        <w:tc>
          <w:tcPr>
            <w:tcW w:w="1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w:t>
            </w: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(249)</w:t>
            </w:r>
          </w:p>
        </w:tc>
        <w:tc>
          <w:tcPr>
            <w:tcW w:w="18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314</w:t>
            </w: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65</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Weighted average common shares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outstanding: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413.6</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413.6</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413.6</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20" w:type="dxa"/>
            <w:vAlign w:val="bottom"/>
          </w:tcPr>
          <w:p>
            <w:pPr>
              <w:spacing w:after="0"/>
              <w:rPr>
                <w:sz w:val="23"/>
                <w:szCs w:val="23"/>
                <w:color w:val="auto"/>
              </w:rPr>
            </w:pPr>
          </w:p>
        </w:tc>
        <w:tc>
          <w:tcPr>
            <w:tcW w:w="102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413.6</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413.6</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414.9</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Earnings (loss) per share:</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22"/>
                <w:szCs w:val="22"/>
                <w:color w:val="auto"/>
              </w:rPr>
              <w:t>(0.59)</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(0.60)</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0.16</w:t>
            </w:r>
          </w:p>
        </w:tc>
        <w:tc>
          <w:tcPr>
            <w:tcW w:w="0" w:type="dxa"/>
            <w:vAlign w:val="bottom"/>
          </w:tcPr>
          <w:p>
            <w:pPr>
              <w:spacing w:after="0"/>
              <w:rPr>
                <w:sz w:val="1"/>
                <w:szCs w:val="1"/>
                <w:color w:val="auto"/>
              </w:rPr>
            </w:pPr>
          </w:p>
        </w:tc>
      </w:tr>
      <w:tr>
        <w:trPr>
          <w:trHeight w:val="282"/>
        </w:trPr>
        <w:tc>
          <w:tcPr>
            <w:tcW w:w="4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Pr>
          <w:p>
            <w:pPr>
              <w:jc w:val="right"/>
              <w:ind w:right="78"/>
              <w:spacing w:after="0"/>
              <w:rPr>
                <w:sz w:val="20"/>
                <w:szCs w:val="20"/>
                <w:color w:val="auto"/>
              </w:rPr>
            </w:pPr>
            <w:r>
              <w:rPr>
                <w:rFonts w:ascii="Times New Roman" w:cs="Times New Roman" w:eastAsia="Times New Roman" w:hAnsi="Times New Roman"/>
                <w:sz w:val="22"/>
                <w:szCs w:val="22"/>
                <w:color w:val="auto"/>
              </w:rPr>
              <w:t>(0.59)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0.16</w:t>
            </w:r>
          </w:p>
        </w:tc>
        <w:tc>
          <w:tcPr>
            <w:tcW w:w="0" w:type="dxa"/>
            <w:vAlign w:val="bottom"/>
          </w:tcPr>
          <w:p>
            <w:pPr>
              <w:spacing w:after="0"/>
              <w:rPr>
                <w:sz w:val="1"/>
                <w:szCs w:val="1"/>
                <w:color w:val="auto"/>
              </w:rPr>
            </w:pPr>
          </w:p>
        </w:tc>
      </w:tr>
    </w:tbl>
    <w:p>
      <w:pPr>
        <w:sectPr>
          <w:pgSz w:w="11900" w:h="16838" w:orient="portrait"/>
          <w:cols w:equalWidth="0" w:num="1">
            <w:col w:w="11200"/>
          </w:cols>
          <w:pgMar w:left="340" w:top="770" w:right="359" w:bottom="1440" w:gutter="0" w:footer="0" w:header="0"/>
        </w:sectPr>
      </w:pPr>
    </w:p>
    <w:bookmarkStart w:id="11" w:name="page12"/>
    <w:bookmarkEnd w:id="11"/>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CONDENSED CONSOLIDATED STATEMENT OF OPERATIONS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328" w:hanging="328"/>
        <w:spacing w:after="0" w:line="261" w:lineRule="auto"/>
        <w:tabs>
          <w:tab w:leader="none" w:pos="3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“Reconciliation of GAAP and Non-GAAP Information (Unaudited) - Certain Line Items” for the three months ended March 31, 2022, June 30, 2022 and September 30, 2022, on the Company’s Forms 8-K furnished on April 29, 2022, July 29, 2022 and October 28, 2022, respectively. For the three and twelve months ended December 31, 2022, refer to “Reconciliation of GAAP and Non-GAAP Information (Unaudited) - Certain Line Items” on the Company's Forms 8-K furnished on February 10, 2023.</w:t>
      </w:r>
    </w:p>
    <w:p>
      <w:pPr>
        <w:spacing w:after="0" w:line="139" w:lineRule="exact"/>
        <w:rPr>
          <w:rFonts w:ascii="Times New Roman" w:cs="Times New Roman" w:eastAsia="Times New Roman" w:hAnsi="Times New Roman"/>
          <w:sz w:val="18"/>
          <w:szCs w:val="18"/>
          <w:color w:val="auto"/>
        </w:rPr>
      </w:pPr>
    </w:p>
    <w:p>
      <w:pPr>
        <w:ind w:left="328" w:hanging="328"/>
        <w:spacing w:after="0" w:line="282" w:lineRule="auto"/>
        <w:tabs>
          <w:tab w:leader="none" w:pos="3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adjustments to revise the Company's Condensed Consolidated Statement of Operations for an incorrect functional currency designation for one of its legal entities.</w:t>
      </w:r>
    </w:p>
    <w:p>
      <w:pPr>
        <w:spacing w:after="0" w:line="121" w:lineRule="exact"/>
        <w:rPr>
          <w:rFonts w:ascii="Times New Roman" w:cs="Times New Roman" w:eastAsia="Times New Roman" w:hAnsi="Times New Roman"/>
          <w:sz w:val="18"/>
          <w:szCs w:val="18"/>
          <w:color w:val="auto"/>
        </w:rPr>
      </w:pPr>
    </w:p>
    <w:p>
      <w:pPr>
        <w:ind w:left="328" w:hanging="328"/>
        <w:spacing w:after="0" w:line="282" w:lineRule="auto"/>
        <w:tabs>
          <w:tab w:leader="none" w:pos="3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the Company's election to change its method of accounting for certain inventory in the U.S. from the last-in, first-out (“LIFO”) method to first-in, first-out (“FIFO”) method.</w:t>
      </w:r>
    </w:p>
    <w:p>
      <w:pPr>
        <w:spacing w:after="0" w:line="134"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determined the tax effect of the items excluded from normalized results by applying the estimated effective rate for the applicable jurisdiction in which the pretax items were incurred, and for which realization of the resulting tax benefit, if any, is expected. In certain situations in which an item excluded from normalized results impacts income tax expense, the Company uses a "with" and "without" approach to determine normalized income tax expense. Also includes income tax expense that results from the amortization of a prior year normalized tax benefit.</w:t>
      </w:r>
    </w:p>
    <w:p>
      <w:pPr>
        <w:spacing w:after="0" w:line="13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31, 2022 normalized items consist of $18 million of acquisition amortization; $11 million of restructuring and restructuring-related costs; $4 related to expenses for certain legal proceedings; $3 million of costs related to completed divestitures; $2 million of Argentina hyperinflationary adjustment and $130 million gain on disposition of business.</w:t>
      </w:r>
    </w:p>
    <w:p>
      <w:pPr>
        <w:spacing w:after="0" w:line="13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June 30, 2022 normalized items consist of $17 million of acquisition amortization costs; $6 million of restructuring and restructuring-related charges; $2 million of expenses for certain legal proceedings; $1 million of costs related to completed divestitures; $2 million of Argentina hyperinflationary adjustment; $3 million gain on disposition of business and $1 million gain due to changes in fair market value of investments.</w:t>
      </w:r>
    </w:p>
    <w:p>
      <w:pPr>
        <w:spacing w:after="0" w:line="152"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September 30, 2022 normalized items consist of $148 million of impairment of goodwill in the Home Solutions segment and other indefinite-lived intangible assets in the Home Appliances, Home Solutions and Learning and Development segments; $16 million of acquisition amortization costs; $16 million related to expenses for certain legal proceedings; $12 million of restructuring and restructuring-related charges; $1 million of costs related to completed divestitures; $3 million of Argentina hyperinflationary adjustment; $3 million of gain on disposition of business and $1 million of gain due to changes in fair market value of investments.</w:t>
      </w:r>
    </w:p>
    <w:p>
      <w:pPr>
        <w:spacing w:after="0" w:line="142"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December 31, 2022 normalized items consist of $326 million of impairment of goodwill in the Home Solutions segment and indefinite-lived intangible assets in the Home Solutions and Learning and Development segments; $16 million of acquisition amortization costs; $15 million of prior year impact related to an indirect tax reserve for an international entity; $10 million of restructuring and restructuring-related charges; $9 million of bad debt reserve related to an international customer; $8 million related to expenses for certain legal proceedings; $3 million of Argentina hyperinflationary adjustment; $1 million of costs related to completed divestitures; $1 million of debt extinguishment costs; $1 million loss due to changes in fair market value of investments.</w:t>
      </w:r>
    </w:p>
    <w:p>
      <w:pPr>
        <w:sectPr>
          <w:pgSz w:w="11900" w:h="16838" w:orient="portrait"/>
          <w:cols w:equalWidth="0" w:num="1">
            <w:col w:w="10908"/>
          </w:cols>
          <w:pgMar w:left="652" w:top="109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 OF OPERATIONS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(Amounts in millions, except per share data)</w:t>
      </w:r>
    </w:p>
    <w:p>
      <w:pPr>
        <w:spacing w:after="0" w:line="25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For the three months ended March 31,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Impact of</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As</w:t>
            </w:r>
          </w:p>
        </w:tc>
        <w:tc>
          <w:tcPr>
            <w:tcW w:w="4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color w:val="auto"/>
              </w:rPr>
              <w:t>Non-GAAP</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Under</w:t>
            </w:r>
          </w:p>
        </w:tc>
        <w:tc>
          <w:tcPr>
            <w:tcW w:w="1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Change to</w:t>
            </w:r>
          </w:p>
        </w:tc>
        <w:tc>
          <w:tcPr>
            <w:tcW w:w="1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Adjusted</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Normalization</w:t>
            </w:r>
          </w:p>
        </w:tc>
        <w:tc>
          <w:tcPr>
            <w:tcW w:w="160" w:type="dxa"/>
            <w:vAlign w:val="bottom"/>
          </w:tcPr>
          <w:p>
            <w:pPr>
              <w:spacing w:after="0"/>
              <w:rPr>
                <w:sz w:val="18"/>
                <w:szCs w:val="18"/>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6"/>
                <w:szCs w:val="16"/>
                <w:color w:val="auto"/>
              </w:rPr>
              <w:t>Measure</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w w:val="89"/>
              </w:rPr>
              <w:t xml:space="preserve">LIFO </w:t>
            </w:r>
            <w:r>
              <w:rPr>
                <w:rFonts w:ascii="Times New Roman" w:cs="Times New Roman" w:eastAsia="Times New Roman" w:hAnsi="Times New Roman"/>
                <w:sz w:val="21"/>
                <w:szCs w:val="21"/>
                <w:color w:val="auto"/>
                <w:w w:val="89"/>
                <w:vertAlign w:val="superscript"/>
              </w:rPr>
              <w:t>[1]</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[2]</w:t>
            </w:r>
          </w:p>
        </w:tc>
        <w:tc>
          <w:tcPr>
            <w:tcW w:w="180" w:type="dxa"/>
            <w:vAlign w:val="bottom"/>
          </w:tcPr>
          <w:p>
            <w:pPr>
              <w:spacing w:after="0"/>
              <w:rPr>
                <w:sz w:val="14"/>
                <w:szCs w:val="14"/>
                <w:color w:val="auto"/>
              </w:rPr>
            </w:pPr>
          </w:p>
        </w:tc>
        <w:tc>
          <w:tcPr>
            <w:tcW w:w="1020" w:type="dxa"/>
            <w:vAlign w:val="bottom"/>
            <w:gridSpan w:val="2"/>
          </w:tcPr>
          <w:p>
            <w:pPr>
              <w:jc w:val="center"/>
              <w:ind w:right="340"/>
              <w:spacing w:after="0" w:line="168" w:lineRule="exact"/>
              <w:rPr>
                <w:sz w:val="20"/>
                <w:szCs w:val="20"/>
                <w:color w:val="auto"/>
              </w:rPr>
            </w:pPr>
            <w:r>
              <w:rPr>
                <w:rFonts w:ascii="Times New Roman" w:cs="Times New Roman" w:eastAsia="Times New Roman" w:hAnsi="Times New Roman"/>
                <w:sz w:val="16"/>
                <w:szCs w:val="16"/>
                <w:color w:val="auto"/>
              </w:rPr>
              <w:t>GAAP</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[4]</w:t>
            </w:r>
          </w:p>
        </w:tc>
        <w:tc>
          <w:tcPr>
            <w:tcW w:w="160" w:type="dxa"/>
            <w:vAlign w:val="bottom"/>
          </w:tcPr>
          <w:p>
            <w:pPr>
              <w:spacing w:after="0"/>
              <w:rPr>
                <w:sz w:val="14"/>
                <w:szCs w:val="14"/>
                <w:color w:val="auto"/>
              </w:rPr>
            </w:pPr>
          </w:p>
        </w:tc>
        <w:tc>
          <w:tcPr>
            <w:tcW w:w="1000" w:type="dxa"/>
            <w:vAlign w:val="bottom"/>
            <w:vMerge w:val="restart"/>
          </w:tcPr>
          <w:p>
            <w:pPr>
              <w:jc w:val="center"/>
              <w:ind w:right="58"/>
              <w:spacing w:after="0"/>
              <w:rPr>
                <w:sz w:val="20"/>
                <w:szCs w:val="20"/>
                <w:color w:val="auto"/>
              </w:rPr>
            </w:pPr>
            <w:r>
              <w:rPr>
                <w:rFonts w:ascii="Times New Roman" w:cs="Times New Roman" w:eastAsia="Times New Roman" w:hAnsi="Times New Roman"/>
                <w:sz w:val="16"/>
                <w:szCs w:val="16"/>
                <w:color w:val="auto"/>
              </w:rPr>
              <w:t>Normalized</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Measure</w:t>
            </w:r>
          </w:p>
        </w:tc>
        <w:tc>
          <w:tcPr>
            <w:tcW w:w="122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2,288</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2,288</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2,288</w:t>
            </w:r>
          </w:p>
        </w:tc>
        <w:tc>
          <w:tcPr>
            <w:tcW w:w="0" w:type="dxa"/>
            <w:vAlign w:val="bottom"/>
          </w:tcPr>
          <w:p>
            <w:pPr>
              <w:spacing w:after="0"/>
              <w:rPr>
                <w:sz w:val="1"/>
                <w:szCs w:val="1"/>
                <w:color w:val="auto"/>
              </w:rPr>
            </w:pPr>
          </w:p>
        </w:tc>
      </w:tr>
      <w:tr>
        <w:trPr>
          <w:trHeight w:val="27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Cost of products sold</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color w:val="auto"/>
              </w:rPr>
              <w:t>1,557</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1,551</w:t>
            </w:r>
          </w:p>
        </w:tc>
        <w:tc>
          <w:tcPr>
            <w:tcW w:w="1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color w:val="auto"/>
              </w:rPr>
              <w:t>1,545</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731</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737</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743</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31.9 %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left="358"/>
              <w:spacing w:after="0"/>
              <w:rPr>
                <w:sz w:val="20"/>
                <w:szCs w:val="20"/>
                <w:color w:val="auto"/>
              </w:rPr>
            </w:pPr>
            <w:r>
              <w:rPr>
                <w:rFonts w:ascii="Times New Roman" w:cs="Times New Roman" w:eastAsia="Times New Roman" w:hAnsi="Times New Roman"/>
                <w:sz w:val="18"/>
                <w:szCs w:val="18"/>
                <w:i w:val="1"/>
                <w:iCs w:val="1"/>
                <w:color w:val="0070C0"/>
                <w:w w:val="97"/>
              </w:rPr>
              <w:t>32.5 %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Selling, general and administrative expenses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534</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534</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507</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23.3 %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left="358"/>
              <w:spacing w:after="0"/>
              <w:rPr>
                <w:sz w:val="20"/>
                <w:szCs w:val="20"/>
                <w:color w:val="auto"/>
              </w:rPr>
            </w:pPr>
            <w:r>
              <w:rPr>
                <w:rFonts w:ascii="Times New Roman" w:cs="Times New Roman" w:eastAsia="Times New Roman" w:hAnsi="Times New Roman"/>
                <w:sz w:val="18"/>
                <w:szCs w:val="18"/>
                <w:i w:val="1"/>
                <w:iCs w:val="1"/>
                <w:color w:val="0070C0"/>
                <w:w w:val="97"/>
              </w:rPr>
              <w:t>22.2 %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Restructuring costs,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5</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Impairment of goodwill, intangibles and</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17"/>
                <w:szCs w:val="17"/>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17"/>
                <w:szCs w:val="17"/>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17"/>
                <w:szCs w:val="17"/>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17"/>
                <w:szCs w:val="17"/>
                <w:color w:val="auto"/>
              </w:rPr>
            </w:pPr>
          </w:p>
        </w:tc>
        <w:tc>
          <w:tcPr>
            <w:tcW w:w="1000" w:type="dxa"/>
            <w:vAlign w:val="bottom"/>
            <w:vMerge w:val="restart"/>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assets</w:t>
            </w:r>
          </w:p>
        </w:tc>
        <w:tc>
          <w:tcPr>
            <w:tcW w:w="16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income</w:t>
            </w: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192</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6</w:t>
            </w:r>
          </w:p>
        </w:tc>
        <w:tc>
          <w:tcPr>
            <w:tcW w:w="1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198</w:t>
            </w:r>
          </w:p>
        </w:tc>
        <w:tc>
          <w:tcPr>
            <w:tcW w:w="18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38</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236</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8.4 %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left="358"/>
              <w:spacing w:after="0"/>
              <w:rPr>
                <w:sz w:val="20"/>
                <w:szCs w:val="20"/>
                <w:color w:val="auto"/>
              </w:rPr>
            </w:pPr>
            <w:r>
              <w:rPr>
                <w:rFonts w:ascii="Times New Roman" w:cs="Times New Roman" w:eastAsia="Times New Roman" w:hAnsi="Times New Roman"/>
                <w:sz w:val="18"/>
                <w:szCs w:val="18"/>
                <w:i w:val="1"/>
                <w:iCs w:val="1"/>
                <w:color w:val="0070C0"/>
                <w:w w:val="97"/>
              </w:rPr>
              <w:t>10.3 %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Non-operating expenses:</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Interest expense,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67</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67</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67</w:t>
            </w: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Loss on extinguishment of debt</w:t>
            </w:r>
          </w:p>
        </w:tc>
        <w:tc>
          <w:tcPr>
            <w:tcW w:w="160" w:type="dxa"/>
            <w:vAlign w:val="bottom"/>
          </w:tcPr>
          <w:p>
            <w:pPr>
              <w:spacing w:after="0"/>
              <w:rPr>
                <w:sz w:val="23"/>
                <w:szCs w:val="2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Other (income) expense,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22"/>
                <w:szCs w:val="22"/>
                <w:color w:val="auto"/>
              </w:rPr>
              <w:t>(1)</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left="318"/>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6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Income before income taxes</w:t>
            </w: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126</w:t>
            </w:r>
          </w:p>
        </w:tc>
        <w:tc>
          <w:tcPr>
            <w:tcW w:w="1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w:t>
            </w:r>
          </w:p>
        </w:tc>
        <w:tc>
          <w:tcPr>
            <w:tcW w:w="1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132</w:t>
            </w:r>
          </w:p>
        </w:tc>
        <w:tc>
          <w:tcPr>
            <w:tcW w:w="18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39</w:t>
            </w:r>
          </w:p>
        </w:tc>
        <w:tc>
          <w:tcPr>
            <w:tcW w:w="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171</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Income tax provision </w:t>
            </w:r>
            <w:r>
              <w:rPr>
                <w:rFonts w:ascii="Times New Roman" w:cs="Times New Roman" w:eastAsia="Times New Roman" w:hAnsi="Times New Roman"/>
                <w:sz w:val="28"/>
                <w:szCs w:val="28"/>
                <w:color w:val="auto"/>
                <w:vertAlign w:val="superscript"/>
              </w:rPr>
              <w:t>[3]</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37</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6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89</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w:t>
            </w: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93</w:t>
            </w:r>
          </w:p>
        </w:tc>
        <w:tc>
          <w:tcPr>
            <w:tcW w:w="18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39</w:t>
            </w: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132</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Weighted average common shares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outstanding:</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424.9</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424.9</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424.9</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427.6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427.6</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427.6</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Earnings per share:</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0.21</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0.22</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0.31</w:t>
            </w:r>
          </w:p>
        </w:tc>
        <w:tc>
          <w:tcPr>
            <w:tcW w:w="0" w:type="dxa"/>
            <w:vAlign w:val="bottom"/>
          </w:tcPr>
          <w:p>
            <w:pPr>
              <w:spacing w:after="0"/>
              <w:rPr>
                <w:sz w:val="1"/>
                <w:szCs w:val="1"/>
                <w:color w:val="auto"/>
              </w:rPr>
            </w:pPr>
          </w:p>
        </w:tc>
      </w:tr>
      <w:tr>
        <w:trPr>
          <w:trHeight w:val="282"/>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0.21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0.31</w:t>
            </w:r>
          </w:p>
        </w:tc>
        <w:tc>
          <w:tcPr>
            <w:tcW w:w="0" w:type="dxa"/>
            <w:vAlign w:val="bottom"/>
          </w:tcPr>
          <w:p>
            <w:pPr>
              <w:spacing w:after="0"/>
              <w:rPr>
                <w:sz w:val="1"/>
                <w:szCs w:val="1"/>
                <w:color w:val="auto"/>
              </w:rPr>
            </w:pPr>
          </w:p>
        </w:tc>
      </w:tr>
    </w:tbl>
    <w:p>
      <w:pPr>
        <w:sectPr>
          <w:pgSz w:w="11900" w:h="16838" w:orient="portrait"/>
          <w:cols w:equalWidth="0" w:num="1">
            <w:col w:w="10040"/>
          </w:cols>
          <w:pgMar w:left="920" w:top="770" w:right="9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 OF OPERATIONS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(Amounts in millions, except per share data)</w:t>
      </w:r>
    </w:p>
    <w:p>
      <w:pPr>
        <w:spacing w:after="0" w:line="25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For the three months ended June 30,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Impact of</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As</w:t>
            </w:r>
          </w:p>
        </w:tc>
        <w:tc>
          <w:tcPr>
            <w:tcW w:w="4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color w:val="auto"/>
              </w:rPr>
              <w:t>Non-GAAP</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Under</w:t>
            </w:r>
          </w:p>
        </w:tc>
        <w:tc>
          <w:tcPr>
            <w:tcW w:w="1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Change to</w:t>
            </w:r>
          </w:p>
        </w:tc>
        <w:tc>
          <w:tcPr>
            <w:tcW w:w="1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Adjusted</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Normalization</w:t>
            </w:r>
          </w:p>
        </w:tc>
        <w:tc>
          <w:tcPr>
            <w:tcW w:w="160" w:type="dxa"/>
            <w:vAlign w:val="bottom"/>
          </w:tcPr>
          <w:p>
            <w:pPr>
              <w:spacing w:after="0"/>
              <w:rPr>
                <w:sz w:val="18"/>
                <w:szCs w:val="18"/>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6"/>
                <w:szCs w:val="16"/>
                <w:color w:val="auto"/>
              </w:rPr>
              <w:t>Measure</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w w:val="89"/>
              </w:rPr>
              <w:t xml:space="preserve">LIFO </w:t>
            </w:r>
            <w:r>
              <w:rPr>
                <w:rFonts w:ascii="Times New Roman" w:cs="Times New Roman" w:eastAsia="Times New Roman" w:hAnsi="Times New Roman"/>
                <w:sz w:val="21"/>
                <w:szCs w:val="21"/>
                <w:color w:val="auto"/>
                <w:w w:val="89"/>
                <w:vertAlign w:val="superscript"/>
              </w:rPr>
              <w:t>[1]</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[2]</w:t>
            </w:r>
          </w:p>
        </w:tc>
        <w:tc>
          <w:tcPr>
            <w:tcW w:w="180" w:type="dxa"/>
            <w:vAlign w:val="bottom"/>
          </w:tcPr>
          <w:p>
            <w:pPr>
              <w:spacing w:after="0"/>
              <w:rPr>
                <w:sz w:val="14"/>
                <w:szCs w:val="14"/>
                <w:color w:val="auto"/>
              </w:rPr>
            </w:pPr>
          </w:p>
        </w:tc>
        <w:tc>
          <w:tcPr>
            <w:tcW w:w="1020" w:type="dxa"/>
            <w:vAlign w:val="bottom"/>
            <w:gridSpan w:val="2"/>
          </w:tcPr>
          <w:p>
            <w:pPr>
              <w:jc w:val="center"/>
              <w:ind w:right="340"/>
              <w:spacing w:after="0" w:line="168" w:lineRule="exact"/>
              <w:rPr>
                <w:sz w:val="20"/>
                <w:szCs w:val="20"/>
                <w:color w:val="auto"/>
              </w:rPr>
            </w:pPr>
            <w:r>
              <w:rPr>
                <w:rFonts w:ascii="Times New Roman" w:cs="Times New Roman" w:eastAsia="Times New Roman" w:hAnsi="Times New Roman"/>
                <w:sz w:val="16"/>
                <w:szCs w:val="16"/>
                <w:color w:val="auto"/>
              </w:rPr>
              <w:t>GAAP</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[5]</w:t>
            </w:r>
          </w:p>
        </w:tc>
        <w:tc>
          <w:tcPr>
            <w:tcW w:w="160" w:type="dxa"/>
            <w:vAlign w:val="bottom"/>
          </w:tcPr>
          <w:p>
            <w:pPr>
              <w:spacing w:after="0"/>
              <w:rPr>
                <w:sz w:val="14"/>
                <w:szCs w:val="14"/>
                <w:color w:val="auto"/>
              </w:rPr>
            </w:pPr>
          </w:p>
        </w:tc>
        <w:tc>
          <w:tcPr>
            <w:tcW w:w="1000" w:type="dxa"/>
            <w:vAlign w:val="bottom"/>
            <w:vMerge w:val="restart"/>
          </w:tcPr>
          <w:p>
            <w:pPr>
              <w:jc w:val="center"/>
              <w:ind w:right="58"/>
              <w:spacing w:after="0"/>
              <w:rPr>
                <w:sz w:val="20"/>
                <w:szCs w:val="20"/>
                <w:color w:val="auto"/>
              </w:rPr>
            </w:pPr>
            <w:r>
              <w:rPr>
                <w:rFonts w:ascii="Times New Roman" w:cs="Times New Roman" w:eastAsia="Times New Roman" w:hAnsi="Times New Roman"/>
                <w:sz w:val="16"/>
                <w:szCs w:val="16"/>
                <w:color w:val="auto"/>
              </w:rPr>
              <w:t>Normalized</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Measure</w:t>
            </w:r>
          </w:p>
        </w:tc>
        <w:tc>
          <w:tcPr>
            <w:tcW w:w="122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2,709</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2,709</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2,709</w:t>
            </w:r>
          </w:p>
        </w:tc>
        <w:tc>
          <w:tcPr>
            <w:tcW w:w="0" w:type="dxa"/>
            <w:vAlign w:val="bottom"/>
          </w:tcPr>
          <w:p>
            <w:pPr>
              <w:spacing w:after="0"/>
              <w:rPr>
                <w:sz w:val="1"/>
                <w:szCs w:val="1"/>
                <w:color w:val="auto"/>
              </w:rPr>
            </w:pPr>
          </w:p>
        </w:tc>
      </w:tr>
      <w:tr>
        <w:trPr>
          <w:trHeight w:val="27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Cost of products sold</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color w:val="auto"/>
              </w:rPr>
              <w:t>1,827</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1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1,803</w:t>
            </w:r>
          </w:p>
        </w:tc>
        <w:tc>
          <w:tcPr>
            <w:tcW w:w="1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color w:val="auto"/>
              </w:rPr>
              <w:t>1,800</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882</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906</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909</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32.6 %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left="358"/>
              <w:spacing w:after="0"/>
              <w:rPr>
                <w:sz w:val="20"/>
                <w:szCs w:val="20"/>
                <w:color w:val="auto"/>
              </w:rPr>
            </w:pPr>
            <w:r>
              <w:rPr>
                <w:rFonts w:ascii="Times New Roman" w:cs="Times New Roman" w:eastAsia="Times New Roman" w:hAnsi="Times New Roman"/>
                <w:sz w:val="18"/>
                <w:szCs w:val="18"/>
                <w:i w:val="1"/>
                <w:iCs w:val="1"/>
                <w:color w:val="0070C0"/>
                <w:w w:val="97"/>
              </w:rPr>
              <w:t>33.6 %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Selling, general and administrative expenses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572</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572</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544</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21.1 %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left="358"/>
              <w:spacing w:after="0"/>
              <w:rPr>
                <w:sz w:val="20"/>
                <w:szCs w:val="20"/>
                <w:color w:val="auto"/>
              </w:rPr>
            </w:pPr>
            <w:r>
              <w:rPr>
                <w:rFonts w:ascii="Times New Roman" w:cs="Times New Roman" w:eastAsia="Times New Roman" w:hAnsi="Times New Roman"/>
                <w:sz w:val="18"/>
                <w:szCs w:val="18"/>
                <w:i w:val="1"/>
                <w:iCs w:val="1"/>
                <w:color w:val="0070C0"/>
                <w:w w:val="97"/>
              </w:rPr>
              <w:t>20.1 %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Restructuring costs,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5</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Impairment of goodwill, intangibles and</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17"/>
                <w:szCs w:val="17"/>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17"/>
                <w:szCs w:val="17"/>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17"/>
                <w:szCs w:val="17"/>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17"/>
                <w:szCs w:val="17"/>
                <w:color w:val="auto"/>
              </w:rPr>
            </w:pPr>
          </w:p>
        </w:tc>
        <w:tc>
          <w:tcPr>
            <w:tcW w:w="1000" w:type="dxa"/>
            <w:vAlign w:val="bottom"/>
            <w:vMerge w:val="restart"/>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assets</w:t>
            </w:r>
          </w:p>
        </w:tc>
        <w:tc>
          <w:tcPr>
            <w:tcW w:w="16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income</w:t>
            </w: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305</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24</w:t>
            </w:r>
          </w:p>
        </w:tc>
        <w:tc>
          <w:tcPr>
            <w:tcW w:w="1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329</w:t>
            </w:r>
          </w:p>
        </w:tc>
        <w:tc>
          <w:tcPr>
            <w:tcW w:w="18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36</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365</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11.3 %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left="358"/>
              <w:spacing w:after="0"/>
              <w:rPr>
                <w:sz w:val="20"/>
                <w:szCs w:val="20"/>
                <w:color w:val="auto"/>
              </w:rPr>
            </w:pPr>
            <w:r>
              <w:rPr>
                <w:rFonts w:ascii="Times New Roman" w:cs="Times New Roman" w:eastAsia="Times New Roman" w:hAnsi="Times New Roman"/>
                <w:sz w:val="18"/>
                <w:szCs w:val="18"/>
                <w:i w:val="1"/>
                <w:iCs w:val="1"/>
                <w:color w:val="0070C0"/>
                <w:w w:val="97"/>
              </w:rPr>
              <w:t>13.5 %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Non-operating expenses:</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Interest expense,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65</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65</w:t>
            </w: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Loss on extinguishment of debt</w:t>
            </w:r>
          </w:p>
        </w:tc>
        <w:tc>
          <w:tcPr>
            <w:tcW w:w="160" w:type="dxa"/>
            <w:vAlign w:val="bottom"/>
          </w:tcPr>
          <w:p>
            <w:pPr>
              <w:spacing w:after="0"/>
              <w:rPr>
                <w:sz w:val="23"/>
                <w:szCs w:val="2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Other (income) expense,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22"/>
                <w:szCs w:val="22"/>
                <w:color w:val="auto"/>
              </w:rPr>
              <w:t>(3)</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left="318"/>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6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Income before income taxes</w:t>
            </w: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243</w:t>
            </w:r>
          </w:p>
        </w:tc>
        <w:tc>
          <w:tcPr>
            <w:tcW w:w="1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24</w:t>
            </w:r>
          </w:p>
        </w:tc>
        <w:tc>
          <w:tcPr>
            <w:tcW w:w="1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267</w:t>
            </w:r>
          </w:p>
        </w:tc>
        <w:tc>
          <w:tcPr>
            <w:tcW w:w="18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39</w:t>
            </w:r>
          </w:p>
        </w:tc>
        <w:tc>
          <w:tcPr>
            <w:tcW w:w="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306</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Income tax provision (benefit) </w:t>
            </w:r>
            <w:r>
              <w:rPr>
                <w:rFonts w:ascii="Times New Roman" w:cs="Times New Roman" w:eastAsia="Times New Roman" w:hAnsi="Times New Roman"/>
                <w:sz w:val="28"/>
                <w:szCs w:val="28"/>
                <w:color w:val="auto"/>
                <w:vertAlign w:val="superscript"/>
              </w:rPr>
              <w:t>[3]</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46</w:t>
            </w: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1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50</w:t>
            </w:r>
          </w:p>
        </w:tc>
        <w:tc>
          <w:tcPr>
            <w:tcW w:w="0" w:type="dxa"/>
            <w:vAlign w:val="bottom"/>
          </w:tcPr>
          <w:p>
            <w:pPr>
              <w:spacing w:after="0"/>
              <w:rPr>
                <w:sz w:val="1"/>
                <w:szCs w:val="1"/>
                <w:color w:val="auto"/>
              </w:rPr>
            </w:pPr>
          </w:p>
        </w:tc>
      </w:tr>
      <w:tr>
        <w:trPr>
          <w:trHeight w:val="26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197</w:t>
            </w:r>
          </w:p>
        </w:tc>
        <w:tc>
          <w:tcPr>
            <w:tcW w:w="1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19</w:t>
            </w:r>
          </w:p>
        </w:tc>
        <w:tc>
          <w:tcPr>
            <w:tcW w:w="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216</w:t>
            </w:r>
          </w:p>
        </w:tc>
        <w:tc>
          <w:tcPr>
            <w:tcW w:w="180" w:type="dxa"/>
            <w:vAlign w:val="bottom"/>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40</w:t>
            </w: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256</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Weighted average common shares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outstanding:</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425.4</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425.4</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425.4</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427.8</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427.8</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427.8</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Earnings per share:</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0.46</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0.51</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0.60</w:t>
            </w:r>
          </w:p>
        </w:tc>
        <w:tc>
          <w:tcPr>
            <w:tcW w:w="0" w:type="dxa"/>
            <w:vAlign w:val="bottom"/>
          </w:tcPr>
          <w:p>
            <w:pPr>
              <w:spacing w:after="0"/>
              <w:rPr>
                <w:sz w:val="1"/>
                <w:szCs w:val="1"/>
                <w:color w:val="auto"/>
              </w:rPr>
            </w:pPr>
          </w:p>
        </w:tc>
      </w:tr>
      <w:tr>
        <w:trPr>
          <w:trHeight w:val="282"/>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0.46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0.60</w:t>
            </w:r>
          </w:p>
        </w:tc>
        <w:tc>
          <w:tcPr>
            <w:tcW w:w="0" w:type="dxa"/>
            <w:vAlign w:val="bottom"/>
          </w:tcPr>
          <w:p>
            <w:pPr>
              <w:spacing w:after="0"/>
              <w:rPr>
                <w:sz w:val="1"/>
                <w:szCs w:val="1"/>
                <w:color w:val="auto"/>
              </w:rPr>
            </w:pPr>
          </w:p>
        </w:tc>
      </w:tr>
    </w:tbl>
    <w:p>
      <w:pPr>
        <w:sectPr>
          <w:pgSz w:w="11900" w:h="16838" w:orient="portrait"/>
          <w:cols w:equalWidth="0" w:num="1">
            <w:col w:w="10040"/>
          </w:cols>
          <w:pgMar w:left="920" w:top="770" w:right="9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 OF OPERATIONS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(Amounts in millions, except per share data)</w:t>
      </w:r>
    </w:p>
    <w:p>
      <w:pPr>
        <w:spacing w:after="0" w:line="25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For the three months ended September 30,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Impact of</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As</w:t>
            </w:r>
          </w:p>
        </w:tc>
        <w:tc>
          <w:tcPr>
            <w:tcW w:w="4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color w:val="auto"/>
              </w:rPr>
              <w:t>Non-GAAP</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Under</w:t>
            </w:r>
          </w:p>
        </w:tc>
        <w:tc>
          <w:tcPr>
            <w:tcW w:w="1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Change to</w:t>
            </w:r>
          </w:p>
        </w:tc>
        <w:tc>
          <w:tcPr>
            <w:tcW w:w="1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Adjusted</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Normalization</w:t>
            </w:r>
          </w:p>
        </w:tc>
        <w:tc>
          <w:tcPr>
            <w:tcW w:w="160" w:type="dxa"/>
            <w:vAlign w:val="bottom"/>
          </w:tcPr>
          <w:p>
            <w:pPr>
              <w:spacing w:after="0"/>
              <w:rPr>
                <w:sz w:val="18"/>
                <w:szCs w:val="18"/>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6"/>
                <w:szCs w:val="16"/>
                <w:color w:val="auto"/>
              </w:rPr>
              <w:t>Measure</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w w:val="89"/>
              </w:rPr>
              <w:t xml:space="preserve">LIFO </w:t>
            </w:r>
            <w:r>
              <w:rPr>
                <w:rFonts w:ascii="Times New Roman" w:cs="Times New Roman" w:eastAsia="Times New Roman" w:hAnsi="Times New Roman"/>
                <w:sz w:val="21"/>
                <w:szCs w:val="21"/>
                <w:color w:val="auto"/>
                <w:w w:val="89"/>
                <w:vertAlign w:val="superscript"/>
              </w:rPr>
              <w:t>[1]</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[2]</w:t>
            </w:r>
          </w:p>
        </w:tc>
        <w:tc>
          <w:tcPr>
            <w:tcW w:w="180" w:type="dxa"/>
            <w:vAlign w:val="bottom"/>
          </w:tcPr>
          <w:p>
            <w:pPr>
              <w:spacing w:after="0"/>
              <w:rPr>
                <w:sz w:val="14"/>
                <w:szCs w:val="14"/>
                <w:color w:val="auto"/>
              </w:rPr>
            </w:pPr>
          </w:p>
        </w:tc>
        <w:tc>
          <w:tcPr>
            <w:tcW w:w="1020" w:type="dxa"/>
            <w:vAlign w:val="bottom"/>
            <w:gridSpan w:val="2"/>
          </w:tcPr>
          <w:p>
            <w:pPr>
              <w:jc w:val="center"/>
              <w:ind w:right="340"/>
              <w:spacing w:after="0" w:line="168" w:lineRule="exact"/>
              <w:rPr>
                <w:sz w:val="20"/>
                <w:szCs w:val="20"/>
                <w:color w:val="auto"/>
              </w:rPr>
            </w:pPr>
            <w:r>
              <w:rPr>
                <w:rFonts w:ascii="Times New Roman" w:cs="Times New Roman" w:eastAsia="Times New Roman" w:hAnsi="Times New Roman"/>
                <w:sz w:val="16"/>
                <w:szCs w:val="16"/>
                <w:color w:val="auto"/>
              </w:rPr>
              <w:t>GAAP</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[6]</w:t>
            </w:r>
          </w:p>
        </w:tc>
        <w:tc>
          <w:tcPr>
            <w:tcW w:w="160" w:type="dxa"/>
            <w:vAlign w:val="bottom"/>
          </w:tcPr>
          <w:p>
            <w:pPr>
              <w:spacing w:after="0"/>
              <w:rPr>
                <w:sz w:val="14"/>
                <w:szCs w:val="14"/>
                <w:color w:val="auto"/>
              </w:rPr>
            </w:pPr>
          </w:p>
        </w:tc>
        <w:tc>
          <w:tcPr>
            <w:tcW w:w="1000" w:type="dxa"/>
            <w:vAlign w:val="bottom"/>
            <w:vMerge w:val="restart"/>
          </w:tcPr>
          <w:p>
            <w:pPr>
              <w:jc w:val="center"/>
              <w:ind w:right="58"/>
              <w:spacing w:after="0"/>
              <w:rPr>
                <w:sz w:val="20"/>
                <w:szCs w:val="20"/>
                <w:color w:val="auto"/>
              </w:rPr>
            </w:pPr>
            <w:r>
              <w:rPr>
                <w:rFonts w:ascii="Times New Roman" w:cs="Times New Roman" w:eastAsia="Times New Roman" w:hAnsi="Times New Roman"/>
                <w:sz w:val="16"/>
                <w:szCs w:val="16"/>
                <w:color w:val="auto"/>
              </w:rPr>
              <w:t>Normalized</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Measure</w:t>
            </w:r>
          </w:p>
        </w:tc>
        <w:tc>
          <w:tcPr>
            <w:tcW w:w="122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2,787</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22"/>
                <w:szCs w:val="22"/>
                <w:color w:val="auto"/>
                <w:w w:val="99"/>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2,787</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2,787</w:t>
            </w:r>
          </w:p>
        </w:tc>
        <w:tc>
          <w:tcPr>
            <w:tcW w:w="0" w:type="dxa"/>
            <w:vAlign w:val="bottom"/>
          </w:tcPr>
          <w:p>
            <w:pPr>
              <w:spacing w:after="0"/>
              <w:rPr>
                <w:sz w:val="1"/>
                <w:szCs w:val="1"/>
                <w:color w:val="auto"/>
              </w:rPr>
            </w:pPr>
          </w:p>
        </w:tc>
      </w:tr>
      <w:tr>
        <w:trPr>
          <w:trHeight w:val="27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Cost of products sold</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color w:val="auto"/>
              </w:rPr>
              <w:t>1,939</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22"/>
                <w:szCs w:val="22"/>
                <w:color w:val="auto"/>
                <w:w w:val="98"/>
              </w:rPr>
              <w:t>(35)</w:t>
            </w:r>
          </w:p>
        </w:tc>
        <w:tc>
          <w:tcPr>
            <w:tcW w:w="1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1,904</w:t>
            </w:r>
          </w:p>
        </w:tc>
        <w:tc>
          <w:tcPr>
            <w:tcW w:w="1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color w:val="auto"/>
              </w:rPr>
              <w:t>1,898</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848</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center"/>
              <w:ind w:left="357"/>
              <w:spacing w:after="0"/>
              <w:rPr>
                <w:sz w:val="20"/>
                <w:szCs w:val="20"/>
                <w:color w:val="auto"/>
              </w:rPr>
            </w:pPr>
            <w:r>
              <w:rPr>
                <w:rFonts w:ascii="Times New Roman" w:cs="Times New Roman" w:eastAsia="Times New Roman" w:hAnsi="Times New Roman"/>
                <w:sz w:val="22"/>
                <w:szCs w:val="22"/>
                <w:color w:val="auto"/>
                <w:w w:val="99"/>
              </w:rPr>
              <w:t>35</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883</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889</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30.4 %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31.9 %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Selling, general and administrative expenses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561</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22"/>
                <w:szCs w:val="22"/>
                <w:color w:val="auto"/>
                <w:w w:val="99"/>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561</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537</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20.1 %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19.3 %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Restructuring costs,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6</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22"/>
                <w:szCs w:val="22"/>
                <w:color w:val="auto"/>
                <w:w w:val="99"/>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Impairment of goodwill, intangibles and</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17"/>
                <w:szCs w:val="17"/>
                <w:color w:val="auto"/>
              </w:rPr>
            </w:pPr>
          </w:p>
        </w:tc>
        <w:tc>
          <w:tcPr>
            <w:tcW w:w="1000" w:type="dxa"/>
            <w:vAlign w:val="bottom"/>
            <w:gridSpan w:val="2"/>
            <w:vMerge w:val="restart"/>
          </w:tcPr>
          <w:p>
            <w:pPr>
              <w:jc w:val="center"/>
              <w:ind w:left="197"/>
              <w:spacing w:after="0"/>
              <w:rPr>
                <w:sz w:val="20"/>
                <w:szCs w:val="20"/>
                <w:color w:val="auto"/>
              </w:rPr>
            </w:pPr>
            <w:r>
              <w:rPr>
                <w:rFonts w:ascii="Times New Roman" w:cs="Times New Roman" w:eastAsia="Times New Roman" w:hAnsi="Times New Roman"/>
                <w:sz w:val="22"/>
                <w:szCs w:val="22"/>
                <w:color w:val="auto"/>
                <w:w w:val="99"/>
              </w:rPr>
              <w:t>—</w:t>
            </w:r>
          </w:p>
        </w:tc>
        <w:tc>
          <w:tcPr>
            <w:tcW w:w="180" w:type="dxa"/>
            <w:vAlign w:val="bottom"/>
          </w:tcPr>
          <w:p>
            <w:pPr>
              <w:spacing w:after="0"/>
              <w:rPr>
                <w:sz w:val="17"/>
                <w:szCs w:val="17"/>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17"/>
                <w:szCs w:val="17"/>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17"/>
                <w:szCs w:val="17"/>
                <w:color w:val="auto"/>
              </w:rPr>
            </w:pPr>
          </w:p>
        </w:tc>
        <w:tc>
          <w:tcPr>
            <w:tcW w:w="1000" w:type="dxa"/>
            <w:vAlign w:val="bottom"/>
            <w:vMerge w:val="restart"/>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assets</w:t>
            </w:r>
          </w:p>
        </w:tc>
        <w:tc>
          <w:tcPr>
            <w:tcW w:w="16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income</w:t>
            </w: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281</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22"/>
                <w:szCs w:val="22"/>
                <w:b w:val="1"/>
                <w:bCs w:val="1"/>
                <w:color w:val="auto"/>
                <w:w w:val="99"/>
              </w:rPr>
              <w:t>35</w:t>
            </w:r>
          </w:p>
        </w:tc>
        <w:tc>
          <w:tcPr>
            <w:tcW w:w="1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316</w:t>
            </w:r>
          </w:p>
        </w:tc>
        <w:tc>
          <w:tcPr>
            <w:tcW w:w="18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36</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352</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10.1 %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12.6 %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Non-operating expenses:</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Interest expense,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65</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22"/>
                <w:szCs w:val="22"/>
                <w:color w:val="auto"/>
                <w:w w:val="99"/>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65</w:t>
            </w: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Loss on extinguishment of debt</w:t>
            </w:r>
          </w:p>
        </w:tc>
        <w:tc>
          <w:tcPr>
            <w:tcW w:w="160" w:type="dxa"/>
            <w:vAlign w:val="bottom"/>
          </w:tcPr>
          <w:p>
            <w:pPr>
              <w:spacing w:after="0"/>
              <w:rPr>
                <w:sz w:val="23"/>
                <w:szCs w:val="2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1000" w:type="dxa"/>
            <w:vAlign w:val="bottom"/>
            <w:gridSpan w:val="2"/>
          </w:tcPr>
          <w:p>
            <w:pPr>
              <w:jc w:val="center"/>
              <w:ind w:left="197"/>
              <w:spacing w:after="0"/>
              <w:rPr>
                <w:sz w:val="20"/>
                <w:szCs w:val="20"/>
                <w:color w:val="auto"/>
              </w:rPr>
            </w:pPr>
            <w:r>
              <w:rPr>
                <w:rFonts w:ascii="Times New Roman" w:cs="Times New Roman" w:eastAsia="Times New Roman" w:hAnsi="Times New Roman"/>
                <w:sz w:val="22"/>
                <w:szCs w:val="22"/>
                <w:color w:val="auto"/>
                <w:w w:val="99"/>
              </w:rPr>
              <w:t>—</w:t>
            </w:r>
          </w:p>
        </w:tc>
        <w:tc>
          <w:tcPr>
            <w:tcW w:w="18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Other (income) expense,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1</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22"/>
                <w:szCs w:val="22"/>
                <w:color w:val="auto"/>
                <w:w w:val="99"/>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6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Income before income taxes</w:t>
            </w: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215</w:t>
            </w:r>
          </w:p>
        </w:tc>
        <w:tc>
          <w:tcPr>
            <w:tcW w:w="1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center"/>
              <w:ind w:left="357"/>
              <w:spacing w:after="0"/>
              <w:rPr>
                <w:sz w:val="20"/>
                <w:szCs w:val="20"/>
                <w:color w:val="auto"/>
              </w:rPr>
            </w:pPr>
            <w:r>
              <w:rPr>
                <w:rFonts w:ascii="Times New Roman" w:cs="Times New Roman" w:eastAsia="Times New Roman" w:hAnsi="Times New Roman"/>
                <w:sz w:val="22"/>
                <w:szCs w:val="22"/>
                <w:b w:val="1"/>
                <w:bCs w:val="1"/>
                <w:color w:val="auto"/>
                <w:w w:val="99"/>
              </w:rPr>
              <w:t>35</w:t>
            </w:r>
          </w:p>
        </w:tc>
        <w:tc>
          <w:tcPr>
            <w:tcW w:w="1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250</w:t>
            </w:r>
          </w:p>
        </w:tc>
        <w:tc>
          <w:tcPr>
            <w:tcW w:w="18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36</w:t>
            </w:r>
          </w:p>
        </w:tc>
        <w:tc>
          <w:tcPr>
            <w:tcW w:w="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286</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Income tax provision (benefit) </w:t>
            </w:r>
            <w:r>
              <w:rPr>
                <w:rFonts w:ascii="Times New Roman" w:cs="Times New Roman" w:eastAsia="Times New Roman" w:hAnsi="Times New Roman"/>
                <w:sz w:val="28"/>
                <w:szCs w:val="28"/>
                <w:color w:val="auto"/>
                <w:vertAlign w:val="superscript"/>
              </w:rPr>
              <w:t>[3]</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25</w:t>
            </w: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22"/>
                <w:szCs w:val="22"/>
                <w:color w:val="auto"/>
                <w:w w:val="99"/>
              </w:rPr>
              <w:t>10</w:t>
            </w:r>
          </w:p>
        </w:tc>
        <w:tc>
          <w:tcPr>
            <w:tcW w:w="1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64"/>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190</w:t>
            </w:r>
          </w:p>
        </w:tc>
        <w:tc>
          <w:tcPr>
            <w:tcW w:w="1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40" w:type="dxa"/>
            <w:vAlign w:val="bottom"/>
            <w:tcBorders>
              <w:bottom w:val="single" w:sz="8" w:color="auto"/>
            </w:tcBorders>
          </w:tcPr>
          <w:p>
            <w:pPr>
              <w:jc w:val="center"/>
              <w:ind w:left="357"/>
              <w:spacing w:after="0"/>
              <w:rPr>
                <w:sz w:val="20"/>
                <w:szCs w:val="20"/>
                <w:color w:val="auto"/>
              </w:rPr>
            </w:pPr>
            <w:r>
              <w:rPr>
                <w:rFonts w:ascii="Times New Roman" w:cs="Times New Roman" w:eastAsia="Times New Roman" w:hAnsi="Times New Roman"/>
                <w:sz w:val="22"/>
                <w:szCs w:val="22"/>
                <w:b w:val="1"/>
                <w:bCs w:val="1"/>
                <w:color w:val="auto"/>
                <w:w w:val="99"/>
              </w:rPr>
              <w:t>25</w:t>
            </w:r>
          </w:p>
        </w:tc>
        <w:tc>
          <w:tcPr>
            <w:tcW w:w="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215</w:t>
            </w:r>
          </w:p>
        </w:tc>
        <w:tc>
          <w:tcPr>
            <w:tcW w:w="180" w:type="dxa"/>
            <w:vAlign w:val="bottom"/>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43</w:t>
            </w: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258</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Weighted average common shares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outstanding:</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425.4</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425.4</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425.4</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428.5</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428.5</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428.5</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Earnings per share:</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0.45</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0.51</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0.61</w:t>
            </w:r>
          </w:p>
        </w:tc>
        <w:tc>
          <w:tcPr>
            <w:tcW w:w="0" w:type="dxa"/>
            <w:vAlign w:val="bottom"/>
          </w:tcPr>
          <w:p>
            <w:pPr>
              <w:spacing w:after="0"/>
              <w:rPr>
                <w:sz w:val="1"/>
                <w:szCs w:val="1"/>
                <w:color w:val="auto"/>
              </w:rPr>
            </w:pPr>
          </w:p>
        </w:tc>
      </w:tr>
      <w:tr>
        <w:trPr>
          <w:trHeight w:val="282"/>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0.44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0.60</w:t>
            </w:r>
          </w:p>
        </w:tc>
        <w:tc>
          <w:tcPr>
            <w:tcW w:w="0" w:type="dxa"/>
            <w:vAlign w:val="bottom"/>
          </w:tcPr>
          <w:p>
            <w:pPr>
              <w:spacing w:after="0"/>
              <w:rPr>
                <w:sz w:val="1"/>
                <w:szCs w:val="1"/>
                <w:color w:val="auto"/>
              </w:rPr>
            </w:pPr>
          </w:p>
        </w:tc>
      </w:tr>
    </w:tbl>
    <w:p>
      <w:pPr>
        <w:sectPr>
          <w:pgSz w:w="11900" w:h="16838" w:orient="portrait"/>
          <w:cols w:equalWidth="0" w:num="1">
            <w:col w:w="10040"/>
          </w:cols>
          <w:pgMar w:left="920" w:top="770" w:right="9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 OF OPERATIONS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(Amounts in millions, except per share data)</w:t>
      </w:r>
    </w:p>
    <w:p>
      <w:pPr>
        <w:spacing w:after="0" w:line="25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For the three months ended December 31,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Impact of</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As</w:t>
            </w:r>
          </w:p>
        </w:tc>
        <w:tc>
          <w:tcPr>
            <w:tcW w:w="3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color w:val="auto"/>
              </w:rPr>
              <w:t>Non-GAAP</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Under</w:t>
            </w:r>
          </w:p>
        </w:tc>
        <w:tc>
          <w:tcPr>
            <w:tcW w:w="1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Change to</w:t>
            </w:r>
          </w:p>
        </w:tc>
        <w:tc>
          <w:tcPr>
            <w:tcW w:w="1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Adjusted</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Normalization</w:t>
            </w:r>
          </w:p>
        </w:tc>
        <w:tc>
          <w:tcPr>
            <w:tcW w:w="160" w:type="dxa"/>
            <w:vAlign w:val="bottom"/>
          </w:tcPr>
          <w:p>
            <w:pPr>
              <w:spacing w:after="0"/>
              <w:rPr>
                <w:sz w:val="18"/>
                <w:szCs w:val="18"/>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6"/>
                <w:szCs w:val="16"/>
                <w:color w:val="auto"/>
              </w:rPr>
              <w:t>Measure</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w w:val="89"/>
              </w:rPr>
              <w:t xml:space="preserve">LIFO </w:t>
            </w:r>
            <w:r>
              <w:rPr>
                <w:rFonts w:ascii="Times New Roman" w:cs="Times New Roman" w:eastAsia="Times New Roman" w:hAnsi="Times New Roman"/>
                <w:sz w:val="21"/>
                <w:szCs w:val="21"/>
                <w:color w:val="auto"/>
                <w:w w:val="89"/>
                <w:vertAlign w:val="superscript"/>
              </w:rPr>
              <w:t>[1]</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4"/>
              </w:rPr>
              <w:t xml:space="preserve">FIFO </w:t>
            </w:r>
            <w:r>
              <w:rPr>
                <w:rFonts w:ascii="Times New Roman" w:cs="Times New Roman" w:eastAsia="Times New Roman" w:hAnsi="Times New Roman"/>
                <w:sz w:val="21"/>
                <w:szCs w:val="21"/>
                <w:color w:val="auto"/>
                <w:w w:val="94"/>
                <w:vertAlign w:val="superscript"/>
              </w:rPr>
              <w:t>[2]</w:t>
            </w:r>
          </w:p>
        </w:tc>
        <w:tc>
          <w:tcPr>
            <w:tcW w:w="180" w:type="dxa"/>
            <w:vAlign w:val="bottom"/>
          </w:tcPr>
          <w:p>
            <w:pPr>
              <w:spacing w:after="0"/>
              <w:rPr>
                <w:sz w:val="14"/>
                <w:szCs w:val="14"/>
                <w:color w:val="auto"/>
              </w:rPr>
            </w:pPr>
          </w:p>
        </w:tc>
        <w:tc>
          <w:tcPr>
            <w:tcW w:w="1020" w:type="dxa"/>
            <w:vAlign w:val="bottom"/>
            <w:gridSpan w:val="2"/>
          </w:tcPr>
          <w:p>
            <w:pPr>
              <w:jc w:val="center"/>
              <w:ind w:right="340"/>
              <w:spacing w:after="0" w:line="168" w:lineRule="exact"/>
              <w:rPr>
                <w:sz w:val="20"/>
                <w:szCs w:val="20"/>
                <w:color w:val="auto"/>
              </w:rPr>
            </w:pPr>
            <w:r>
              <w:rPr>
                <w:rFonts w:ascii="Times New Roman" w:cs="Times New Roman" w:eastAsia="Times New Roman" w:hAnsi="Times New Roman"/>
                <w:sz w:val="16"/>
                <w:szCs w:val="16"/>
                <w:color w:val="auto"/>
              </w:rPr>
              <w:t>GAAP</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[7]</w:t>
            </w:r>
          </w:p>
        </w:tc>
        <w:tc>
          <w:tcPr>
            <w:tcW w:w="160" w:type="dxa"/>
            <w:vAlign w:val="bottom"/>
          </w:tcPr>
          <w:p>
            <w:pPr>
              <w:spacing w:after="0"/>
              <w:rPr>
                <w:sz w:val="14"/>
                <w:szCs w:val="14"/>
                <w:color w:val="auto"/>
              </w:rPr>
            </w:pPr>
          </w:p>
        </w:tc>
        <w:tc>
          <w:tcPr>
            <w:tcW w:w="1000" w:type="dxa"/>
            <w:vAlign w:val="bottom"/>
            <w:vMerge w:val="restart"/>
          </w:tcPr>
          <w:p>
            <w:pPr>
              <w:jc w:val="center"/>
              <w:ind w:right="58"/>
              <w:spacing w:after="0"/>
              <w:rPr>
                <w:sz w:val="20"/>
                <w:szCs w:val="20"/>
                <w:color w:val="auto"/>
              </w:rPr>
            </w:pPr>
            <w:r>
              <w:rPr>
                <w:rFonts w:ascii="Times New Roman" w:cs="Times New Roman" w:eastAsia="Times New Roman" w:hAnsi="Times New Roman"/>
                <w:sz w:val="16"/>
                <w:szCs w:val="16"/>
                <w:color w:val="auto"/>
              </w:rPr>
              <w:t>Normalized</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Measure</w:t>
            </w:r>
          </w:p>
        </w:tc>
        <w:tc>
          <w:tcPr>
            <w:tcW w:w="122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2,805</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2,805</w:t>
            </w: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2,805</w:t>
            </w:r>
          </w:p>
        </w:tc>
        <w:tc>
          <w:tcPr>
            <w:tcW w:w="0" w:type="dxa"/>
            <w:vAlign w:val="bottom"/>
          </w:tcPr>
          <w:p>
            <w:pPr>
              <w:spacing w:after="0"/>
              <w:rPr>
                <w:sz w:val="1"/>
                <w:szCs w:val="1"/>
                <w:color w:val="auto"/>
              </w:rPr>
            </w:pPr>
          </w:p>
        </w:tc>
      </w:tr>
      <w:tr>
        <w:trPr>
          <w:trHeight w:val="27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Cost of products sold</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color w:val="auto"/>
              </w:rPr>
              <w:t>1,970</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1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1,968</w:t>
            </w:r>
          </w:p>
        </w:tc>
        <w:tc>
          <w:tcPr>
            <w:tcW w:w="1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1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color w:val="auto"/>
              </w:rPr>
              <w:t>1,959</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835</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837</w:t>
            </w: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846</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29.8 %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30.2 %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Selling, general and administrative expenses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607</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607</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565</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21.6 %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20.1 %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Restructuring costs, net</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Impairment of goodwill, intangibles and</w:t>
            </w:r>
          </w:p>
        </w:tc>
        <w:tc>
          <w:tcPr>
            <w:tcW w:w="160" w:type="dxa"/>
            <w:vAlign w:val="bottom"/>
          </w:tcPr>
          <w:p>
            <w:pPr>
              <w:spacing w:after="0"/>
              <w:rPr>
                <w:sz w:val="17"/>
                <w:szCs w:val="17"/>
                <w:color w:val="auto"/>
              </w:rPr>
            </w:pPr>
          </w:p>
        </w:tc>
        <w:tc>
          <w:tcPr>
            <w:tcW w:w="1000" w:type="dxa"/>
            <w:vAlign w:val="bottom"/>
            <w:vMerge w:val="restart"/>
          </w:tcPr>
          <w:p>
            <w:pPr>
              <w:jc w:val="right"/>
              <w:ind w:right="118"/>
              <w:spacing w:after="0"/>
              <w:rPr>
                <w:sz w:val="20"/>
                <w:szCs w:val="20"/>
                <w:color w:val="auto"/>
              </w:rPr>
            </w:pPr>
            <w:r>
              <w:rPr>
                <w:rFonts w:ascii="Times New Roman" w:cs="Times New Roman" w:eastAsia="Times New Roman" w:hAnsi="Times New Roman"/>
                <w:sz w:val="22"/>
                <w:szCs w:val="22"/>
                <w:color w:val="auto"/>
              </w:rPr>
              <w:t>60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assets</w:t>
            </w:r>
          </w:p>
        </w:tc>
        <w:tc>
          <w:tcPr>
            <w:tcW w:w="1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income</w:t>
            </w: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168</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w:t>
            </w:r>
          </w:p>
        </w:tc>
        <w:tc>
          <w:tcPr>
            <w:tcW w:w="1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170</w:t>
            </w:r>
          </w:p>
        </w:tc>
        <w:tc>
          <w:tcPr>
            <w:tcW w:w="1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111</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281</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6.0 %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0070C0"/>
              </w:rPr>
              <w:t>10.0 %</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Non-operating expenses:</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Interest expense,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59</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59</w:t>
            </w: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Loss on extinguishment of debt</w:t>
            </w: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5</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Other (income) expense,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22"/>
                <w:szCs w:val="22"/>
                <w:color w:val="auto"/>
              </w:rPr>
              <w:t>(5)</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6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Income before income taxes</w:t>
            </w: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109</w:t>
            </w:r>
          </w:p>
        </w:tc>
        <w:tc>
          <w:tcPr>
            <w:tcW w:w="1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w:t>
            </w:r>
          </w:p>
        </w:tc>
        <w:tc>
          <w:tcPr>
            <w:tcW w:w="1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111</w:t>
            </w:r>
          </w:p>
        </w:tc>
        <w:tc>
          <w:tcPr>
            <w:tcW w:w="1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109</w:t>
            </w:r>
          </w:p>
        </w:tc>
        <w:tc>
          <w:tcPr>
            <w:tcW w:w="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220</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Income tax provision </w:t>
            </w:r>
            <w:r>
              <w:rPr>
                <w:rFonts w:ascii="Times New Roman" w:cs="Times New Roman" w:eastAsia="Times New Roman" w:hAnsi="Times New Roman"/>
                <w:sz w:val="28"/>
                <w:szCs w:val="28"/>
                <w:color w:val="auto"/>
                <w:vertAlign w:val="superscript"/>
              </w:rPr>
              <w:t>[3]</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13</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64"/>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96</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w:t>
            </w: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98</w:t>
            </w:r>
          </w:p>
        </w:tc>
        <w:tc>
          <w:tcPr>
            <w:tcW w:w="18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84</w:t>
            </w: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rPr>
              <w:t>182</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Weighted average common shares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outstanding:</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425.5</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425.5</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425.5</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428.3</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428.3</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428.3</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Earnings per share:</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0.23</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0.23</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22"/>
                <w:szCs w:val="22"/>
                <w:color w:val="auto"/>
              </w:rPr>
              <w:t>0.43</w:t>
            </w:r>
          </w:p>
        </w:tc>
        <w:tc>
          <w:tcPr>
            <w:tcW w:w="0" w:type="dxa"/>
            <w:vAlign w:val="bottom"/>
          </w:tcPr>
          <w:p>
            <w:pPr>
              <w:spacing w:after="0"/>
              <w:rPr>
                <w:sz w:val="1"/>
                <w:szCs w:val="1"/>
                <w:color w:val="auto"/>
              </w:rPr>
            </w:pPr>
          </w:p>
        </w:tc>
      </w:tr>
      <w:tr>
        <w:trPr>
          <w:trHeight w:val="282"/>
        </w:trPr>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0.22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0.23</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22"/>
                <w:szCs w:val="22"/>
                <w:color w:val="auto"/>
              </w:rPr>
              <w:t>0.42</w:t>
            </w:r>
          </w:p>
        </w:tc>
        <w:tc>
          <w:tcPr>
            <w:tcW w:w="0" w:type="dxa"/>
            <w:vAlign w:val="bottom"/>
          </w:tcPr>
          <w:p>
            <w:pPr>
              <w:spacing w:after="0"/>
              <w:rPr>
                <w:sz w:val="1"/>
                <w:szCs w:val="1"/>
                <w:color w:val="auto"/>
              </w:rPr>
            </w:pPr>
          </w:p>
        </w:tc>
      </w:tr>
    </w:tbl>
    <w:p>
      <w:pPr>
        <w:sectPr>
          <w:pgSz w:w="11900" w:h="16838" w:orient="portrait"/>
          <w:cols w:equalWidth="0" w:num="1">
            <w:col w:w="10040"/>
          </w:cols>
          <w:pgMar w:left="920" w:top="770" w:right="939" w:bottom="1440" w:gutter="0" w:footer="0" w:header="0"/>
        </w:sectPr>
      </w:pPr>
    </w:p>
    <w:bookmarkStart w:id="16" w:name="page17"/>
    <w:bookmarkEnd w:id="16"/>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NEWELL BRANDS INC.</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CONDENSED CONSOLIDATED STATEMENT OF OPERATIONS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328" w:hanging="328"/>
        <w:spacing w:after="0" w:line="261" w:lineRule="auto"/>
        <w:tabs>
          <w:tab w:leader="none" w:pos="3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“Reconciliation of GAAP and Non-GAAP Information (Unaudited) - Certain Line Items” for the three months ended March 31, 2021, June 30, 2021 and September 30, 2021, on the Company’s Forms 8-K furnished on April 29, 2022, July 29, 2022 and October 28, 2022, respectively. For the three and twelve months ended December 31, 2021, refer to “Reconciliation of GAAP and Non-GAAP Information (Unaudited) - Certain Line Items” on the Company's Forms 8-K furnished on February 10, 2023.</w:t>
      </w:r>
    </w:p>
    <w:p>
      <w:pPr>
        <w:spacing w:after="0" w:line="152" w:lineRule="exact"/>
        <w:rPr>
          <w:rFonts w:ascii="Times New Roman" w:cs="Times New Roman" w:eastAsia="Times New Roman" w:hAnsi="Times New Roman"/>
          <w:sz w:val="18"/>
          <w:szCs w:val="18"/>
          <w:color w:val="auto"/>
        </w:rPr>
      </w:pPr>
    </w:p>
    <w:p>
      <w:pPr>
        <w:ind w:left="328" w:hanging="328"/>
        <w:spacing w:after="0" w:line="282" w:lineRule="auto"/>
        <w:tabs>
          <w:tab w:leader="none" w:pos="3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the Company's election to change its method of accounting for certain inventory in the U.S. from the last-in, first-out (“LIFO”) method to first-in, first-out (“FIFO”) method.</w:t>
      </w:r>
    </w:p>
    <w:p>
      <w:pPr>
        <w:spacing w:after="0" w:line="12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determined the tax effect of the items excluded from normalized results by applying the estimated effective rate for the applicable jurisdiction in which the pretax items were incurred, and for which realization of the resulting tax benefit, if any, is expected. In certain situations in which an item excluded from normalized results impacts income tax expense, the Company uses a "with" and "without" approach to determine normalized income tax expense. Also includes income tax expense that results from the amortization of a prior year normalized tax benefit.</w:t>
      </w:r>
    </w:p>
    <w:p>
      <w:pPr>
        <w:spacing w:after="0" w:line="13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31, 2021 normalized items consist of $21 million of acquisition amortization; $13 million of restructuring and restructuring-related costs; $3 million of expenses for certain legal proceedings and divestiture costs related to completed divestitures and $2 million of Argentina hyperinflationary adjustment.</w:t>
      </w:r>
    </w:p>
    <w:p>
      <w:pPr>
        <w:spacing w:after="0" w:line="148"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June 30, 2021 normalized items consist of $19 million of acquisition amortization costs; $8 million of restructuring and restructuring-related charges; $6 million of expenses for certain legal proceedings; $2 million of costs related to related to completed divestitures; $2 million loss on disposition of business and $2 million of Argentina hyperinflationary adjustment.</w:t>
      </w:r>
    </w:p>
    <w:p>
      <w:pPr>
        <w:spacing w:after="0" w:line="13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September 30, 2021 normalized items consist of $19 million of acquisition amortization costs; $13 million of restructuring and restructuring-related charges; $3 million of expenses for certain legal proceedings; $1 million of costs related to related to completed divestitures; $1 million of Argentina hyperinflationary adjustment and $1 million of gain due to change in fair market value of investments.</w:t>
      </w:r>
    </w:p>
    <w:p>
      <w:pPr>
        <w:spacing w:after="0" w:line="139"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December 31, 2021 normalized items consist of $60 million of non-cash impairment charges for indefinite-lived intangible assets in the Commercial Solutions and Learning and Development segments; $19 million of acquisition amortization costs; $18 million of costs related to completed divestitures; $12 million of restructuring and restructuring-related charges; $5 million loss on debt extinguishment; $2 million related to expenses for certain legal proceedings; $6 million gain on disposition of business and $1 million gain due to change in fair market value of investments.</w:t>
      </w:r>
    </w:p>
    <w:sectPr>
      <w:pgSz w:w="11900" w:h="16838" w:orient="portrait"/>
      <w:cols w:equalWidth="0" w:num="1">
        <w:col w:w="10908"/>
      </w:cols>
      <w:pgMar w:left="652"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2023-02-10T07:32:50Z</dcterms:created>
  <dcterms:modified xsi:type="dcterms:W3CDTF">2023-02-10T07:32:50Z</dcterms:modified>
</cp:coreProperties>
</file>